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7F" w:rsidRDefault="00BA337F" w:rsidP="00BA337F">
      <w:pPr>
        <w:rPr>
          <w:rFonts w:ascii="方正黑体_GBK" w:eastAsia="方正黑体_GBK" w:hAnsi="方正黑体_GBK" w:cs="方正黑体_GBK"/>
          <w:sz w:val="32"/>
          <w:szCs w:val="24"/>
        </w:rPr>
      </w:pPr>
      <w:r>
        <w:rPr>
          <w:rFonts w:ascii="方正黑体_GBK" w:eastAsia="方正黑体_GBK" w:hAnsi="方正黑体_GBK" w:cs="方正黑体_GBK" w:hint="eastAsia"/>
          <w:sz w:val="32"/>
          <w:szCs w:val="24"/>
        </w:rPr>
        <w:t>附件2-3</w:t>
      </w:r>
    </w:p>
    <w:p w:rsidR="00BA337F" w:rsidRDefault="00BA337F" w:rsidP="00BA337F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2"/>
          <w:szCs w:val="44"/>
        </w:rPr>
      </w:pPr>
      <w:r>
        <w:rPr>
          <w:rFonts w:ascii="方正小标宋_GBK" w:eastAsia="方正小标宋_GBK" w:hAnsi="方正小标宋_GBK" w:cs="方正小标宋_GBK" w:hint="eastAsia"/>
          <w:sz w:val="32"/>
          <w:szCs w:val="44"/>
        </w:rPr>
        <w:t>2017年度重庆市大足区区本级国有资本经营收支执行表</w:t>
      </w:r>
    </w:p>
    <w:p w:rsidR="00BA337F" w:rsidRDefault="00BA337F" w:rsidP="00BA337F">
      <w:pPr>
        <w:spacing w:line="600" w:lineRule="exact"/>
        <w:jc w:val="right"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单位：万元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062"/>
        <w:gridCol w:w="4047"/>
        <w:gridCol w:w="1062"/>
      </w:tblGrid>
      <w:tr w:rsidR="00BA337F" w:rsidTr="00AE21E4">
        <w:trPr>
          <w:trHeight w:hRule="exact" w:val="567"/>
        </w:trPr>
        <w:tc>
          <w:tcPr>
            <w:tcW w:w="3379" w:type="dxa"/>
            <w:vAlign w:val="center"/>
          </w:tcPr>
          <w:p w:rsidR="00BA337F" w:rsidRDefault="00BA337F" w:rsidP="00AE21E4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预算科目</w:t>
            </w:r>
          </w:p>
        </w:tc>
        <w:tc>
          <w:tcPr>
            <w:tcW w:w="1062" w:type="dxa"/>
            <w:vAlign w:val="center"/>
          </w:tcPr>
          <w:p w:rsidR="00BA337F" w:rsidRDefault="00BA337F" w:rsidP="00AE21E4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执行数</w:t>
            </w:r>
          </w:p>
        </w:tc>
        <w:tc>
          <w:tcPr>
            <w:tcW w:w="4047" w:type="dxa"/>
            <w:vAlign w:val="center"/>
          </w:tcPr>
          <w:p w:rsidR="00BA337F" w:rsidRDefault="00BA337F" w:rsidP="00AE21E4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预算科目</w:t>
            </w:r>
          </w:p>
        </w:tc>
        <w:tc>
          <w:tcPr>
            <w:tcW w:w="1062" w:type="dxa"/>
            <w:vAlign w:val="center"/>
          </w:tcPr>
          <w:p w:rsidR="00BA337F" w:rsidRDefault="00BA337F" w:rsidP="00AE21E4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执行数</w:t>
            </w:r>
          </w:p>
        </w:tc>
      </w:tr>
      <w:tr w:rsidR="00BA337F" w:rsidTr="00AE21E4">
        <w:trPr>
          <w:trHeight w:hRule="exact" w:val="567"/>
        </w:trPr>
        <w:tc>
          <w:tcPr>
            <w:tcW w:w="3379" w:type="dxa"/>
            <w:vAlign w:val="center"/>
          </w:tcPr>
          <w:p w:rsidR="00BA337F" w:rsidRDefault="00BA337F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一、国有资本经营预算收入</w:t>
            </w:r>
          </w:p>
        </w:tc>
        <w:tc>
          <w:tcPr>
            <w:tcW w:w="1062" w:type="dxa"/>
            <w:vAlign w:val="center"/>
          </w:tcPr>
          <w:p w:rsidR="00BA337F" w:rsidRDefault="00BA337F" w:rsidP="00AE21E4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1,000</w:t>
            </w:r>
          </w:p>
        </w:tc>
        <w:tc>
          <w:tcPr>
            <w:tcW w:w="4047" w:type="dxa"/>
            <w:vAlign w:val="center"/>
          </w:tcPr>
          <w:p w:rsidR="00BA337F" w:rsidRDefault="00BA337F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一、国有资本经营预算支出</w:t>
            </w:r>
          </w:p>
        </w:tc>
        <w:tc>
          <w:tcPr>
            <w:tcW w:w="1062" w:type="dxa"/>
            <w:vAlign w:val="center"/>
          </w:tcPr>
          <w:p w:rsidR="00BA337F" w:rsidRDefault="00BA337F" w:rsidP="00AE21E4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1,020</w:t>
            </w:r>
          </w:p>
        </w:tc>
      </w:tr>
      <w:tr w:rsidR="00BA337F" w:rsidTr="00AE21E4">
        <w:trPr>
          <w:trHeight w:hRule="exact" w:val="567"/>
        </w:trPr>
        <w:tc>
          <w:tcPr>
            <w:tcW w:w="3379" w:type="dxa"/>
            <w:vAlign w:val="center"/>
          </w:tcPr>
          <w:p w:rsidR="00BA337F" w:rsidRDefault="00BA337F" w:rsidP="00AE21E4">
            <w:pPr>
              <w:snapToGrid w:val="0"/>
              <w:ind w:leftChars="101" w:left="212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利润收入</w:t>
            </w:r>
          </w:p>
        </w:tc>
        <w:tc>
          <w:tcPr>
            <w:tcW w:w="1062" w:type="dxa"/>
            <w:vAlign w:val="center"/>
          </w:tcPr>
          <w:p w:rsidR="00BA337F" w:rsidRDefault="00BA337F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4047" w:type="dxa"/>
            <w:vAlign w:val="center"/>
          </w:tcPr>
          <w:p w:rsidR="00BA337F" w:rsidRDefault="00BA337F" w:rsidP="00AE21E4">
            <w:pPr>
              <w:snapToGrid w:val="0"/>
              <w:ind w:leftChars="100" w:left="21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社会保障和就业支出</w:t>
            </w:r>
          </w:p>
        </w:tc>
        <w:tc>
          <w:tcPr>
            <w:tcW w:w="1062" w:type="dxa"/>
            <w:vAlign w:val="center"/>
          </w:tcPr>
          <w:p w:rsidR="00BA337F" w:rsidRDefault="00BA337F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BA337F" w:rsidTr="00AE21E4">
        <w:trPr>
          <w:trHeight w:hRule="exact" w:val="567"/>
        </w:trPr>
        <w:tc>
          <w:tcPr>
            <w:tcW w:w="3379" w:type="dxa"/>
            <w:vAlign w:val="center"/>
          </w:tcPr>
          <w:p w:rsidR="00BA337F" w:rsidRDefault="00BA337F" w:rsidP="00AE21E4">
            <w:pPr>
              <w:snapToGrid w:val="0"/>
              <w:ind w:leftChars="100" w:left="21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股利、股息收入</w:t>
            </w:r>
          </w:p>
        </w:tc>
        <w:tc>
          <w:tcPr>
            <w:tcW w:w="1062" w:type="dxa"/>
            <w:vAlign w:val="center"/>
          </w:tcPr>
          <w:p w:rsidR="00BA337F" w:rsidRDefault="00BA337F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4047" w:type="dxa"/>
            <w:vAlign w:val="center"/>
          </w:tcPr>
          <w:p w:rsidR="00BA337F" w:rsidRDefault="00BA337F" w:rsidP="00AE21E4">
            <w:pPr>
              <w:snapToGrid w:val="0"/>
              <w:ind w:leftChars="100" w:left="21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解决历史遗留问题及改革成本支出</w:t>
            </w:r>
          </w:p>
        </w:tc>
        <w:tc>
          <w:tcPr>
            <w:tcW w:w="1062" w:type="dxa"/>
            <w:vAlign w:val="center"/>
          </w:tcPr>
          <w:p w:rsidR="00BA337F" w:rsidRDefault="00BA337F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BA337F" w:rsidTr="00AE21E4">
        <w:trPr>
          <w:trHeight w:hRule="exact" w:val="567"/>
        </w:trPr>
        <w:tc>
          <w:tcPr>
            <w:tcW w:w="3379" w:type="dxa"/>
            <w:vAlign w:val="center"/>
          </w:tcPr>
          <w:p w:rsidR="00BA337F" w:rsidRDefault="00BA337F" w:rsidP="00AE21E4">
            <w:pPr>
              <w:snapToGrid w:val="0"/>
              <w:ind w:leftChars="100" w:left="21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产权转让收入</w:t>
            </w:r>
          </w:p>
        </w:tc>
        <w:tc>
          <w:tcPr>
            <w:tcW w:w="1062" w:type="dxa"/>
            <w:vAlign w:val="center"/>
          </w:tcPr>
          <w:p w:rsidR="00BA337F" w:rsidRDefault="00BA337F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4047" w:type="dxa"/>
            <w:vAlign w:val="center"/>
          </w:tcPr>
          <w:p w:rsidR="00BA337F" w:rsidRDefault="00BA337F" w:rsidP="00AE21E4">
            <w:pPr>
              <w:snapToGrid w:val="0"/>
              <w:ind w:leftChars="100" w:left="21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国有企业资金本注入</w:t>
            </w:r>
          </w:p>
        </w:tc>
        <w:tc>
          <w:tcPr>
            <w:tcW w:w="1062" w:type="dxa"/>
            <w:vAlign w:val="center"/>
          </w:tcPr>
          <w:p w:rsidR="00BA337F" w:rsidRDefault="00BA337F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BA337F" w:rsidTr="00AE21E4">
        <w:trPr>
          <w:trHeight w:hRule="exact" w:val="567"/>
        </w:trPr>
        <w:tc>
          <w:tcPr>
            <w:tcW w:w="3379" w:type="dxa"/>
            <w:vAlign w:val="center"/>
          </w:tcPr>
          <w:p w:rsidR="00BA337F" w:rsidRDefault="00BA337F" w:rsidP="00AE21E4">
            <w:pPr>
              <w:snapToGrid w:val="0"/>
              <w:ind w:leftChars="100" w:left="21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清算收入</w:t>
            </w:r>
          </w:p>
        </w:tc>
        <w:tc>
          <w:tcPr>
            <w:tcW w:w="1062" w:type="dxa"/>
            <w:vAlign w:val="center"/>
          </w:tcPr>
          <w:p w:rsidR="00BA337F" w:rsidRDefault="00BA337F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4047" w:type="dxa"/>
            <w:vAlign w:val="center"/>
          </w:tcPr>
          <w:p w:rsidR="00BA337F" w:rsidRDefault="00BA337F" w:rsidP="00AE21E4">
            <w:pPr>
              <w:snapToGrid w:val="0"/>
              <w:ind w:leftChars="99" w:left="208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国有企业政策性补贴</w:t>
            </w:r>
          </w:p>
        </w:tc>
        <w:tc>
          <w:tcPr>
            <w:tcW w:w="1062" w:type="dxa"/>
            <w:vAlign w:val="center"/>
          </w:tcPr>
          <w:p w:rsidR="00BA337F" w:rsidRDefault="00BA337F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BA337F" w:rsidTr="00AE21E4">
        <w:trPr>
          <w:trHeight w:hRule="exact" w:val="567"/>
        </w:trPr>
        <w:tc>
          <w:tcPr>
            <w:tcW w:w="3379" w:type="dxa"/>
            <w:vAlign w:val="center"/>
          </w:tcPr>
          <w:p w:rsidR="00BA337F" w:rsidRDefault="00BA337F" w:rsidP="00AE21E4">
            <w:pPr>
              <w:snapToGrid w:val="0"/>
              <w:ind w:leftChars="99" w:left="208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其他国有资本经营预算收入</w:t>
            </w:r>
          </w:p>
        </w:tc>
        <w:tc>
          <w:tcPr>
            <w:tcW w:w="1062" w:type="dxa"/>
            <w:vAlign w:val="center"/>
          </w:tcPr>
          <w:p w:rsidR="00BA337F" w:rsidRDefault="00BA337F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1,000</w:t>
            </w:r>
          </w:p>
        </w:tc>
        <w:tc>
          <w:tcPr>
            <w:tcW w:w="4047" w:type="dxa"/>
            <w:vAlign w:val="center"/>
          </w:tcPr>
          <w:p w:rsidR="00BA337F" w:rsidRDefault="00BA337F" w:rsidP="00AE21E4">
            <w:pPr>
              <w:snapToGrid w:val="0"/>
              <w:ind w:leftChars="100" w:left="21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金融国有资本经营预算支出</w:t>
            </w:r>
          </w:p>
        </w:tc>
        <w:tc>
          <w:tcPr>
            <w:tcW w:w="1062" w:type="dxa"/>
            <w:vAlign w:val="center"/>
          </w:tcPr>
          <w:p w:rsidR="00BA337F" w:rsidRDefault="00BA337F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BA337F" w:rsidTr="00AE21E4">
        <w:trPr>
          <w:trHeight w:hRule="exact" w:val="567"/>
        </w:trPr>
        <w:tc>
          <w:tcPr>
            <w:tcW w:w="3379" w:type="dxa"/>
            <w:vAlign w:val="center"/>
          </w:tcPr>
          <w:p w:rsidR="00BA337F" w:rsidRDefault="00BA337F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62" w:type="dxa"/>
            <w:vAlign w:val="center"/>
          </w:tcPr>
          <w:p w:rsidR="00BA337F" w:rsidRDefault="00BA337F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4047" w:type="dxa"/>
            <w:vAlign w:val="center"/>
          </w:tcPr>
          <w:p w:rsidR="00BA337F" w:rsidRDefault="00BA337F" w:rsidP="00AE21E4">
            <w:pPr>
              <w:snapToGrid w:val="0"/>
              <w:ind w:leftChars="100" w:left="21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其他国有资本经营预算支出</w:t>
            </w:r>
          </w:p>
        </w:tc>
        <w:tc>
          <w:tcPr>
            <w:tcW w:w="1062" w:type="dxa"/>
            <w:vAlign w:val="center"/>
          </w:tcPr>
          <w:p w:rsidR="00BA337F" w:rsidRDefault="00BA337F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1,020</w:t>
            </w:r>
          </w:p>
        </w:tc>
      </w:tr>
      <w:tr w:rsidR="00BA337F" w:rsidTr="00AE21E4">
        <w:trPr>
          <w:trHeight w:hRule="exact" w:val="567"/>
        </w:trPr>
        <w:tc>
          <w:tcPr>
            <w:tcW w:w="3379" w:type="dxa"/>
            <w:vAlign w:val="center"/>
          </w:tcPr>
          <w:p w:rsidR="00BA337F" w:rsidRDefault="00BA337F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二、上级补助收入</w:t>
            </w:r>
          </w:p>
        </w:tc>
        <w:tc>
          <w:tcPr>
            <w:tcW w:w="1062" w:type="dxa"/>
            <w:vAlign w:val="center"/>
          </w:tcPr>
          <w:p w:rsidR="00BA337F" w:rsidRDefault="00BA337F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4047" w:type="dxa"/>
            <w:vAlign w:val="center"/>
          </w:tcPr>
          <w:p w:rsidR="00BA337F" w:rsidRDefault="00BA337F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二、调出资金</w:t>
            </w:r>
          </w:p>
        </w:tc>
        <w:tc>
          <w:tcPr>
            <w:tcW w:w="1062" w:type="dxa"/>
            <w:vAlign w:val="center"/>
          </w:tcPr>
          <w:p w:rsidR="00BA337F" w:rsidRDefault="00BA337F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BA337F" w:rsidTr="00AE21E4">
        <w:trPr>
          <w:trHeight w:hRule="exact" w:val="567"/>
        </w:trPr>
        <w:tc>
          <w:tcPr>
            <w:tcW w:w="3379" w:type="dxa"/>
            <w:vAlign w:val="center"/>
          </w:tcPr>
          <w:p w:rsidR="00BA337F" w:rsidRDefault="00BA337F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三、上年结余</w:t>
            </w:r>
          </w:p>
        </w:tc>
        <w:tc>
          <w:tcPr>
            <w:tcW w:w="1062" w:type="dxa"/>
            <w:vAlign w:val="center"/>
          </w:tcPr>
          <w:p w:rsidR="00BA337F" w:rsidRDefault="00BA337F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995</w:t>
            </w:r>
          </w:p>
        </w:tc>
        <w:tc>
          <w:tcPr>
            <w:tcW w:w="4047" w:type="dxa"/>
            <w:vAlign w:val="center"/>
          </w:tcPr>
          <w:p w:rsidR="00BA337F" w:rsidRDefault="00BA337F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三、结转下年</w:t>
            </w:r>
          </w:p>
        </w:tc>
        <w:tc>
          <w:tcPr>
            <w:tcW w:w="1062" w:type="dxa"/>
            <w:vAlign w:val="center"/>
          </w:tcPr>
          <w:p w:rsidR="00BA337F" w:rsidRDefault="00BA337F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1,100</w:t>
            </w:r>
          </w:p>
        </w:tc>
      </w:tr>
      <w:tr w:rsidR="00BA337F" w:rsidTr="00AE21E4">
        <w:trPr>
          <w:trHeight w:hRule="exact" w:val="567"/>
        </w:trPr>
        <w:tc>
          <w:tcPr>
            <w:tcW w:w="3379" w:type="dxa"/>
            <w:vAlign w:val="center"/>
          </w:tcPr>
          <w:p w:rsidR="00BA337F" w:rsidRDefault="00BA337F" w:rsidP="00AE21E4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收入总计</w:t>
            </w:r>
          </w:p>
        </w:tc>
        <w:tc>
          <w:tcPr>
            <w:tcW w:w="1062" w:type="dxa"/>
            <w:vAlign w:val="center"/>
          </w:tcPr>
          <w:p w:rsidR="00BA337F" w:rsidRDefault="00BA337F" w:rsidP="00AE21E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2,120</w:t>
            </w:r>
          </w:p>
        </w:tc>
        <w:tc>
          <w:tcPr>
            <w:tcW w:w="4047" w:type="dxa"/>
            <w:vAlign w:val="center"/>
          </w:tcPr>
          <w:p w:rsidR="00BA337F" w:rsidRDefault="00BA337F" w:rsidP="00AE21E4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支出总计</w:t>
            </w:r>
          </w:p>
        </w:tc>
        <w:tc>
          <w:tcPr>
            <w:tcW w:w="1062" w:type="dxa"/>
            <w:vAlign w:val="center"/>
          </w:tcPr>
          <w:p w:rsidR="00BA337F" w:rsidRDefault="00BA337F" w:rsidP="00AE21E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2,120</w:t>
            </w:r>
          </w:p>
        </w:tc>
      </w:tr>
    </w:tbl>
    <w:p w:rsidR="00BA337F" w:rsidRDefault="00BA337F" w:rsidP="00BA337F">
      <w:pPr>
        <w:spacing w:line="600" w:lineRule="exact"/>
        <w:jc w:val="right"/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p w:rsidR="00BA337F" w:rsidRDefault="00BA337F" w:rsidP="00BA337F">
      <w:pPr>
        <w:rPr>
          <w:rFonts w:ascii="方正黑体_GBK" w:eastAsia="方正黑体_GBK" w:hAnsi="方正黑体_GBK" w:cs="方正黑体_GBK"/>
          <w:sz w:val="32"/>
          <w:szCs w:val="24"/>
        </w:rPr>
      </w:pPr>
    </w:p>
    <w:p w:rsidR="00BA337F" w:rsidRDefault="00BA337F" w:rsidP="00BA337F">
      <w:pPr>
        <w:rPr>
          <w:rFonts w:ascii="方正黑体_GBK" w:eastAsia="方正黑体_GBK" w:hAnsi="方正黑体_GBK" w:cs="方正黑体_GBK"/>
          <w:sz w:val="32"/>
          <w:szCs w:val="24"/>
        </w:rPr>
      </w:pPr>
    </w:p>
    <w:p w:rsidR="00BA337F" w:rsidRDefault="00BA337F" w:rsidP="00BA337F">
      <w:pPr>
        <w:rPr>
          <w:rFonts w:ascii="方正黑体_GBK" w:eastAsia="方正黑体_GBK" w:hAnsi="方正黑体_GBK" w:cs="方正黑体_GBK"/>
          <w:sz w:val="32"/>
          <w:szCs w:val="24"/>
        </w:rPr>
      </w:pPr>
    </w:p>
    <w:p w:rsidR="00BA337F" w:rsidRDefault="00BA337F" w:rsidP="00BA337F">
      <w:pPr>
        <w:rPr>
          <w:rFonts w:ascii="方正黑体_GBK" w:eastAsia="方正黑体_GBK" w:hAnsi="方正黑体_GBK" w:cs="方正黑体_GBK"/>
          <w:sz w:val="32"/>
          <w:szCs w:val="24"/>
        </w:rPr>
      </w:pPr>
    </w:p>
    <w:p w:rsidR="00BA337F" w:rsidRDefault="00BA337F" w:rsidP="00BA337F">
      <w:pPr>
        <w:rPr>
          <w:rFonts w:ascii="方正黑体_GBK" w:eastAsia="方正黑体_GBK" w:hAnsi="方正黑体_GBK" w:cs="方正黑体_GBK"/>
          <w:sz w:val="32"/>
          <w:szCs w:val="24"/>
        </w:rPr>
      </w:pPr>
    </w:p>
    <w:p w:rsidR="00BA337F" w:rsidRDefault="00BA337F" w:rsidP="00BA337F">
      <w:pPr>
        <w:rPr>
          <w:rFonts w:ascii="方正黑体_GBK" w:eastAsia="方正黑体_GBK" w:hAnsi="方正黑体_GBK" w:cs="方正黑体_GBK"/>
          <w:sz w:val="32"/>
          <w:szCs w:val="24"/>
        </w:rPr>
      </w:pPr>
    </w:p>
    <w:p w:rsidR="00BA337F" w:rsidRDefault="00BA337F" w:rsidP="00BA337F">
      <w:pPr>
        <w:rPr>
          <w:rFonts w:ascii="方正黑体_GBK" w:eastAsia="方正黑体_GBK" w:hAnsi="方正黑体_GBK" w:cs="方正黑体_GBK"/>
          <w:sz w:val="32"/>
          <w:szCs w:val="24"/>
        </w:rPr>
      </w:pPr>
      <w:bookmarkStart w:id="0" w:name="_GoBack"/>
      <w:bookmarkEnd w:id="0"/>
    </w:p>
    <w:sectPr w:rsidR="00BA337F" w:rsidSect="00BA337F">
      <w:pgSz w:w="11906" w:h="16838"/>
      <w:pgMar w:top="1980" w:right="1800" w:bottom="16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7F"/>
    <w:rsid w:val="007006B5"/>
    <w:rsid w:val="00BA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DB4E5-25D5-4066-882F-20441C3A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2018-01-25T05:26:00Z</dcterms:created>
  <dcterms:modified xsi:type="dcterms:W3CDTF">2018-01-25T05:26:00Z</dcterms:modified>
</cp:coreProperties>
</file>