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0" w:firstLineChars="0"/>
        <w:jc w:val="center"/>
        <w:rPr>
          <w:rFonts w:ascii="仿宋" w:hAnsi="仿宋" w:eastAsia="仿宋" w:cs="仿宋"/>
          <w:sz w:val="36"/>
          <w:szCs w:val="36"/>
        </w:rPr>
      </w:pPr>
    </w:p>
    <w:p>
      <w:pPr>
        <w:ind w:firstLine="0" w:firstLineChars="0"/>
        <w:jc w:val="center"/>
        <w:rPr>
          <w:rFonts w:ascii="仿宋" w:hAnsi="仿宋" w:eastAsia="仿宋" w:cs="仿宋"/>
          <w:sz w:val="36"/>
          <w:szCs w:val="36"/>
        </w:rPr>
      </w:pPr>
    </w:p>
    <w:p>
      <w:pPr>
        <w:ind w:firstLine="0" w:firstLineChars="0"/>
        <w:jc w:val="center"/>
        <w:rPr>
          <w:rFonts w:ascii="仿宋" w:hAnsi="仿宋" w:eastAsia="仿宋" w:cs="仿宋"/>
          <w:sz w:val="36"/>
          <w:szCs w:val="36"/>
        </w:rPr>
      </w:pPr>
    </w:p>
    <w:p>
      <w:pPr>
        <w:ind w:firstLine="0" w:firstLineChars="0"/>
        <w:jc w:val="center"/>
        <w:rPr>
          <w:rFonts w:ascii="仿宋" w:hAnsi="仿宋" w:eastAsia="仿宋" w:cs="仿宋"/>
          <w:sz w:val="36"/>
          <w:szCs w:val="36"/>
        </w:rPr>
      </w:pPr>
    </w:p>
    <w:p>
      <w:pPr>
        <w:ind w:firstLine="0" w:firstLineChars="0"/>
        <w:jc w:val="center"/>
        <w:rPr>
          <w:rFonts w:ascii="仿宋" w:hAnsi="仿宋" w:eastAsia="仿宋" w:cs="仿宋"/>
          <w:sz w:val="36"/>
          <w:szCs w:val="36"/>
        </w:rPr>
      </w:pPr>
    </w:p>
    <w:p>
      <w:pPr>
        <w:ind w:firstLine="0" w:firstLineChars="0"/>
        <w:jc w:val="center"/>
        <w:rPr>
          <w:rFonts w:ascii="仿宋" w:hAnsi="仿宋" w:eastAsia="仿宋" w:cs="仿宋"/>
          <w:sz w:val="36"/>
          <w:szCs w:val="36"/>
        </w:rPr>
      </w:pPr>
    </w:p>
    <w:p>
      <w:pPr>
        <w:ind w:firstLine="0" w:firstLineChars="0"/>
        <w:jc w:val="center"/>
        <w:outlineLvl w:val="0"/>
      </w:pPr>
      <w:bookmarkStart w:id="0" w:name="_Toc109999380"/>
      <w:bookmarkStart w:id="1" w:name="_Toc20167"/>
      <w:bookmarkStart w:id="2" w:name="_Toc32442"/>
      <w:bookmarkStart w:id="3" w:name="_Toc14474"/>
      <w:bookmarkStart w:id="4" w:name="_Toc32125"/>
      <w:bookmarkStart w:id="5" w:name="_Toc20173"/>
      <w:r>
        <w:rPr>
          <w:rFonts w:hint="eastAsia"/>
        </w:rPr>
        <w:t>重庆市大足区城市基础设施建设规划</w:t>
      </w:r>
      <w:bookmarkEnd w:id="0"/>
      <w:bookmarkEnd w:id="1"/>
      <w:bookmarkEnd w:id="2"/>
      <w:bookmarkEnd w:id="3"/>
      <w:bookmarkEnd w:id="4"/>
      <w:bookmarkEnd w:id="5"/>
    </w:p>
    <w:p>
      <w:pPr>
        <w:ind w:firstLine="0" w:firstLineChars="0"/>
        <w:jc w:val="center"/>
        <w:rPr>
          <w:rFonts w:hint="eastAsia"/>
        </w:rPr>
      </w:pPr>
      <w:r>
        <w:rPr>
          <w:rFonts w:hint="eastAsia"/>
        </w:rPr>
        <w:t>（2021—2025年）</w:t>
      </w:r>
    </w:p>
    <w:p>
      <w:pPr>
        <w:pStyle w:val="2"/>
        <w:ind w:firstLine="3200" w:firstLineChars="1000"/>
        <w:rPr>
          <w:rFonts w:hint="eastAsia" w:eastAsia="方正仿宋_GBK"/>
          <w:lang w:val="en-US" w:eastAsia="zh-CN"/>
        </w:rPr>
      </w:pPr>
      <w:r>
        <w:rPr>
          <w:rFonts w:hint="eastAsia"/>
          <w:lang w:val="en-US" w:eastAsia="zh-CN"/>
        </w:rPr>
        <w:t>（征求意见稿）</w:t>
      </w:r>
    </w:p>
    <w:p>
      <w:pPr>
        <w:ind w:firstLine="0" w:firstLineChars="0"/>
        <w:jc w:val="center"/>
      </w:pPr>
    </w:p>
    <w:p>
      <w:pPr>
        <w:ind w:firstLine="0" w:firstLineChars="0"/>
        <w:jc w:val="center"/>
      </w:pPr>
    </w:p>
    <w:p>
      <w:pPr>
        <w:ind w:firstLine="0" w:firstLineChars="0"/>
        <w:jc w:val="center"/>
      </w:pPr>
    </w:p>
    <w:p>
      <w:pPr>
        <w:ind w:firstLine="0" w:firstLineChars="0"/>
        <w:jc w:val="center"/>
      </w:pPr>
    </w:p>
    <w:p>
      <w:pPr>
        <w:ind w:firstLine="0" w:firstLineChars="0"/>
        <w:jc w:val="center"/>
      </w:pPr>
    </w:p>
    <w:p>
      <w:pPr>
        <w:ind w:firstLine="0" w:firstLineChars="0"/>
        <w:jc w:val="center"/>
      </w:pPr>
    </w:p>
    <w:p>
      <w:pPr>
        <w:ind w:firstLine="0" w:firstLineChars="0"/>
        <w:jc w:val="center"/>
      </w:pPr>
    </w:p>
    <w:p>
      <w:pPr>
        <w:ind w:firstLine="0" w:firstLineChars="0"/>
        <w:jc w:val="center"/>
      </w:pPr>
    </w:p>
    <w:p>
      <w:pPr>
        <w:ind w:firstLine="0" w:firstLineChars="0"/>
        <w:jc w:val="center"/>
      </w:pPr>
    </w:p>
    <w:p>
      <w:pPr>
        <w:ind w:firstLine="0" w:firstLineChars="0"/>
        <w:jc w:val="center"/>
      </w:pPr>
    </w:p>
    <w:p>
      <w:pPr>
        <w:ind w:firstLine="0" w:firstLineChars="0"/>
        <w:jc w:val="center"/>
      </w:pPr>
    </w:p>
    <w:p>
      <w:pPr>
        <w:ind w:firstLine="0" w:firstLineChars="0"/>
        <w:jc w:val="center"/>
        <w:outlineLvl w:val="0"/>
      </w:pPr>
      <w:bookmarkStart w:id="6" w:name="_Toc10196"/>
      <w:bookmarkStart w:id="7" w:name="_Toc23482"/>
      <w:bookmarkStart w:id="8" w:name="_Toc9174"/>
      <w:bookmarkStart w:id="9" w:name="_Toc14247"/>
      <w:bookmarkStart w:id="10" w:name="_Toc3240"/>
      <w:bookmarkStart w:id="11" w:name="_Toc109999381"/>
      <w:r>
        <w:rPr>
          <w:rFonts w:hint="eastAsia"/>
        </w:rPr>
        <w:t>重庆</w:t>
      </w:r>
      <w:r>
        <w:t>市</w:t>
      </w:r>
      <w:r>
        <w:rPr>
          <w:rFonts w:hint="eastAsia"/>
        </w:rPr>
        <w:t>大足区住房和城乡建设委员会</w:t>
      </w:r>
      <w:bookmarkEnd w:id="6"/>
      <w:bookmarkEnd w:id="7"/>
      <w:bookmarkEnd w:id="8"/>
      <w:bookmarkEnd w:id="9"/>
      <w:bookmarkEnd w:id="10"/>
      <w:bookmarkEnd w:id="11"/>
    </w:p>
    <w:p>
      <w:pPr>
        <w:ind w:firstLine="0" w:firstLineChars="0"/>
        <w:jc w:val="center"/>
        <w:sectPr>
          <w:headerReference r:id="rId5" w:type="first"/>
          <w:footerReference r:id="rId8" w:type="first"/>
          <w:headerReference r:id="rId3" w:type="default"/>
          <w:footerReference r:id="rId6" w:type="default"/>
          <w:headerReference r:id="rId4" w:type="even"/>
          <w:footerReference r:id="rId7" w:type="even"/>
          <w:pgSz w:w="11906" w:h="16838"/>
          <w:pgMar w:top="1440" w:right="1800" w:bottom="1440" w:left="1800" w:header="851" w:footer="992" w:gutter="0"/>
          <w:cols w:space="425" w:num="1"/>
          <w:docGrid w:type="lines" w:linePitch="312" w:charSpace="0"/>
        </w:sectPr>
      </w:pPr>
      <w:r>
        <w:rPr>
          <w:rFonts w:hint="eastAsia"/>
        </w:rPr>
        <w:t>2023年</w:t>
      </w:r>
      <w:r>
        <w:rPr>
          <w:rFonts w:hint="eastAsia"/>
          <w:lang w:val="en-US" w:eastAsia="zh-CN"/>
        </w:rPr>
        <w:t>6</w:t>
      </w:r>
      <w:r>
        <w:rPr>
          <w:rFonts w:hint="eastAsia"/>
        </w:rPr>
        <w:t>月</w:t>
      </w:r>
    </w:p>
    <w:p>
      <w:pPr>
        <w:pStyle w:val="2"/>
        <w:ind w:firstLine="0" w:firstLineChars="0"/>
      </w:pPr>
      <w:bookmarkStart w:id="12" w:name="_Toc17226"/>
      <w:bookmarkStart w:id="13" w:name="_Toc15063"/>
      <w:bookmarkStart w:id="14" w:name="_Toc3559"/>
      <w:bookmarkStart w:id="15" w:name="_Toc17788"/>
    </w:p>
    <w:p>
      <w:pPr>
        <w:ind w:firstLine="0" w:firstLineChars="0"/>
        <w:jc w:val="center"/>
        <w:outlineLvl w:val="0"/>
        <w:rPr>
          <w:rFonts w:ascii="方正兰亭粗黑简体" w:eastAsia="方正兰亭粗黑简体"/>
        </w:rPr>
      </w:pPr>
      <w:bookmarkStart w:id="16" w:name="_Toc109999382"/>
      <w:bookmarkStart w:id="17" w:name="_Toc26738"/>
      <w:r>
        <w:rPr>
          <w:rFonts w:hint="eastAsia" w:ascii="方正兰亭粗黑简体" w:eastAsia="方正兰亭粗黑简体"/>
        </w:rPr>
        <w:t>前  言</w:t>
      </w:r>
      <w:bookmarkEnd w:id="12"/>
      <w:bookmarkEnd w:id="13"/>
      <w:bookmarkEnd w:id="14"/>
      <w:bookmarkEnd w:id="15"/>
      <w:bookmarkEnd w:id="16"/>
      <w:bookmarkEnd w:id="17"/>
    </w:p>
    <w:p>
      <w:pPr>
        <w:ind w:firstLine="560"/>
        <w:rPr>
          <w:rFonts w:ascii="方正兰亭纤黑简体" w:hAnsi="仿宋" w:eastAsia="方正兰亭纤黑简体" w:cs="仿宋"/>
          <w:sz w:val="28"/>
        </w:rPr>
      </w:pPr>
      <w:r>
        <w:rPr>
          <w:rFonts w:hint="eastAsia" w:ascii="方正兰亭纤黑简体" w:hAnsi="仿宋" w:eastAsia="方正兰亭纤黑简体" w:cs="仿宋"/>
          <w:sz w:val="28"/>
        </w:rPr>
        <w:t>基础设施是城市高效运行和健康发展的物质基础，是完善基本公共服务和民生保障的基本前提，是优化城市功能的重要保障，具有服务的全局性、建设的系统性和发展的引导性等特征，在城市发展中居于重要的先导地位。《中华人民共和国国民经济和社会发展第十四个五年规划和2035年远景目标纲要》提出，要“统筹推进传统基础设施和新型基础设施建设”；《重庆市国民经济和社会发展第十四个五年规划和二</w:t>
      </w:r>
      <w:r>
        <w:rPr>
          <w:rFonts w:hint="eastAsia" w:ascii="宋体" w:hAnsi="宋体" w:eastAsia="宋体" w:cs="宋体"/>
          <w:sz w:val="28"/>
        </w:rPr>
        <w:t>〇</w:t>
      </w:r>
      <w:r>
        <w:rPr>
          <w:rFonts w:hint="eastAsia" w:ascii="方正兰亭纤黑简体" w:hAnsi="方正兰亭纤黑简体" w:eastAsia="方正兰亭纤黑简体" w:cs="方正兰亭纤黑简体"/>
          <w:sz w:val="28"/>
        </w:rPr>
        <w:t>三五年远景目标纲要》提出，要“以整体优化、协同融合为导向，统筹存量和增量，适度超前规划建设传统基础设施和新型基础设施，构建系统完备、高效实用、智能绿色、安全可靠的现代化基础设施体系”。加快推进大足区基础设施发展是提高城市治理水平、优化城市空间布局、服务市民生产生活、彰显城市独特魅力的重要措施，是大足</w:t>
      </w:r>
      <w:r>
        <w:rPr>
          <w:rFonts w:hint="eastAsia" w:ascii="方正兰亭纤黑简体" w:hAnsi="仿宋" w:eastAsia="方正兰亭纤黑简体" w:cs="仿宋"/>
          <w:sz w:val="28"/>
        </w:rPr>
        <w:t>区2021-2025年期间</w:t>
      </w:r>
      <w:r>
        <w:rPr>
          <w:rFonts w:hint="eastAsia" w:ascii="方正兰亭纤黑简体" w:hAnsi="方正兰亭纤黑简体" w:eastAsia="方正兰亭纤黑简体" w:cs="方正兰亭纤黑简体"/>
          <w:sz w:val="28"/>
        </w:rPr>
        <w:t>国民经济和社会实现更大发展的有力支撑。</w:t>
      </w:r>
    </w:p>
    <w:p>
      <w:pPr>
        <w:ind w:firstLine="560"/>
        <w:rPr>
          <w:rFonts w:ascii="方正兰亭纤黑简体" w:eastAsia="方正兰亭纤黑简体"/>
        </w:rPr>
      </w:pPr>
      <w:r>
        <w:rPr>
          <w:rFonts w:hint="eastAsia" w:ascii="方正兰亭纤黑简体" w:hAnsi="仿宋" w:eastAsia="方正兰亭纤黑简体" w:cs="仿宋"/>
          <w:sz w:val="28"/>
        </w:rPr>
        <w:t>为贯彻落实党中央、国务院决策部署和市委、市政府工作要求，贯彻区党代会报告精神，进一步明确2021-2025期间大足城市基础设施发展思路、发展目标和重大任务，依据《重庆市大足区国民经济和社会发展第十四个五年规划和二</w:t>
      </w:r>
      <w:r>
        <w:rPr>
          <w:rFonts w:hint="eastAsia" w:ascii="方正兰亭纤黑简体" w:hAnsi="仿宋" w:eastAsia="方正兰亭纤黑简体" w:cs="仿宋"/>
          <w:sz w:val="28"/>
          <w:lang w:eastAsia="zh-CN"/>
        </w:rPr>
        <w:t>〇</w:t>
      </w:r>
      <w:r>
        <w:rPr>
          <w:rFonts w:hint="eastAsia" w:ascii="方正兰亭纤黑简体" w:hAnsi="仿宋" w:eastAsia="方正兰亭纤黑简体" w:cs="仿宋"/>
          <w:sz w:val="28"/>
        </w:rPr>
        <w:t>三五年远景目标纲要》，编制《重庆市大足区城市基础设施建设2021-2025规划》（以下简称《规划》）。《规划》梳理总结了“十三五”时期城市基础设施建设取得成就，结合当前国内外相关发展形势和大足区实际情况，提出了2021-2025时期建设需求、发展思路、发展目标和重大任务，是指导全区未来五年城市基础设施及管廊、管线建设与社会协同发展的战略蓝图和行动纲领。</w:t>
      </w:r>
    </w:p>
    <w:p>
      <w:pPr>
        <w:ind w:firstLine="560"/>
        <w:rPr>
          <w:rFonts w:ascii="仿宋" w:hAnsi="仿宋" w:eastAsia="仿宋" w:cs="仿宋"/>
          <w:sz w:val="28"/>
        </w:rPr>
      </w:pPr>
      <w:r>
        <w:rPr>
          <w:rFonts w:hint="eastAsia" w:ascii="方正兰亭纤黑简体" w:hAnsi="仿宋" w:eastAsia="方正兰亭纤黑简体" w:cs="仿宋"/>
          <w:sz w:val="28"/>
        </w:rPr>
        <w:t>本次研究范围为重庆市大足区龙岗-棠香、龙水片区，规划期限为2021-2025年，展望到2035年。</w:t>
      </w:r>
      <w:r>
        <w:rPr>
          <w:rFonts w:hint="eastAsia" w:ascii="仿宋" w:hAnsi="仿宋" w:eastAsia="仿宋" w:cs="仿宋"/>
          <w:sz w:val="28"/>
        </w:rPr>
        <w:br w:type="page"/>
      </w:r>
    </w:p>
    <w:sdt>
      <w:sdtPr>
        <w:rPr>
          <w:rFonts w:ascii="Times New Roman" w:hAnsi="Times New Roman" w:eastAsia="方正仿宋_GBK" w:cs="Times New Roman"/>
          <w:color w:val="auto"/>
          <w:kern w:val="2"/>
          <w:szCs w:val="24"/>
          <w:lang w:val="zh-CN"/>
        </w:rPr>
        <w:id w:val="-1883788236"/>
        <w:docPartObj>
          <w:docPartGallery w:val="Table of Contents"/>
          <w:docPartUnique/>
        </w:docPartObj>
      </w:sdtPr>
      <w:sdtEndPr>
        <w:rPr>
          <w:rFonts w:ascii="Times New Roman" w:hAnsi="Times New Roman" w:eastAsia="方正仿宋_GBK" w:cs="Times New Roman"/>
          <w:b/>
          <w:bCs/>
          <w:color w:val="auto"/>
          <w:kern w:val="2"/>
          <w:szCs w:val="24"/>
          <w:lang w:val="zh-CN"/>
        </w:rPr>
      </w:sdtEndPr>
      <w:sdtContent>
        <w:p>
          <w:pPr>
            <w:pStyle w:val="39"/>
            <w:ind w:firstLine="640"/>
            <w:jc w:val="center"/>
            <w:rPr>
              <w:rFonts w:ascii="方正兰亭粗黑简体" w:hAnsi="仿宋" w:eastAsia="方正兰亭粗黑简体"/>
              <w:b/>
              <w:color w:val="auto"/>
            </w:rPr>
          </w:pPr>
          <w:bookmarkStart w:id="18" w:name="_Toc21301"/>
          <w:bookmarkStart w:id="19" w:name="_Toc21841"/>
          <w:r>
            <w:rPr>
              <w:rFonts w:hint="eastAsia" w:ascii="方正兰亭粗黑简体" w:hAnsi="仿宋" w:eastAsia="方正兰亭粗黑简体"/>
              <w:b/>
              <w:color w:val="auto"/>
              <w:lang w:val="zh-CN"/>
            </w:rPr>
            <w:t>目录</w:t>
          </w:r>
        </w:p>
        <w:p>
          <w:pPr>
            <w:pStyle w:val="17"/>
            <w:tabs>
              <w:tab w:val="right" w:leader="dot" w:pos="8306"/>
            </w:tabs>
            <w:ind w:left="640" w:firstLine="643"/>
          </w:pPr>
          <w:r>
            <w:rPr>
              <w:rFonts w:hint="eastAsia" w:ascii="方正兰亭纤黑简体" w:eastAsia="方正兰亭纤黑简体"/>
              <w:b/>
              <w:bCs/>
              <w:lang w:val="zh-CN"/>
            </w:rPr>
            <w:fldChar w:fldCharType="begin"/>
          </w:r>
          <w:r>
            <w:rPr>
              <w:rFonts w:hint="eastAsia" w:ascii="方正兰亭纤黑简体" w:eastAsia="方正兰亭纤黑简体"/>
              <w:b/>
              <w:bCs/>
              <w:lang w:val="zh-CN"/>
            </w:rPr>
            <w:instrText xml:space="preserve"> TOC \o "1-3" \h \z \u </w:instrText>
          </w:r>
          <w:r>
            <w:rPr>
              <w:rFonts w:hint="eastAsia" w:ascii="方正兰亭纤黑简体" w:eastAsia="方正兰亭纤黑简体"/>
              <w:b/>
              <w:bCs/>
              <w:lang w:val="zh-CN"/>
            </w:rPr>
            <w:fldChar w:fldCharType="separate"/>
          </w:r>
        </w:p>
        <w:p>
          <w:pPr>
            <w:pStyle w:val="17"/>
            <w:tabs>
              <w:tab w:val="right" w:leader="dot" w:pos="8306"/>
            </w:tabs>
            <w:ind w:left="640" w:firstLine="640"/>
          </w:pPr>
          <w:r>
            <w:fldChar w:fldCharType="begin"/>
          </w:r>
          <w:r>
            <w:instrText xml:space="preserve"> HYPERLINK \l "_Toc26738" </w:instrText>
          </w:r>
          <w:r>
            <w:fldChar w:fldCharType="separate"/>
          </w:r>
          <w:r>
            <w:rPr>
              <w:rFonts w:hint="eastAsia" w:ascii="方正兰亭粗黑简体" w:eastAsia="方正兰亭粗黑简体"/>
            </w:rPr>
            <w:t>前  言</w:t>
          </w:r>
          <w:r>
            <w:tab/>
          </w:r>
          <w:r>
            <w:fldChar w:fldCharType="begin"/>
          </w:r>
          <w:r>
            <w:instrText xml:space="preserve"> PAGEREF _Toc26738 \h </w:instrText>
          </w:r>
          <w:r>
            <w:fldChar w:fldCharType="separate"/>
          </w:r>
          <w:r>
            <w:t>1</w:t>
          </w:r>
          <w:r>
            <w:fldChar w:fldCharType="end"/>
          </w:r>
          <w:r>
            <w:fldChar w:fldCharType="end"/>
          </w:r>
        </w:p>
        <w:p>
          <w:pPr>
            <w:pStyle w:val="18"/>
            <w:tabs>
              <w:tab w:val="right" w:leader="dot" w:pos="8306"/>
            </w:tabs>
            <w:ind w:left="640" w:firstLine="640"/>
          </w:pPr>
          <w:r>
            <w:fldChar w:fldCharType="begin"/>
          </w:r>
          <w:r>
            <w:instrText xml:space="preserve"> HYPERLINK \l "_Toc9625" </w:instrText>
          </w:r>
          <w:r>
            <w:fldChar w:fldCharType="separate"/>
          </w:r>
          <w:r>
            <w:rPr>
              <w:rFonts w:hint="eastAsia" w:ascii="方正兰亭粗黑简体" w:hAnsi="仿宋" w:eastAsia="方正兰亭粗黑简体" w:cs="仿宋"/>
            </w:rPr>
            <w:t>第一章 规划背景</w:t>
          </w:r>
          <w:r>
            <w:tab/>
          </w:r>
          <w:r>
            <w:fldChar w:fldCharType="begin"/>
          </w:r>
          <w:r>
            <w:instrText xml:space="preserve"> PAGEREF _Toc9625 \h </w:instrText>
          </w:r>
          <w:r>
            <w:fldChar w:fldCharType="separate"/>
          </w:r>
          <w:r>
            <w:t>1</w:t>
          </w:r>
          <w:r>
            <w:fldChar w:fldCharType="end"/>
          </w:r>
          <w:r>
            <w:fldChar w:fldCharType="end"/>
          </w:r>
        </w:p>
        <w:p>
          <w:pPr>
            <w:pStyle w:val="11"/>
            <w:tabs>
              <w:tab w:val="right" w:leader="dot" w:pos="8306"/>
            </w:tabs>
            <w:ind w:firstLine="560"/>
            <w:rPr>
              <w:sz w:val="28"/>
              <w:szCs w:val="32"/>
            </w:rPr>
          </w:pPr>
          <w:r>
            <w:fldChar w:fldCharType="begin"/>
          </w:r>
          <w:r>
            <w:instrText xml:space="preserve"> HYPERLINK \l "_Toc8161" </w:instrText>
          </w:r>
          <w:r>
            <w:fldChar w:fldCharType="separate"/>
          </w:r>
          <w:r>
            <w:rPr>
              <w:rFonts w:hint="eastAsia" w:ascii="方正兰亭纤黑简体" w:hAnsi="仿宋" w:eastAsia="方正兰亭纤黑简体" w:cs="仿宋"/>
              <w:sz w:val="28"/>
              <w:szCs w:val="32"/>
            </w:rPr>
            <w:t>第一节 “十三五”发展成就</w:t>
          </w:r>
          <w:r>
            <w:rPr>
              <w:sz w:val="28"/>
              <w:szCs w:val="32"/>
            </w:rPr>
            <w:tab/>
          </w:r>
          <w:r>
            <w:rPr>
              <w:sz w:val="28"/>
              <w:szCs w:val="32"/>
            </w:rPr>
            <w:fldChar w:fldCharType="begin"/>
          </w:r>
          <w:r>
            <w:rPr>
              <w:sz w:val="28"/>
              <w:szCs w:val="32"/>
            </w:rPr>
            <w:instrText xml:space="preserve"> PAGEREF _Toc8161 \h </w:instrText>
          </w:r>
          <w:r>
            <w:rPr>
              <w:sz w:val="28"/>
              <w:szCs w:val="32"/>
            </w:rPr>
            <w:fldChar w:fldCharType="separate"/>
          </w:r>
          <w:r>
            <w:rPr>
              <w:sz w:val="28"/>
              <w:szCs w:val="32"/>
            </w:rPr>
            <w:t>1</w:t>
          </w:r>
          <w:r>
            <w:rPr>
              <w:sz w:val="28"/>
              <w:szCs w:val="32"/>
            </w:rPr>
            <w:fldChar w:fldCharType="end"/>
          </w:r>
          <w:r>
            <w:rPr>
              <w:sz w:val="28"/>
              <w:szCs w:val="32"/>
            </w:rPr>
            <w:fldChar w:fldCharType="end"/>
          </w:r>
        </w:p>
        <w:p>
          <w:pPr>
            <w:pStyle w:val="11"/>
            <w:tabs>
              <w:tab w:val="right" w:leader="dot" w:pos="8306"/>
            </w:tabs>
            <w:ind w:firstLine="560"/>
            <w:rPr>
              <w:sz w:val="28"/>
              <w:szCs w:val="32"/>
            </w:rPr>
          </w:pPr>
          <w:r>
            <w:fldChar w:fldCharType="begin"/>
          </w:r>
          <w:r>
            <w:instrText xml:space="preserve"> HYPERLINK \l "_Toc8255" </w:instrText>
          </w:r>
          <w:r>
            <w:fldChar w:fldCharType="separate"/>
          </w:r>
          <w:r>
            <w:rPr>
              <w:rFonts w:hint="eastAsia" w:ascii="方正兰亭纤黑简体" w:hAnsi="仿宋" w:eastAsia="方正兰亭纤黑简体" w:cs="仿宋"/>
              <w:sz w:val="28"/>
              <w:szCs w:val="32"/>
            </w:rPr>
            <w:t>第二节 发展机遇</w:t>
          </w:r>
          <w:r>
            <w:rPr>
              <w:sz w:val="28"/>
              <w:szCs w:val="32"/>
            </w:rPr>
            <w:tab/>
          </w:r>
          <w:r>
            <w:rPr>
              <w:sz w:val="28"/>
              <w:szCs w:val="32"/>
            </w:rPr>
            <w:fldChar w:fldCharType="begin"/>
          </w:r>
          <w:r>
            <w:rPr>
              <w:sz w:val="28"/>
              <w:szCs w:val="32"/>
            </w:rPr>
            <w:instrText xml:space="preserve"> PAGEREF _Toc8255 \h </w:instrText>
          </w:r>
          <w:r>
            <w:rPr>
              <w:sz w:val="28"/>
              <w:szCs w:val="32"/>
            </w:rPr>
            <w:fldChar w:fldCharType="separate"/>
          </w:r>
          <w:r>
            <w:rPr>
              <w:sz w:val="28"/>
              <w:szCs w:val="32"/>
            </w:rPr>
            <w:t>6</w:t>
          </w:r>
          <w:r>
            <w:rPr>
              <w:sz w:val="28"/>
              <w:szCs w:val="32"/>
            </w:rPr>
            <w:fldChar w:fldCharType="end"/>
          </w:r>
          <w:r>
            <w:rPr>
              <w:sz w:val="28"/>
              <w:szCs w:val="32"/>
            </w:rPr>
            <w:fldChar w:fldCharType="end"/>
          </w:r>
        </w:p>
        <w:p>
          <w:pPr>
            <w:pStyle w:val="11"/>
            <w:tabs>
              <w:tab w:val="right" w:leader="dot" w:pos="8306"/>
            </w:tabs>
            <w:ind w:firstLine="560"/>
          </w:pPr>
          <w:r>
            <w:fldChar w:fldCharType="begin"/>
          </w:r>
          <w:r>
            <w:instrText xml:space="preserve"> HYPERLINK \l "_Toc28718" </w:instrText>
          </w:r>
          <w:r>
            <w:fldChar w:fldCharType="separate"/>
          </w:r>
          <w:r>
            <w:rPr>
              <w:rFonts w:hint="eastAsia" w:ascii="方正兰亭纤黑简体" w:hAnsi="仿宋" w:eastAsia="方正兰亭纤黑简体" w:cs="仿宋"/>
              <w:sz w:val="28"/>
              <w:szCs w:val="32"/>
            </w:rPr>
            <w:t>第三节 面临挑战</w:t>
          </w:r>
          <w:r>
            <w:rPr>
              <w:sz w:val="28"/>
              <w:szCs w:val="32"/>
            </w:rPr>
            <w:tab/>
          </w:r>
          <w:r>
            <w:rPr>
              <w:sz w:val="28"/>
              <w:szCs w:val="32"/>
            </w:rPr>
            <w:fldChar w:fldCharType="begin"/>
          </w:r>
          <w:r>
            <w:rPr>
              <w:sz w:val="28"/>
              <w:szCs w:val="32"/>
            </w:rPr>
            <w:instrText xml:space="preserve"> PAGEREF _Toc28718 \h </w:instrText>
          </w:r>
          <w:r>
            <w:rPr>
              <w:sz w:val="28"/>
              <w:szCs w:val="32"/>
            </w:rPr>
            <w:fldChar w:fldCharType="separate"/>
          </w:r>
          <w:r>
            <w:rPr>
              <w:sz w:val="28"/>
              <w:szCs w:val="32"/>
            </w:rPr>
            <w:t>8</w:t>
          </w:r>
          <w:r>
            <w:rPr>
              <w:sz w:val="28"/>
              <w:szCs w:val="32"/>
            </w:rPr>
            <w:fldChar w:fldCharType="end"/>
          </w:r>
          <w:r>
            <w:rPr>
              <w:sz w:val="28"/>
              <w:szCs w:val="32"/>
            </w:rPr>
            <w:fldChar w:fldCharType="end"/>
          </w:r>
        </w:p>
        <w:p>
          <w:pPr>
            <w:pStyle w:val="18"/>
            <w:tabs>
              <w:tab w:val="right" w:leader="dot" w:pos="8306"/>
            </w:tabs>
            <w:ind w:left="640" w:firstLine="640"/>
          </w:pPr>
          <w:r>
            <w:fldChar w:fldCharType="begin"/>
          </w:r>
          <w:r>
            <w:instrText xml:space="preserve"> HYPERLINK \l "_Toc28985" </w:instrText>
          </w:r>
          <w:r>
            <w:fldChar w:fldCharType="separate"/>
          </w:r>
          <w:r>
            <w:rPr>
              <w:rFonts w:hint="eastAsia" w:ascii="方正兰亭粗黑简体" w:hAnsi="仿宋" w:eastAsia="方正兰亭粗黑简体" w:cs="仿宋"/>
            </w:rPr>
            <w:t>第二章 总体要求与发展目标</w:t>
          </w:r>
          <w:r>
            <w:tab/>
          </w:r>
          <w:r>
            <w:fldChar w:fldCharType="begin"/>
          </w:r>
          <w:r>
            <w:instrText xml:space="preserve"> PAGEREF _Toc28985 \h </w:instrText>
          </w:r>
          <w:r>
            <w:fldChar w:fldCharType="separate"/>
          </w:r>
          <w:r>
            <w:t>10</w:t>
          </w:r>
          <w:r>
            <w:fldChar w:fldCharType="end"/>
          </w:r>
          <w:r>
            <w:fldChar w:fldCharType="end"/>
          </w:r>
        </w:p>
        <w:p>
          <w:pPr>
            <w:pStyle w:val="11"/>
            <w:tabs>
              <w:tab w:val="right" w:leader="dot" w:pos="8306"/>
            </w:tabs>
            <w:ind w:firstLine="560"/>
            <w:rPr>
              <w:sz w:val="28"/>
              <w:szCs w:val="32"/>
            </w:rPr>
          </w:pPr>
          <w:r>
            <w:fldChar w:fldCharType="begin"/>
          </w:r>
          <w:r>
            <w:instrText xml:space="preserve"> HYPERLINK \l "_Toc12227" </w:instrText>
          </w:r>
          <w:r>
            <w:fldChar w:fldCharType="separate"/>
          </w:r>
          <w:r>
            <w:rPr>
              <w:rFonts w:hint="eastAsia" w:ascii="方正兰亭纤黑简体" w:hAnsi="仿宋" w:eastAsia="方正兰亭纤黑简体" w:cs="仿宋"/>
              <w:sz w:val="28"/>
              <w:szCs w:val="32"/>
            </w:rPr>
            <w:t>第一节 指导思想</w:t>
          </w:r>
          <w:r>
            <w:rPr>
              <w:sz w:val="28"/>
              <w:szCs w:val="32"/>
            </w:rPr>
            <w:tab/>
          </w:r>
          <w:r>
            <w:rPr>
              <w:sz w:val="28"/>
              <w:szCs w:val="32"/>
            </w:rPr>
            <w:fldChar w:fldCharType="begin"/>
          </w:r>
          <w:r>
            <w:rPr>
              <w:sz w:val="28"/>
              <w:szCs w:val="32"/>
            </w:rPr>
            <w:instrText xml:space="preserve"> PAGEREF _Toc12227 \h </w:instrText>
          </w:r>
          <w:r>
            <w:rPr>
              <w:sz w:val="28"/>
              <w:szCs w:val="32"/>
            </w:rPr>
            <w:fldChar w:fldCharType="separate"/>
          </w:r>
          <w:r>
            <w:rPr>
              <w:sz w:val="28"/>
              <w:szCs w:val="32"/>
            </w:rPr>
            <w:t>10</w:t>
          </w:r>
          <w:r>
            <w:rPr>
              <w:sz w:val="28"/>
              <w:szCs w:val="32"/>
            </w:rPr>
            <w:fldChar w:fldCharType="end"/>
          </w:r>
          <w:r>
            <w:rPr>
              <w:sz w:val="28"/>
              <w:szCs w:val="32"/>
            </w:rPr>
            <w:fldChar w:fldCharType="end"/>
          </w:r>
        </w:p>
        <w:p>
          <w:pPr>
            <w:pStyle w:val="11"/>
            <w:tabs>
              <w:tab w:val="right" w:leader="dot" w:pos="8306"/>
            </w:tabs>
            <w:ind w:firstLine="560"/>
            <w:rPr>
              <w:sz w:val="28"/>
              <w:szCs w:val="32"/>
            </w:rPr>
          </w:pPr>
          <w:r>
            <w:fldChar w:fldCharType="begin"/>
          </w:r>
          <w:r>
            <w:instrText xml:space="preserve"> HYPERLINK \l "_Toc12951" </w:instrText>
          </w:r>
          <w:r>
            <w:fldChar w:fldCharType="separate"/>
          </w:r>
          <w:r>
            <w:rPr>
              <w:rFonts w:hint="eastAsia" w:ascii="方正兰亭纤黑简体" w:hAnsi="仿宋" w:eastAsia="方正兰亭纤黑简体" w:cs="仿宋"/>
              <w:sz w:val="28"/>
              <w:szCs w:val="32"/>
            </w:rPr>
            <w:t>第二节 基本原则</w:t>
          </w:r>
          <w:r>
            <w:rPr>
              <w:sz w:val="28"/>
              <w:szCs w:val="32"/>
            </w:rPr>
            <w:tab/>
          </w:r>
          <w:r>
            <w:rPr>
              <w:sz w:val="28"/>
              <w:szCs w:val="32"/>
            </w:rPr>
            <w:fldChar w:fldCharType="begin"/>
          </w:r>
          <w:r>
            <w:rPr>
              <w:sz w:val="28"/>
              <w:szCs w:val="32"/>
            </w:rPr>
            <w:instrText xml:space="preserve"> PAGEREF _Toc12951 \h </w:instrText>
          </w:r>
          <w:r>
            <w:rPr>
              <w:sz w:val="28"/>
              <w:szCs w:val="32"/>
            </w:rPr>
            <w:fldChar w:fldCharType="separate"/>
          </w:r>
          <w:r>
            <w:rPr>
              <w:sz w:val="28"/>
              <w:szCs w:val="32"/>
            </w:rPr>
            <w:t>10</w:t>
          </w:r>
          <w:r>
            <w:rPr>
              <w:sz w:val="28"/>
              <w:szCs w:val="32"/>
            </w:rPr>
            <w:fldChar w:fldCharType="end"/>
          </w:r>
          <w:r>
            <w:rPr>
              <w:sz w:val="28"/>
              <w:szCs w:val="32"/>
            </w:rPr>
            <w:fldChar w:fldCharType="end"/>
          </w:r>
        </w:p>
        <w:p>
          <w:pPr>
            <w:pStyle w:val="11"/>
            <w:tabs>
              <w:tab w:val="right" w:leader="dot" w:pos="8306"/>
            </w:tabs>
            <w:ind w:firstLine="560"/>
          </w:pPr>
          <w:r>
            <w:fldChar w:fldCharType="begin"/>
          </w:r>
          <w:r>
            <w:instrText xml:space="preserve"> HYPERLINK \l "_Toc9333" </w:instrText>
          </w:r>
          <w:r>
            <w:fldChar w:fldCharType="separate"/>
          </w:r>
          <w:r>
            <w:rPr>
              <w:rFonts w:hint="eastAsia" w:ascii="方正兰亭纤黑简体" w:hAnsi="仿宋" w:eastAsia="方正兰亭纤黑简体" w:cs="仿宋"/>
              <w:sz w:val="28"/>
              <w:szCs w:val="32"/>
            </w:rPr>
            <w:t>第三节 发展目标</w:t>
          </w:r>
          <w:r>
            <w:rPr>
              <w:sz w:val="28"/>
              <w:szCs w:val="32"/>
            </w:rPr>
            <w:tab/>
          </w:r>
          <w:r>
            <w:rPr>
              <w:sz w:val="28"/>
              <w:szCs w:val="32"/>
            </w:rPr>
            <w:fldChar w:fldCharType="begin"/>
          </w:r>
          <w:r>
            <w:rPr>
              <w:sz w:val="28"/>
              <w:szCs w:val="32"/>
            </w:rPr>
            <w:instrText xml:space="preserve"> PAGEREF _Toc9333 \h </w:instrText>
          </w:r>
          <w:r>
            <w:rPr>
              <w:sz w:val="28"/>
              <w:szCs w:val="32"/>
            </w:rPr>
            <w:fldChar w:fldCharType="separate"/>
          </w:r>
          <w:r>
            <w:rPr>
              <w:sz w:val="28"/>
              <w:szCs w:val="32"/>
            </w:rPr>
            <w:t>13</w:t>
          </w:r>
          <w:r>
            <w:rPr>
              <w:sz w:val="28"/>
              <w:szCs w:val="32"/>
            </w:rPr>
            <w:fldChar w:fldCharType="end"/>
          </w:r>
          <w:r>
            <w:rPr>
              <w:sz w:val="28"/>
              <w:szCs w:val="32"/>
            </w:rPr>
            <w:fldChar w:fldCharType="end"/>
          </w:r>
        </w:p>
        <w:p>
          <w:pPr>
            <w:pStyle w:val="18"/>
            <w:tabs>
              <w:tab w:val="right" w:leader="dot" w:pos="8306"/>
            </w:tabs>
            <w:ind w:left="640" w:firstLine="640"/>
          </w:pPr>
          <w:r>
            <w:fldChar w:fldCharType="begin"/>
          </w:r>
          <w:r>
            <w:instrText xml:space="preserve"> HYPERLINK \l "_Toc32443" </w:instrText>
          </w:r>
          <w:r>
            <w:fldChar w:fldCharType="separate"/>
          </w:r>
          <w:r>
            <w:rPr>
              <w:rFonts w:hint="eastAsia" w:ascii="方正兰亭粗黑简体" w:hAnsi="仿宋" w:eastAsia="方正兰亭粗黑简体" w:cs="仿宋"/>
            </w:rPr>
            <w:t>第三章 建强成渝桥头堡，做靓石刻文化城</w:t>
          </w:r>
          <w:r>
            <w:tab/>
          </w:r>
          <w:r>
            <w:fldChar w:fldCharType="begin"/>
          </w:r>
          <w:r>
            <w:instrText xml:space="preserve"> PAGEREF _Toc32443 \h </w:instrText>
          </w:r>
          <w:r>
            <w:fldChar w:fldCharType="separate"/>
          </w:r>
          <w:r>
            <w:t>24</w:t>
          </w:r>
          <w:r>
            <w:fldChar w:fldCharType="end"/>
          </w:r>
          <w:r>
            <w:fldChar w:fldCharType="end"/>
          </w:r>
        </w:p>
        <w:p>
          <w:pPr>
            <w:pStyle w:val="11"/>
            <w:tabs>
              <w:tab w:val="right" w:leader="dot" w:pos="8306"/>
            </w:tabs>
            <w:ind w:firstLine="560"/>
            <w:rPr>
              <w:sz w:val="28"/>
              <w:szCs w:val="32"/>
            </w:rPr>
          </w:pPr>
          <w:r>
            <w:fldChar w:fldCharType="begin"/>
          </w:r>
          <w:r>
            <w:instrText xml:space="preserve"> HYPERLINK \l "_Toc17274" </w:instrText>
          </w:r>
          <w:r>
            <w:fldChar w:fldCharType="separate"/>
          </w:r>
          <w:r>
            <w:rPr>
              <w:rFonts w:hint="eastAsia" w:ascii="方正兰亭纤黑简体" w:hAnsi="仿宋" w:eastAsia="方正兰亭纤黑简体" w:cs="仿宋"/>
              <w:sz w:val="28"/>
              <w:szCs w:val="32"/>
            </w:rPr>
            <w:t>第一节 构建开放合作新格局</w:t>
          </w:r>
          <w:r>
            <w:rPr>
              <w:sz w:val="28"/>
              <w:szCs w:val="32"/>
            </w:rPr>
            <w:tab/>
          </w:r>
          <w:r>
            <w:rPr>
              <w:sz w:val="28"/>
              <w:szCs w:val="32"/>
            </w:rPr>
            <w:fldChar w:fldCharType="begin"/>
          </w:r>
          <w:r>
            <w:rPr>
              <w:sz w:val="28"/>
              <w:szCs w:val="32"/>
            </w:rPr>
            <w:instrText xml:space="preserve"> PAGEREF _Toc17274 \h </w:instrText>
          </w:r>
          <w:r>
            <w:rPr>
              <w:sz w:val="28"/>
              <w:szCs w:val="32"/>
            </w:rPr>
            <w:fldChar w:fldCharType="separate"/>
          </w:r>
          <w:r>
            <w:rPr>
              <w:sz w:val="28"/>
              <w:szCs w:val="32"/>
            </w:rPr>
            <w:t>24</w:t>
          </w:r>
          <w:r>
            <w:rPr>
              <w:sz w:val="28"/>
              <w:szCs w:val="32"/>
            </w:rPr>
            <w:fldChar w:fldCharType="end"/>
          </w:r>
          <w:r>
            <w:rPr>
              <w:sz w:val="28"/>
              <w:szCs w:val="32"/>
            </w:rPr>
            <w:fldChar w:fldCharType="end"/>
          </w:r>
        </w:p>
        <w:p>
          <w:pPr>
            <w:pStyle w:val="11"/>
            <w:tabs>
              <w:tab w:val="right" w:leader="dot" w:pos="8306"/>
            </w:tabs>
            <w:ind w:firstLine="560"/>
            <w:rPr>
              <w:sz w:val="28"/>
              <w:szCs w:val="32"/>
            </w:rPr>
          </w:pPr>
          <w:r>
            <w:fldChar w:fldCharType="begin"/>
          </w:r>
          <w:r>
            <w:instrText xml:space="preserve"> HYPERLINK \l "_Toc4341" </w:instrText>
          </w:r>
          <w:r>
            <w:fldChar w:fldCharType="separate"/>
          </w:r>
          <w:r>
            <w:rPr>
              <w:rFonts w:hint="eastAsia" w:ascii="方正兰亭纤黑简体" w:hAnsi="仿宋" w:eastAsia="方正兰亭纤黑简体" w:cs="仿宋"/>
              <w:sz w:val="28"/>
              <w:szCs w:val="32"/>
            </w:rPr>
            <w:t>第二节 做靓大足石刻文化城</w:t>
          </w:r>
          <w:r>
            <w:rPr>
              <w:sz w:val="28"/>
              <w:szCs w:val="32"/>
            </w:rPr>
            <w:tab/>
          </w:r>
          <w:r>
            <w:rPr>
              <w:sz w:val="28"/>
              <w:szCs w:val="32"/>
            </w:rPr>
            <w:fldChar w:fldCharType="begin"/>
          </w:r>
          <w:r>
            <w:rPr>
              <w:sz w:val="28"/>
              <w:szCs w:val="32"/>
            </w:rPr>
            <w:instrText xml:space="preserve"> PAGEREF _Toc4341 \h </w:instrText>
          </w:r>
          <w:r>
            <w:rPr>
              <w:sz w:val="28"/>
              <w:szCs w:val="32"/>
            </w:rPr>
            <w:fldChar w:fldCharType="separate"/>
          </w:r>
          <w:r>
            <w:rPr>
              <w:sz w:val="28"/>
              <w:szCs w:val="32"/>
            </w:rPr>
            <w:t>25</w:t>
          </w:r>
          <w:r>
            <w:rPr>
              <w:sz w:val="28"/>
              <w:szCs w:val="32"/>
            </w:rPr>
            <w:fldChar w:fldCharType="end"/>
          </w:r>
          <w:r>
            <w:rPr>
              <w:sz w:val="28"/>
              <w:szCs w:val="32"/>
            </w:rPr>
            <w:fldChar w:fldCharType="end"/>
          </w:r>
        </w:p>
        <w:p>
          <w:pPr>
            <w:pStyle w:val="11"/>
            <w:tabs>
              <w:tab w:val="right" w:leader="dot" w:pos="8306"/>
            </w:tabs>
            <w:ind w:firstLine="560"/>
          </w:pPr>
          <w:r>
            <w:fldChar w:fldCharType="begin"/>
          </w:r>
          <w:r>
            <w:instrText xml:space="preserve"> HYPERLINK \l "_Toc21006" </w:instrText>
          </w:r>
          <w:r>
            <w:fldChar w:fldCharType="separate"/>
          </w:r>
          <w:r>
            <w:rPr>
              <w:rFonts w:hint="eastAsia" w:ascii="方正兰亭纤黑简体" w:hAnsi="仿宋" w:eastAsia="方正兰亭纤黑简体" w:cs="仿宋"/>
              <w:sz w:val="28"/>
              <w:szCs w:val="32"/>
            </w:rPr>
            <w:t>第三节 打造“大丰大足”幸福之城</w:t>
          </w:r>
          <w:r>
            <w:rPr>
              <w:sz w:val="28"/>
              <w:szCs w:val="32"/>
            </w:rPr>
            <w:tab/>
          </w:r>
          <w:r>
            <w:rPr>
              <w:sz w:val="28"/>
              <w:szCs w:val="32"/>
            </w:rPr>
            <w:fldChar w:fldCharType="begin"/>
          </w:r>
          <w:r>
            <w:rPr>
              <w:sz w:val="28"/>
              <w:szCs w:val="32"/>
            </w:rPr>
            <w:instrText xml:space="preserve"> PAGEREF _Toc21006 \h </w:instrText>
          </w:r>
          <w:r>
            <w:rPr>
              <w:sz w:val="28"/>
              <w:szCs w:val="32"/>
            </w:rPr>
            <w:fldChar w:fldCharType="separate"/>
          </w:r>
          <w:r>
            <w:rPr>
              <w:sz w:val="28"/>
              <w:szCs w:val="32"/>
            </w:rPr>
            <w:t>26</w:t>
          </w:r>
          <w:r>
            <w:rPr>
              <w:sz w:val="28"/>
              <w:szCs w:val="32"/>
            </w:rPr>
            <w:fldChar w:fldCharType="end"/>
          </w:r>
          <w:r>
            <w:rPr>
              <w:sz w:val="28"/>
              <w:szCs w:val="32"/>
            </w:rPr>
            <w:fldChar w:fldCharType="end"/>
          </w:r>
        </w:p>
        <w:p>
          <w:pPr>
            <w:pStyle w:val="18"/>
            <w:tabs>
              <w:tab w:val="right" w:leader="dot" w:pos="8306"/>
            </w:tabs>
            <w:ind w:left="640" w:firstLine="640"/>
          </w:pPr>
          <w:r>
            <w:fldChar w:fldCharType="begin"/>
          </w:r>
          <w:r>
            <w:instrText xml:space="preserve"> HYPERLINK \l "_Toc23574" </w:instrText>
          </w:r>
          <w:r>
            <w:fldChar w:fldCharType="separate"/>
          </w:r>
          <w:r>
            <w:rPr>
              <w:rFonts w:hint="eastAsia" w:ascii="方正兰亭粗黑简体" w:hAnsi="仿宋" w:eastAsia="方正兰亭粗黑简体" w:cs="仿宋"/>
            </w:rPr>
            <w:t>第四章 推进综合交通发展，提升城市运转效率</w:t>
          </w:r>
          <w:r>
            <w:tab/>
          </w:r>
          <w:r>
            <w:fldChar w:fldCharType="begin"/>
          </w:r>
          <w:r>
            <w:instrText xml:space="preserve"> PAGEREF _Toc23574 \h </w:instrText>
          </w:r>
          <w:r>
            <w:fldChar w:fldCharType="separate"/>
          </w:r>
          <w:r>
            <w:t>28</w:t>
          </w:r>
          <w:r>
            <w:fldChar w:fldCharType="end"/>
          </w:r>
          <w:r>
            <w:fldChar w:fldCharType="end"/>
          </w:r>
        </w:p>
        <w:p>
          <w:pPr>
            <w:pStyle w:val="11"/>
            <w:tabs>
              <w:tab w:val="right" w:leader="dot" w:pos="8306"/>
            </w:tabs>
            <w:ind w:firstLine="560"/>
            <w:rPr>
              <w:sz w:val="28"/>
              <w:szCs w:val="32"/>
            </w:rPr>
          </w:pPr>
          <w:r>
            <w:fldChar w:fldCharType="begin"/>
          </w:r>
          <w:r>
            <w:instrText xml:space="preserve"> HYPERLINK \l "_Toc14388" </w:instrText>
          </w:r>
          <w:r>
            <w:fldChar w:fldCharType="separate"/>
          </w:r>
          <w:r>
            <w:rPr>
              <w:rFonts w:hint="eastAsia" w:ascii="方正兰亭纤黑简体" w:hAnsi="仿宋" w:eastAsia="方正兰亭纤黑简体" w:cs="仿宋"/>
              <w:sz w:val="28"/>
              <w:szCs w:val="32"/>
            </w:rPr>
            <w:t>第一节 建设多层级融合的区域轨道交通体系</w:t>
          </w:r>
          <w:r>
            <w:rPr>
              <w:sz w:val="28"/>
              <w:szCs w:val="32"/>
            </w:rPr>
            <w:tab/>
          </w:r>
          <w:r>
            <w:rPr>
              <w:sz w:val="28"/>
              <w:szCs w:val="32"/>
            </w:rPr>
            <w:fldChar w:fldCharType="begin"/>
          </w:r>
          <w:r>
            <w:rPr>
              <w:sz w:val="28"/>
              <w:szCs w:val="32"/>
            </w:rPr>
            <w:instrText xml:space="preserve"> PAGEREF _Toc14388 \h </w:instrText>
          </w:r>
          <w:r>
            <w:rPr>
              <w:sz w:val="28"/>
              <w:szCs w:val="32"/>
            </w:rPr>
            <w:fldChar w:fldCharType="separate"/>
          </w:r>
          <w:r>
            <w:rPr>
              <w:sz w:val="28"/>
              <w:szCs w:val="32"/>
            </w:rPr>
            <w:t>28</w:t>
          </w:r>
          <w:r>
            <w:rPr>
              <w:sz w:val="28"/>
              <w:szCs w:val="32"/>
            </w:rPr>
            <w:fldChar w:fldCharType="end"/>
          </w:r>
          <w:r>
            <w:rPr>
              <w:sz w:val="28"/>
              <w:szCs w:val="32"/>
            </w:rPr>
            <w:fldChar w:fldCharType="end"/>
          </w:r>
        </w:p>
        <w:p>
          <w:pPr>
            <w:pStyle w:val="11"/>
            <w:tabs>
              <w:tab w:val="right" w:leader="dot" w:pos="8306"/>
            </w:tabs>
            <w:ind w:firstLine="560"/>
            <w:rPr>
              <w:sz w:val="28"/>
              <w:szCs w:val="32"/>
            </w:rPr>
          </w:pPr>
          <w:r>
            <w:fldChar w:fldCharType="begin"/>
          </w:r>
          <w:r>
            <w:instrText xml:space="preserve"> HYPERLINK \l "_Toc20132" </w:instrText>
          </w:r>
          <w:r>
            <w:fldChar w:fldCharType="separate"/>
          </w:r>
          <w:r>
            <w:rPr>
              <w:rFonts w:hint="eastAsia" w:ascii="方正兰亭纤黑简体" w:hAnsi="仿宋" w:eastAsia="方正兰亭纤黑简体" w:cs="仿宋"/>
              <w:sz w:val="28"/>
              <w:szCs w:val="32"/>
            </w:rPr>
            <w:t>第二节 大力完善城市道路网络</w:t>
          </w:r>
          <w:r>
            <w:rPr>
              <w:sz w:val="28"/>
              <w:szCs w:val="32"/>
            </w:rPr>
            <w:tab/>
          </w:r>
          <w:r>
            <w:rPr>
              <w:sz w:val="28"/>
              <w:szCs w:val="32"/>
            </w:rPr>
            <w:fldChar w:fldCharType="begin"/>
          </w:r>
          <w:r>
            <w:rPr>
              <w:sz w:val="28"/>
              <w:szCs w:val="32"/>
            </w:rPr>
            <w:instrText xml:space="preserve"> PAGEREF _Toc20132 \h </w:instrText>
          </w:r>
          <w:r>
            <w:rPr>
              <w:sz w:val="28"/>
              <w:szCs w:val="32"/>
            </w:rPr>
            <w:fldChar w:fldCharType="separate"/>
          </w:r>
          <w:r>
            <w:rPr>
              <w:sz w:val="28"/>
              <w:szCs w:val="32"/>
            </w:rPr>
            <w:t>31</w:t>
          </w:r>
          <w:r>
            <w:rPr>
              <w:sz w:val="28"/>
              <w:szCs w:val="32"/>
            </w:rPr>
            <w:fldChar w:fldCharType="end"/>
          </w:r>
          <w:r>
            <w:rPr>
              <w:sz w:val="28"/>
              <w:szCs w:val="32"/>
            </w:rPr>
            <w:fldChar w:fldCharType="end"/>
          </w:r>
        </w:p>
        <w:p>
          <w:pPr>
            <w:pStyle w:val="11"/>
            <w:tabs>
              <w:tab w:val="right" w:leader="dot" w:pos="8306"/>
            </w:tabs>
            <w:ind w:firstLine="560"/>
            <w:rPr>
              <w:sz w:val="28"/>
              <w:szCs w:val="32"/>
            </w:rPr>
          </w:pPr>
          <w:r>
            <w:fldChar w:fldCharType="begin"/>
          </w:r>
          <w:r>
            <w:instrText xml:space="preserve"> HYPERLINK \l "_Toc32426" </w:instrText>
          </w:r>
          <w:r>
            <w:fldChar w:fldCharType="separate"/>
          </w:r>
          <w:r>
            <w:rPr>
              <w:rFonts w:hint="eastAsia" w:ascii="方正兰亭纤黑简体" w:hAnsi="仿宋" w:eastAsia="方正兰亭纤黑简体" w:cs="仿宋"/>
              <w:sz w:val="28"/>
              <w:szCs w:val="32"/>
            </w:rPr>
            <w:t>第三节 建设“主客共享”的公交系统</w:t>
          </w:r>
          <w:r>
            <w:rPr>
              <w:sz w:val="28"/>
              <w:szCs w:val="32"/>
            </w:rPr>
            <w:tab/>
          </w:r>
          <w:r>
            <w:rPr>
              <w:sz w:val="28"/>
              <w:szCs w:val="32"/>
            </w:rPr>
            <w:fldChar w:fldCharType="begin"/>
          </w:r>
          <w:r>
            <w:rPr>
              <w:sz w:val="28"/>
              <w:szCs w:val="32"/>
            </w:rPr>
            <w:instrText xml:space="preserve"> PAGEREF _Toc32426 \h </w:instrText>
          </w:r>
          <w:r>
            <w:rPr>
              <w:sz w:val="28"/>
              <w:szCs w:val="32"/>
            </w:rPr>
            <w:fldChar w:fldCharType="separate"/>
          </w:r>
          <w:r>
            <w:rPr>
              <w:sz w:val="28"/>
              <w:szCs w:val="32"/>
            </w:rPr>
            <w:t>38</w:t>
          </w:r>
          <w:r>
            <w:rPr>
              <w:sz w:val="28"/>
              <w:szCs w:val="32"/>
            </w:rPr>
            <w:fldChar w:fldCharType="end"/>
          </w:r>
          <w:r>
            <w:rPr>
              <w:sz w:val="28"/>
              <w:szCs w:val="32"/>
            </w:rPr>
            <w:fldChar w:fldCharType="end"/>
          </w:r>
        </w:p>
        <w:p>
          <w:pPr>
            <w:pStyle w:val="11"/>
            <w:tabs>
              <w:tab w:val="right" w:leader="dot" w:pos="8306"/>
            </w:tabs>
            <w:ind w:firstLine="560"/>
            <w:rPr>
              <w:sz w:val="28"/>
              <w:szCs w:val="32"/>
            </w:rPr>
          </w:pPr>
          <w:r>
            <w:fldChar w:fldCharType="begin"/>
          </w:r>
          <w:r>
            <w:instrText xml:space="preserve"> HYPERLINK \l "_Toc31114" </w:instrText>
          </w:r>
          <w:r>
            <w:fldChar w:fldCharType="separate"/>
          </w:r>
          <w:r>
            <w:rPr>
              <w:rFonts w:hint="eastAsia" w:ascii="方正兰亭纤黑简体" w:hAnsi="仿宋" w:eastAsia="方正兰亭纤黑简体" w:cs="仿宋"/>
              <w:sz w:val="28"/>
              <w:szCs w:val="32"/>
            </w:rPr>
            <w:t>第四节 打造特色慢行系统</w:t>
          </w:r>
          <w:r>
            <w:rPr>
              <w:sz w:val="28"/>
              <w:szCs w:val="32"/>
            </w:rPr>
            <w:tab/>
          </w:r>
          <w:r>
            <w:rPr>
              <w:sz w:val="28"/>
              <w:szCs w:val="32"/>
            </w:rPr>
            <w:fldChar w:fldCharType="begin"/>
          </w:r>
          <w:r>
            <w:rPr>
              <w:sz w:val="28"/>
              <w:szCs w:val="32"/>
            </w:rPr>
            <w:instrText xml:space="preserve"> PAGEREF _Toc31114 \h </w:instrText>
          </w:r>
          <w:r>
            <w:rPr>
              <w:sz w:val="28"/>
              <w:szCs w:val="32"/>
            </w:rPr>
            <w:fldChar w:fldCharType="separate"/>
          </w:r>
          <w:r>
            <w:rPr>
              <w:sz w:val="28"/>
              <w:szCs w:val="32"/>
            </w:rPr>
            <w:t>39</w:t>
          </w:r>
          <w:r>
            <w:rPr>
              <w:sz w:val="28"/>
              <w:szCs w:val="32"/>
            </w:rPr>
            <w:fldChar w:fldCharType="end"/>
          </w:r>
          <w:r>
            <w:rPr>
              <w:sz w:val="28"/>
              <w:szCs w:val="32"/>
            </w:rPr>
            <w:fldChar w:fldCharType="end"/>
          </w:r>
        </w:p>
        <w:p>
          <w:pPr>
            <w:pStyle w:val="11"/>
            <w:tabs>
              <w:tab w:val="right" w:leader="dot" w:pos="8306"/>
            </w:tabs>
            <w:ind w:firstLine="560"/>
            <w:rPr>
              <w:sz w:val="28"/>
              <w:szCs w:val="32"/>
            </w:rPr>
          </w:pPr>
          <w:r>
            <w:fldChar w:fldCharType="begin"/>
          </w:r>
          <w:r>
            <w:instrText xml:space="preserve"> HYPERLINK \l "_Toc31042" </w:instrText>
          </w:r>
          <w:r>
            <w:fldChar w:fldCharType="separate"/>
          </w:r>
          <w:r>
            <w:rPr>
              <w:rFonts w:hint="eastAsia" w:ascii="方正兰亭纤黑简体" w:hAnsi="仿宋" w:eastAsia="方正兰亭纤黑简体" w:cs="仿宋"/>
              <w:sz w:val="28"/>
              <w:szCs w:val="32"/>
            </w:rPr>
            <w:t>第五节 全面提速公共停车场建设</w:t>
          </w:r>
          <w:r>
            <w:rPr>
              <w:sz w:val="28"/>
              <w:szCs w:val="32"/>
            </w:rPr>
            <w:tab/>
          </w:r>
          <w:r>
            <w:rPr>
              <w:sz w:val="28"/>
              <w:szCs w:val="32"/>
            </w:rPr>
            <w:fldChar w:fldCharType="begin"/>
          </w:r>
          <w:r>
            <w:rPr>
              <w:sz w:val="28"/>
              <w:szCs w:val="32"/>
            </w:rPr>
            <w:instrText xml:space="preserve"> PAGEREF _Toc31042 \h </w:instrText>
          </w:r>
          <w:r>
            <w:rPr>
              <w:sz w:val="28"/>
              <w:szCs w:val="32"/>
            </w:rPr>
            <w:fldChar w:fldCharType="separate"/>
          </w:r>
          <w:r>
            <w:rPr>
              <w:sz w:val="28"/>
              <w:szCs w:val="32"/>
            </w:rPr>
            <w:t>41</w:t>
          </w:r>
          <w:r>
            <w:rPr>
              <w:sz w:val="28"/>
              <w:szCs w:val="32"/>
            </w:rPr>
            <w:fldChar w:fldCharType="end"/>
          </w:r>
          <w:r>
            <w:rPr>
              <w:sz w:val="28"/>
              <w:szCs w:val="32"/>
            </w:rPr>
            <w:fldChar w:fldCharType="end"/>
          </w:r>
        </w:p>
        <w:p>
          <w:pPr>
            <w:pStyle w:val="11"/>
            <w:tabs>
              <w:tab w:val="right" w:leader="dot" w:pos="8306"/>
            </w:tabs>
            <w:ind w:firstLine="560"/>
          </w:pPr>
          <w:r>
            <w:fldChar w:fldCharType="begin"/>
          </w:r>
          <w:r>
            <w:instrText xml:space="preserve"> HYPERLINK \l "_Toc13697" </w:instrText>
          </w:r>
          <w:r>
            <w:fldChar w:fldCharType="separate"/>
          </w:r>
          <w:r>
            <w:rPr>
              <w:rFonts w:hint="eastAsia" w:ascii="方正兰亭纤黑简体" w:hAnsi="仿宋" w:eastAsia="方正兰亭纤黑简体" w:cs="仿宋"/>
              <w:sz w:val="28"/>
              <w:szCs w:val="32"/>
            </w:rPr>
            <w:t>第六节 加强</w:t>
          </w:r>
          <w:r>
            <w:rPr>
              <w:rFonts w:ascii="方正兰亭纤黑简体" w:hAnsi="仿宋" w:eastAsia="方正兰亭纤黑简体" w:cs="仿宋"/>
              <w:sz w:val="28"/>
              <w:szCs w:val="32"/>
            </w:rPr>
            <w:t>建设</w:t>
          </w:r>
          <w:r>
            <w:rPr>
              <w:rFonts w:hint="eastAsia" w:ascii="方正兰亭纤黑简体" w:hAnsi="仿宋" w:eastAsia="方正兰亭纤黑简体" w:cs="仿宋"/>
              <w:sz w:val="28"/>
              <w:szCs w:val="32"/>
            </w:rPr>
            <w:t>大足文旅交通设施</w:t>
          </w:r>
          <w:r>
            <w:rPr>
              <w:sz w:val="28"/>
              <w:szCs w:val="32"/>
            </w:rPr>
            <w:tab/>
          </w:r>
          <w:r>
            <w:rPr>
              <w:sz w:val="28"/>
              <w:szCs w:val="32"/>
            </w:rPr>
            <w:fldChar w:fldCharType="begin"/>
          </w:r>
          <w:r>
            <w:rPr>
              <w:sz w:val="28"/>
              <w:szCs w:val="32"/>
            </w:rPr>
            <w:instrText xml:space="preserve"> PAGEREF _Toc13697 \h </w:instrText>
          </w:r>
          <w:r>
            <w:rPr>
              <w:sz w:val="28"/>
              <w:szCs w:val="32"/>
            </w:rPr>
            <w:fldChar w:fldCharType="separate"/>
          </w:r>
          <w:r>
            <w:rPr>
              <w:sz w:val="28"/>
              <w:szCs w:val="32"/>
            </w:rPr>
            <w:t>43</w:t>
          </w:r>
          <w:r>
            <w:rPr>
              <w:sz w:val="28"/>
              <w:szCs w:val="32"/>
            </w:rPr>
            <w:fldChar w:fldCharType="end"/>
          </w:r>
          <w:r>
            <w:rPr>
              <w:sz w:val="28"/>
              <w:szCs w:val="32"/>
            </w:rPr>
            <w:fldChar w:fldCharType="end"/>
          </w:r>
        </w:p>
        <w:p>
          <w:pPr>
            <w:pStyle w:val="18"/>
            <w:tabs>
              <w:tab w:val="right" w:leader="dot" w:pos="8306"/>
            </w:tabs>
            <w:ind w:left="640" w:firstLine="640"/>
          </w:pPr>
          <w:r>
            <w:fldChar w:fldCharType="begin"/>
          </w:r>
          <w:r>
            <w:instrText xml:space="preserve"> HYPERLINK \l "_Toc26943" </w:instrText>
          </w:r>
          <w:r>
            <w:fldChar w:fldCharType="separate"/>
          </w:r>
          <w:r>
            <w:rPr>
              <w:rFonts w:hint="eastAsia" w:ascii="方正兰亭粗黑简体" w:hAnsi="仿宋" w:eastAsia="方正兰亭粗黑简体" w:cs="仿宋"/>
            </w:rPr>
            <w:t>第五章 建立健全环卫体系，构筑城市卫生屏障</w:t>
          </w:r>
          <w:r>
            <w:tab/>
          </w:r>
          <w:r>
            <w:fldChar w:fldCharType="begin"/>
          </w:r>
          <w:r>
            <w:instrText xml:space="preserve"> PAGEREF _Toc26943 \h </w:instrText>
          </w:r>
          <w:r>
            <w:fldChar w:fldCharType="separate"/>
          </w:r>
          <w:r>
            <w:t>46</w:t>
          </w:r>
          <w:r>
            <w:fldChar w:fldCharType="end"/>
          </w:r>
          <w:r>
            <w:fldChar w:fldCharType="end"/>
          </w:r>
        </w:p>
        <w:p>
          <w:pPr>
            <w:pStyle w:val="11"/>
            <w:tabs>
              <w:tab w:val="right" w:leader="dot" w:pos="8306"/>
            </w:tabs>
            <w:ind w:firstLine="560"/>
            <w:rPr>
              <w:sz w:val="28"/>
              <w:szCs w:val="32"/>
            </w:rPr>
          </w:pPr>
          <w:r>
            <w:fldChar w:fldCharType="begin"/>
          </w:r>
          <w:r>
            <w:instrText xml:space="preserve"> HYPERLINK \l "_Toc1155" </w:instrText>
          </w:r>
          <w:r>
            <w:fldChar w:fldCharType="separate"/>
          </w:r>
          <w:r>
            <w:rPr>
              <w:rFonts w:hint="eastAsia" w:ascii="方正兰亭纤黑简体" w:hAnsi="仿宋" w:eastAsia="方正兰亭纤黑简体" w:cs="仿宋"/>
              <w:sz w:val="28"/>
              <w:szCs w:val="32"/>
            </w:rPr>
            <w:t>第一节 推进城市排水设施建设</w:t>
          </w:r>
          <w:r>
            <w:rPr>
              <w:sz w:val="28"/>
              <w:szCs w:val="32"/>
            </w:rPr>
            <w:tab/>
          </w:r>
          <w:r>
            <w:rPr>
              <w:sz w:val="28"/>
              <w:szCs w:val="32"/>
            </w:rPr>
            <w:fldChar w:fldCharType="begin"/>
          </w:r>
          <w:r>
            <w:rPr>
              <w:sz w:val="28"/>
              <w:szCs w:val="32"/>
            </w:rPr>
            <w:instrText xml:space="preserve"> PAGEREF _Toc1155 \h </w:instrText>
          </w:r>
          <w:r>
            <w:rPr>
              <w:sz w:val="28"/>
              <w:szCs w:val="32"/>
            </w:rPr>
            <w:fldChar w:fldCharType="separate"/>
          </w:r>
          <w:r>
            <w:rPr>
              <w:sz w:val="28"/>
              <w:szCs w:val="32"/>
            </w:rPr>
            <w:t>46</w:t>
          </w:r>
          <w:r>
            <w:rPr>
              <w:sz w:val="28"/>
              <w:szCs w:val="32"/>
            </w:rPr>
            <w:fldChar w:fldCharType="end"/>
          </w:r>
          <w:r>
            <w:rPr>
              <w:sz w:val="28"/>
              <w:szCs w:val="32"/>
            </w:rPr>
            <w:fldChar w:fldCharType="end"/>
          </w:r>
        </w:p>
        <w:p>
          <w:pPr>
            <w:pStyle w:val="11"/>
            <w:tabs>
              <w:tab w:val="right" w:leader="dot" w:pos="8306"/>
            </w:tabs>
            <w:ind w:firstLine="560"/>
            <w:rPr>
              <w:sz w:val="28"/>
              <w:szCs w:val="32"/>
            </w:rPr>
          </w:pPr>
          <w:r>
            <w:fldChar w:fldCharType="begin"/>
          </w:r>
          <w:r>
            <w:instrText xml:space="preserve"> HYPERLINK \l "_Toc32620" </w:instrText>
          </w:r>
          <w:r>
            <w:fldChar w:fldCharType="separate"/>
          </w:r>
          <w:r>
            <w:rPr>
              <w:rFonts w:hint="eastAsia" w:ascii="方正兰亭纤黑简体" w:hAnsi="仿宋" w:eastAsia="方正兰亭纤黑简体" w:cs="仿宋"/>
              <w:sz w:val="28"/>
              <w:szCs w:val="32"/>
            </w:rPr>
            <w:t>第二节 提高城市污水处理能力</w:t>
          </w:r>
          <w:r>
            <w:rPr>
              <w:sz w:val="28"/>
              <w:szCs w:val="32"/>
            </w:rPr>
            <w:tab/>
          </w:r>
          <w:r>
            <w:rPr>
              <w:sz w:val="28"/>
              <w:szCs w:val="32"/>
            </w:rPr>
            <w:fldChar w:fldCharType="begin"/>
          </w:r>
          <w:r>
            <w:rPr>
              <w:sz w:val="28"/>
              <w:szCs w:val="32"/>
            </w:rPr>
            <w:instrText xml:space="preserve"> PAGEREF _Toc32620 \h </w:instrText>
          </w:r>
          <w:r>
            <w:rPr>
              <w:sz w:val="28"/>
              <w:szCs w:val="32"/>
            </w:rPr>
            <w:fldChar w:fldCharType="separate"/>
          </w:r>
          <w:r>
            <w:rPr>
              <w:sz w:val="28"/>
              <w:szCs w:val="32"/>
            </w:rPr>
            <w:t>47</w:t>
          </w:r>
          <w:r>
            <w:rPr>
              <w:sz w:val="28"/>
              <w:szCs w:val="32"/>
            </w:rPr>
            <w:fldChar w:fldCharType="end"/>
          </w:r>
          <w:r>
            <w:rPr>
              <w:sz w:val="28"/>
              <w:szCs w:val="32"/>
            </w:rPr>
            <w:fldChar w:fldCharType="end"/>
          </w:r>
        </w:p>
        <w:p>
          <w:pPr>
            <w:pStyle w:val="11"/>
            <w:tabs>
              <w:tab w:val="right" w:leader="dot" w:pos="8306"/>
            </w:tabs>
            <w:ind w:firstLine="560"/>
            <w:rPr>
              <w:sz w:val="28"/>
              <w:szCs w:val="32"/>
            </w:rPr>
          </w:pPr>
          <w:r>
            <w:fldChar w:fldCharType="begin"/>
          </w:r>
          <w:r>
            <w:instrText xml:space="preserve"> HYPERLINK \l "_Toc6146" </w:instrText>
          </w:r>
          <w:r>
            <w:fldChar w:fldCharType="separate"/>
          </w:r>
          <w:r>
            <w:rPr>
              <w:rFonts w:hint="eastAsia" w:ascii="方正兰亭纤黑简体" w:hAnsi="仿宋" w:eastAsia="方正兰亭纤黑简体" w:cs="仿宋"/>
              <w:sz w:val="28"/>
              <w:szCs w:val="32"/>
            </w:rPr>
            <w:t>第三节 提升污泥处理能力</w:t>
          </w:r>
          <w:r>
            <w:rPr>
              <w:sz w:val="28"/>
              <w:szCs w:val="32"/>
            </w:rPr>
            <w:tab/>
          </w:r>
          <w:r>
            <w:rPr>
              <w:sz w:val="28"/>
              <w:szCs w:val="32"/>
            </w:rPr>
            <w:fldChar w:fldCharType="begin"/>
          </w:r>
          <w:r>
            <w:rPr>
              <w:sz w:val="28"/>
              <w:szCs w:val="32"/>
            </w:rPr>
            <w:instrText xml:space="preserve"> PAGEREF _Toc6146 \h </w:instrText>
          </w:r>
          <w:r>
            <w:rPr>
              <w:sz w:val="28"/>
              <w:szCs w:val="32"/>
            </w:rPr>
            <w:fldChar w:fldCharType="separate"/>
          </w:r>
          <w:r>
            <w:rPr>
              <w:sz w:val="28"/>
              <w:szCs w:val="32"/>
            </w:rPr>
            <w:t>48</w:t>
          </w:r>
          <w:r>
            <w:rPr>
              <w:sz w:val="28"/>
              <w:szCs w:val="32"/>
            </w:rPr>
            <w:fldChar w:fldCharType="end"/>
          </w:r>
          <w:r>
            <w:rPr>
              <w:sz w:val="28"/>
              <w:szCs w:val="32"/>
            </w:rPr>
            <w:fldChar w:fldCharType="end"/>
          </w:r>
        </w:p>
        <w:p>
          <w:pPr>
            <w:pStyle w:val="11"/>
            <w:tabs>
              <w:tab w:val="right" w:leader="dot" w:pos="8306"/>
            </w:tabs>
            <w:ind w:firstLine="560"/>
            <w:rPr>
              <w:sz w:val="28"/>
              <w:szCs w:val="32"/>
            </w:rPr>
          </w:pPr>
          <w:r>
            <w:fldChar w:fldCharType="begin"/>
          </w:r>
          <w:r>
            <w:instrText xml:space="preserve"> HYPERLINK \l "_Toc9214" </w:instrText>
          </w:r>
          <w:r>
            <w:fldChar w:fldCharType="separate"/>
          </w:r>
          <w:r>
            <w:rPr>
              <w:rFonts w:hint="eastAsia" w:ascii="方正兰亭纤黑简体" w:hAnsi="仿宋" w:eastAsia="方正兰亭纤黑简体" w:cs="仿宋"/>
              <w:sz w:val="28"/>
              <w:szCs w:val="32"/>
            </w:rPr>
            <w:t>第四节 优化升级市政环卫设施</w:t>
          </w:r>
          <w:r>
            <w:rPr>
              <w:sz w:val="28"/>
              <w:szCs w:val="32"/>
            </w:rPr>
            <w:tab/>
          </w:r>
          <w:r>
            <w:rPr>
              <w:sz w:val="28"/>
              <w:szCs w:val="32"/>
            </w:rPr>
            <w:fldChar w:fldCharType="begin"/>
          </w:r>
          <w:r>
            <w:rPr>
              <w:sz w:val="28"/>
              <w:szCs w:val="32"/>
            </w:rPr>
            <w:instrText xml:space="preserve"> PAGEREF _Toc9214 \h </w:instrText>
          </w:r>
          <w:r>
            <w:rPr>
              <w:sz w:val="28"/>
              <w:szCs w:val="32"/>
            </w:rPr>
            <w:fldChar w:fldCharType="separate"/>
          </w:r>
          <w:r>
            <w:rPr>
              <w:sz w:val="28"/>
              <w:szCs w:val="32"/>
            </w:rPr>
            <w:t>49</w:t>
          </w:r>
          <w:r>
            <w:rPr>
              <w:sz w:val="28"/>
              <w:szCs w:val="32"/>
            </w:rPr>
            <w:fldChar w:fldCharType="end"/>
          </w:r>
          <w:r>
            <w:rPr>
              <w:sz w:val="28"/>
              <w:szCs w:val="32"/>
            </w:rPr>
            <w:fldChar w:fldCharType="end"/>
          </w:r>
        </w:p>
        <w:p>
          <w:pPr>
            <w:pStyle w:val="11"/>
            <w:tabs>
              <w:tab w:val="right" w:leader="dot" w:pos="8306"/>
            </w:tabs>
            <w:ind w:firstLine="560"/>
          </w:pPr>
          <w:r>
            <w:fldChar w:fldCharType="begin"/>
          </w:r>
          <w:r>
            <w:instrText xml:space="preserve"> HYPERLINK \l "_Toc27072" </w:instrText>
          </w:r>
          <w:r>
            <w:fldChar w:fldCharType="separate"/>
          </w:r>
          <w:r>
            <w:rPr>
              <w:rFonts w:hint="eastAsia" w:ascii="方正兰亭纤黑简体" w:hAnsi="仿宋" w:eastAsia="方正兰亭纤黑简体" w:cs="仿宋"/>
              <w:sz w:val="28"/>
              <w:szCs w:val="32"/>
            </w:rPr>
            <w:t>第五节 垃圾分类资源化利用</w:t>
          </w:r>
          <w:r>
            <w:rPr>
              <w:sz w:val="28"/>
              <w:szCs w:val="32"/>
            </w:rPr>
            <w:tab/>
          </w:r>
          <w:r>
            <w:rPr>
              <w:sz w:val="28"/>
              <w:szCs w:val="32"/>
            </w:rPr>
            <w:fldChar w:fldCharType="begin"/>
          </w:r>
          <w:r>
            <w:rPr>
              <w:sz w:val="28"/>
              <w:szCs w:val="32"/>
            </w:rPr>
            <w:instrText xml:space="preserve"> PAGEREF _Toc27072 \h </w:instrText>
          </w:r>
          <w:r>
            <w:rPr>
              <w:sz w:val="28"/>
              <w:szCs w:val="32"/>
            </w:rPr>
            <w:fldChar w:fldCharType="separate"/>
          </w:r>
          <w:r>
            <w:rPr>
              <w:sz w:val="28"/>
              <w:szCs w:val="32"/>
            </w:rPr>
            <w:t>50</w:t>
          </w:r>
          <w:r>
            <w:rPr>
              <w:sz w:val="28"/>
              <w:szCs w:val="32"/>
            </w:rPr>
            <w:fldChar w:fldCharType="end"/>
          </w:r>
          <w:r>
            <w:rPr>
              <w:sz w:val="28"/>
              <w:szCs w:val="32"/>
            </w:rPr>
            <w:fldChar w:fldCharType="end"/>
          </w:r>
        </w:p>
        <w:p>
          <w:pPr>
            <w:pStyle w:val="18"/>
            <w:tabs>
              <w:tab w:val="right" w:leader="dot" w:pos="8306"/>
            </w:tabs>
            <w:ind w:left="640" w:firstLine="640"/>
          </w:pPr>
          <w:r>
            <w:fldChar w:fldCharType="begin"/>
          </w:r>
          <w:r>
            <w:instrText xml:space="preserve"> HYPERLINK \l "_Toc23176" </w:instrText>
          </w:r>
          <w:r>
            <w:fldChar w:fldCharType="separate"/>
          </w:r>
          <w:r>
            <w:rPr>
              <w:rFonts w:hint="eastAsia" w:ascii="方正兰亭粗黑简体" w:hAnsi="仿宋" w:eastAsia="方正兰亭粗黑简体" w:cs="仿宋"/>
            </w:rPr>
            <w:t>第六章 提升城市运行品质，提高城市生活体验</w:t>
          </w:r>
          <w:r>
            <w:tab/>
          </w:r>
          <w:r>
            <w:fldChar w:fldCharType="begin"/>
          </w:r>
          <w:r>
            <w:instrText xml:space="preserve"> PAGEREF _Toc23176 \h </w:instrText>
          </w:r>
          <w:r>
            <w:fldChar w:fldCharType="separate"/>
          </w:r>
          <w:r>
            <w:t>52</w:t>
          </w:r>
          <w:r>
            <w:fldChar w:fldCharType="end"/>
          </w:r>
          <w:r>
            <w:fldChar w:fldCharType="end"/>
          </w:r>
        </w:p>
        <w:p>
          <w:pPr>
            <w:pStyle w:val="11"/>
            <w:tabs>
              <w:tab w:val="right" w:leader="dot" w:pos="8306"/>
            </w:tabs>
            <w:ind w:firstLine="560"/>
            <w:rPr>
              <w:sz w:val="28"/>
              <w:szCs w:val="32"/>
            </w:rPr>
          </w:pPr>
          <w:r>
            <w:fldChar w:fldCharType="begin"/>
          </w:r>
          <w:r>
            <w:instrText xml:space="preserve"> HYPERLINK \l "_Toc1143" </w:instrText>
          </w:r>
          <w:r>
            <w:fldChar w:fldCharType="separate"/>
          </w:r>
          <w:r>
            <w:rPr>
              <w:rFonts w:hint="eastAsia" w:ascii="方正兰亭纤黑简体" w:hAnsi="仿宋" w:eastAsia="方正兰亭纤黑简体" w:cs="仿宋"/>
              <w:sz w:val="28"/>
              <w:szCs w:val="32"/>
            </w:rPr>
            <w:t>第一节 提升文旅融合基础设施</w:t>
          </w:r>
          <w:r>
            <w:rPr>
              <w:sz w:val="28"/>
              <w:szCs w:val="32"/>
            </w:rPr>
            <w:tab/>
          </w:r>
          <w:r>
            <w:rPr>
              <w:sz w:val="28"/>
              <w:szCs w:val="32"/>
            </w:rPr>
            <w:fldChar w:fldCharType="begin"/>
          </w:r>
          <w:r>
            <w:rPr>
              <w:sz w:val="28"/>
              <w:szCs w:val="32"/>
            </w:rPr>
            <w:instrText xml:space="preserve"> PAGEREF _Toc1143 \h </w:instrText>
          </w:r>
          <w:r>
            <w:rPr>
              <w:sz w:val="28"/>
              <w:szCs w:val="32"/>
            </w:rPr>
            <w:fldChar w:fldCharType="separate"/>
          </w:r>
          <w:r>
            <w:rPr>
              <w:sz w:val="28"/>
              <w:szCs w:val="32"/>
            </w:rPr>
            <w:t>52</w:t>
          </w:r>
          <w:r>
            <w:rPr>
              <w:sz w:val="28"/>
              <w:szCs w:val="32"/>
            </w:rPr>
            <w:fldChar w:fldCharType="end"/>
          </w:r>
          <w:r>
            <w:rPr>
              <w:sz w:val="28"/>
              <w:szCs w:val="32"/>
            </w:rPr>
            <w:fldChar w:fldCharType="end"/>
          </w:r>
        </w:p>
        <w:p>
          <w:pPr>
            <w:pStyle w:val="11"/>
            <w:tabs>
              <w:tab w:val="right" w:leader="dot" w:pos="8306"/>
            </w:tabs>
            <w:ind w:firstLine="560"/>
            <w:rPr>
              <w:sz w:val="28"/>
              <w:szCs w:val="32"/>
            </w:rPr>
          </w:pPr>
          <w:r>
            <w:fldChar w:fldCharType="begin"/>
          </w:r>
          <w:r>
            <w:instrText xml:space="preserve"> HYPERLINK \l "_Toc2694" </w:instrText>
          </w:r>
          <w:r>
            <w:fldChar w:fldCharType="separate"/>
          </w:r>
          <w:r>
            <w:rPr>
              <w:rFonts w:hint="eastAsia" w:ascii="方正兰亭纤黑简体" w:hAnsi="仿宋" w:eastAsia="方正兰亭纤黑简体" w:cs="仿宋"/>
              <w:sz w:val="28"/>
              <w:szCs w:val="32"/>
            </w:rPr>
            <w:t>第二节 推进城市有机更新</w:t>
          </w:r>
          <w:r>
            <w:rPr>
              <w:sz w:val="28"/>
              <w:szCs w:val="32"/>
            </w:rPr>
            <w:tab/>
          </w:r>
          <w:r>
            <w:rPr>
              <w:sz w:val="28"/>
              <w:szCs w:val="32"/>
            </w:rPr>
            <w:fldChar w:fldCharType="begin"/>
          </w:r>
          <w:r>
            <w:rPr>
              <w:sz w:val="28"/>
              <w:szCs w:val="32"/>
            </w:rPr>
            <w:instrText xml:space="preserve"> PAGEREF _Toc2694 \h </w:instrText>
          </w:r>
          <w:r>
            <w:rPr>
              <w:sz w:val="28"/>
              <w:szCs w:val="32"/>
            </w:rPr>
            <w:fldChar w:fldCharType="separate"/>
          </w:r>
          <w:r>
            <w:rPr>
              <w:sz w:val="28"/>
              <w:szCs w:val="32"/>
            </w:rPr>
            <w:t>52</w:t>
          </w:r>
          <w:r>
            <w:rPr>
              <w:sz w:val="28"/>
              <w:szCs w:val="32"/>
            </w:rPr>
            <w:fldChar w:fldCharType="end"/>
          </w:r>
          <w:r>
            <w:rPr>
              <w:sz w:val="28"/>
              <w:szCs w:val="32"/>
            </w:rPr>
            <w:fldChar w:fldCharType="end"/>
          </w:r>
        </w:p>
        <w:p>
          <w:pPr>
            <w:pStyle w:val="11"/>
            <w:tabs>
              <w:tab w:val="right" w:leader="dot" w:pos="8306"/>
            </w:tabs>
            <w:ind w:firstLine="560"/>
            <w:rPr>
              <w:sz w:val="28"/>
              <w:szCs w:val="32"/>
            </w:rPr>
          </w:pPr>
          <w:r>
            <w:fldChar w:fldCharType="begin"/>
          </w:r>
          <w:r>
            <w:instrText xml:space="preserve"> HYPERLINK \l "_Toc17076" </w:instrText>
          </w:r>
          <w:r>
            <w:fldChar w:fldCharType="separate"/>
          </w:r>
          <w:r>
            <w:rPr>
              <w:rFonts w:hint="eastAsia" w:ascii="方正兰亭纤黑简体" w:hAnsi="仿宋" w:eastAsia="方正兰亭纤黑简体" w:cs="仿宋"/>
              <w:sz w:val="28"/>
              <w:szCs w:val="32"/>
            </w:rPr>
            <w:t>第三节 推动园林绿化特色</w:t>
          </w:r>
          <w:r>
            <w:rPr>
              <w:rFonts w:ascii="方正兰亭纤黑简体" w:hAnsi="仿宋" w:eastAsia="方正兰亭纤黑简体" w:cs="仿宋"/>
              <w:sz w:val="28"/>
              <w:szCs w:val="32"/>
            </w:rPr>
            <w:t>风貌</w:t>
          </w:r>
          <w:r>
            <w:rPr>
              <w:rFonts w:hint="eastAsia" w:ascii="方正兰亭纤黑简体" w:hAnsi="仿宋" w:eastAsia="方正兰亭纤黑简体" w:cs="仿宋"/>
              <w:sz w:val="28"/>
              <w:szCs w:val="32"/>
            </w:rPr>
            <w:t>建设</w:t>
          </w:r>
          <w:r>
            <w:rPr>
              <w:sz w:val="28"/>
              <w:szCs w:val="32"/>
            </w:rPr>
            <w:tab/>
          </w:r>
          <w:r>
            <w:rPr>
              <w:sz w:val="28"/>
              <w:szCs w:val="32"/>
            </w:rPr>
            <w:fldChar w:fldCharType="begin"/>
          </w:r>
          <w:r>
            <w:rPr>
              <w:sz w:val="28"/>
              <w:szCs w:val="32"/>
            </w:rPr>
            <w:instrText xml:space="preserve"> PAGEREF _Toc17076 \h </w:instrText>
          </w:r>
          <w:r>
            <w:rPr>
              <w:sz w:val="28"/>
              <w:szCs w:val="32"/>
            </w:rPr>
            <w:fldChar w:fldCharType="separate"/>
          </w:r>
          <w:r>
            <w:rPr>
              <w:sz w:val="28"/>
              <w:szCs w:val="32"/>
            </w:rPr>
            <w:t>56</w:t>
          </w:r>
          <w:r>
            <w:rPr>
              <w:sz w:val="28"/>
              <w:szCs w:val="32"/>
            </w:rPr>
            <w:fldChar w:fldCharType="end"/>
          </w:r>
          <w:r>
            <w:rPr>
              <w:sz w:val="28"/>
              <w:szCs w:val="32"/>
            </w:rPr>
            <w:fldChar w:fldCharType="end"/>
          </w:r>
        </w:p>
        <w:p>
          <w:pPr>
            <w:pStyle w:val="11"/>
            <w:tabs>
              <w:tab w:val="right" w:leader="dot" w:pos="8306"/>
            </w:tabs>
            <w:ind w:firstLine="560"/>
            <w:rPr>
              <w:sz w:val="28"/>
              <w:szCs w:val="32"/>
            </w:rPr>
          </w:pPr>
          <w:r>
            <w:fldChar w:fldCharType="begin"/>
          </w:r>
          <w:r>
            <w:instrText xml:space="preserve"> HYPERLINK \l "_Toc31051" </w:instrText>
          </w:r>
          <w:r>
            <w:fldChar w:fldCharType="separate"/>
          </w:r>
          <w:r>
            <w:rPr>
              <w:rFonts w:hint="eastAsia" w:ascii="方正兰亭纤黑简体" w:hAnsi="仿宋" w:eastAsia="方正兰亭纤黑简体" w:cs="仿宋"/>
              <w:sz w:val="28"/>
              <w:szCs w:val="32"/>
            </w:rPr>
            <w:t>第四节 提升人行道系统品质</w:t>
          </w:r>
          <w:r>
            <w:rPr>
              <w:sz w:val="28"/>
              <w:szCs w:val="32"/>
            </w:rPr>
            <w:tab/>
          </w:r>
          <w:r>
            <w:rPr>
              <w:sz w:val="28"/>
              <w:szCs w:val="32"/>
            </w:rPr>
            <w:fldChar w:fldCharType="begin"/>
          </w:r>
          <w:r>
            <w:rPr>
              <w:sz w:val="28"/>
              <w:szCs w:val="32"/>
            </w:rPr>
            <w:instrText xml:space="preserve"> PAGEREF _Toc31051 \h </w:instrText>
          </w:r>
          <w:r>
            <w:rPr>
              <w:sz w:val="28"/>
              <w:szCs w:val="32"/>
            </w:rPr>
            <w:fldChar w:fldCharType="separate"/>
          </w:r>
          <w:r>
            <w:rPr>
              <w:sz w:val="28"/>
              <w:szCs w:val="32"/>
            </w:rPr>
            <w:t>58</w:t>
          </w:r>
          <w:r>
            <w:rPr>
              <w:sz w:val="28"/>
              <w:szCs w:val="32"/>
            </w:rPr>
            <w:fldChar w:fldCharType="end"/>
          </w:r>
          <w:r>
            <w:rPr>
              <w:sz w:val="28"/>
              <w:szCs w:val="32"/>
            </w:rPr>
            <w:fldChar w:fldCharType="end"/>
          </w:r>
        </w:p>
        <w:p>
          <w:pPr>
            <w:pStyle w:val="11"/>
            <w:tabs>
              <w:tab w:val="right" w:leader="dot" w:pos="8306"/>
            </w:tabs>
            <w:ind w:firstLine="560"/>
            <w:rPr>
              <w:sz w:val="28"/>
              <w:szCs w:val="32"/>
            </w:rPr>
          </w:pPr>
          <w:r>
            <w:fldChar w:fldCharType="begin"/>
          </w:r>
          <w:r>
            <w:instrText xml:space="preserve"> HYPERLINK \l "_Toc15760" </w:instrText>
          </w:r>
          <w:r>
            <w:fldChar w:fldCharType="separate"/>
          </w:r>
          <w:r>
            <w:rPr>
              <w:rFonts w:hint="eastAsia" w:ascii="方正兰亭纤黑简体" w:hAnsi="仿宋" w:eastAsia="方正兰亭纤黑简体" w:cs="仿宋"/>
              <w:sz w:val="28"/>
              <w:szCs w:val="32"/>
            </w:rPr>
            <w:t>第五节 完善无障碍设施建设</w:t>
          </w:r>
          <w:r>
            <w:rPr>
              <w:sz w:val="28"/>
              <w:szCs w:val="32"/>
            </w:rPr>
            <w:tab/>
          </w:r>
          <w:r>
            <w:rPr>
              <w:sz w:val="28"/>
              <w:szCs w:val="32"/>
            </w:rPr>
            <w:fldChar w:fldCharType="begin"/>
          </w:r>
          <w:r>
            <w:rPr>
              <w:sz w:val="28"/>
              <w:szCs w:val="32"/>
            </w:rPr>
            <w:instrText xml:space="preserve"> PAGEREF _Toc15760 \h </w:instrText>
          </w:r>
          <w:r>
            <w:rPr>
              <w:sz w:val="28"/>
              <w:szCs w:val="32"/>
            </w:rPr>
            <w:fldChar w:fldCharType="separate"/>
          </w:r>
          <w:r>
            <w:rPr>
              <w:sz w:val="28"/>
              <w:szCs w:val="32"/>
            </w:rPr>
            <w:t>59</w:t>
          </w:r>
          <w:r>
            <w:rPr>
              <w:sz w:val="28"/>
              <w:szCs w:val="32"/>
            </w:rPr>
            <w:fldChar w:fldCharType="end"/>
          </w:r>
          <w:r>
            <w:rPr>
              <w:sz w:val="28"/>
              <w:szCs w:val="32"/>
            </w:rPr>
            <w:fldChar w:fldCharType="end"/>
          </w:r>
        </w:p>
        <w:p>
          <w:pPr>
            <w:pStyle w:val="11"/>
            <w:tabs>
              <w:tab w:val="right" w:leader="dot" w:pos="8306"/>
            </w:tabs>
            <w:ind w:firstLine="560"/>
            <w:rPr>
              <w:sz w:val="28"/>
              <w:szCs w:val="32"/>
            </w:rPr>
          </w:pPr>
          <w:r>
            <w:fldChar w:fldCharType="begin"/>
          </w:r>
          <w:r>
            <w:instrText xml:space="preserve"> HYPERLINK \l "_Toc26711" </w:instrText>
          </w:r>
          <w:r>
            <w:fldChar w:fldCharType="separate"/>
          </w:r>
          <w:r>
            <w:rPr>
              <w:rFonts w:hint="eastAsia" w:ascii="方正兰亭纤黑简体" w:hAnsi="仿宋" w:eastAsia="方正兰亭纤黑简体" w:cs="仿宋"/>
              <w:sz w:val="28"/>
              <w:szCs w:val="32"/>
            </w:rPr>
            <w:t>第六节 打造自然循环的“海绵城市”</w:t>
          </w:r>
          <w:r>
            <w:rPr>
              <w:sz w:val="28"/>
              <w:szCs w:val="32"/>
            </w:rPr>
            <w:tab/>
          </w:r>
          <w:r>
            <w:rPr>
              <w:sz w:val="28"/>
              <w:szCs w:val="32"/>
            </w:rPr>
            <w:fldChar w:fldCharType="begin"/>
          </w:r>
          <w:r>
            <w:rPr>
              <w:sz w:val="28"/>
              <w:szCs w:val="32"/>
            </w:rPr>
            <w:instrText xml:space="preserve"> PAGEREF _Toc26711 \h </w:instrText>
          </w:r>
          <w:r>
            <w:rPr>
              <w:sz w:val="28"/>
              <w:szCs w:val="32"/>
            </w:rPr>
            <w:fldChar w:fldCharType="separate"/>
          </w:r>
          <w:r>
            <w:rPr>
              <w:sz w:val="28"/>
              <w:szCs w:val="32"/>
            </w:rPr>
            <w:t>64</w:t>
          </w:r>
          <w:r>
            <w:rPr>
              <w:sz w:val="28"/>
              <w:szCs w:val="32"/>
            </w:rPr>
            <w:fldChar w:fldCharType="end"/>
          </w:r>
          <w:r>
            <w:rPr>
              <w:sz w:val="28"/>
              <w:szCs w:val="32"/>
            </w:rPr>
            <w:fldChar w:fldCharType="end"/>
          </w:r>
        </w:p>
        <w:p>
          <w:pPr>
            <w:pStyle w:val="11"/>
            <w:tabs>
              <w:tab w:val="right" w:leader="dot" w:pos="8306"/>
            </w:tabs>
            <w:ind w:firstLine="560"/>
            <w:rPr>
              <w:sz w:val="28"/>
              <w:szCs w:val="32"/>
            </w:rPr>
          </w:pPr>
          <w:r>
            <w:fldChar w:fldCharType="begin"/>
          </w:r>
          <w:r>
            <w:instrText xml:space="preserve"> HYPERLINK \l "_Toc12845" </w:instrText>
          </w:r>
          <w:r>
            <w:fldChar w:fldCharType="separate"/>
          </w:r>
          <w:r>
            <w:rPr>
              <w:rFonts w:hint="eastAsia" w:ascii="方正兰亭纤黑简体" w:hAnsi="仿宋" w:eastAsia="方正兰亭纤黑简体" w:cs="仿宋"/>
              <w:sz w:val="28"/>
              <w:szCs w:val="32"/>
            </w:rPr>
            <w:t>第七节 建设集约高效的城市综合管廊</w:t>
          </w:r>
          <w:r>
            <w:rPr>
              <w:sz w:val="28"/>
              <w:szCs w:val="32"/>
            </w:rPr>
            <w:tab/>
          </w:r>
          <w:r>
            <w:rPr>
              <w:sz w:val="28"/>
              <w:szCs w:val="32"/>
            </w:rPr>
            <w:fldChar w:fldCharType="begin"/>
          </w:r>
          <w:r>
            <w:rPr>
              <w:sz w:val="28"/>
              <w:szCs w:val="32"/>
            </w:rPr>
            <w:instrText xml:space="preserve"> PAGEREF _Toc12845 \h </w:instrText>
          </w:r>
          <w:r>
            <w:rPr>
              <w:sz w:val="28"/>
              <w:szCs w:val="32"/>
            </w:rPr>
            <w:fldChar w:fldCharType="separate"/>
          </w:r>
          <w:r>
            <w:rPr>
              <w:sz w:val="28"/>
              <w:szCs w:val="32"/>
            </w:rPr>
            <w:t>66</w:t>
          </w:r>
          <w:r>
            <w:rPr>
              <w:sz w:val="28"/>
              <w:szCs w:val="32"/>
            </w:rPr>
            <w:fldChar w:fldCharType="end"/>
          </w:r>
          <w:r>
            <w:rPr>
              <w:sz w:val="28"/>
              <w:szCs w:val="32"/>
            </w:rPr>
            <w:fldChar w:fldCharType="end"/>
          </w:r>
        </w:p>
        <w:p>
          <w:pPr>
            <w:pStyle w:val="11"/>
            <w:tabs>
              <w:tab w:val="right" w:leader="dot" w:pos="8306"/>
            </w:tabs>
            <w:ind w:firstLine="560"/>
          </w:pPr>
          <w:r>
            <w:fldChar w:fldCharType="begin"/>
          </w:r>
          <w:r>
            <w:instrText xml:space="preserve"> HYPERLINK \l "_Toc9054" </w:instrText>
          </w:r>
          <w:r>
            <w:fldChar w:fldCharType="separate"/>
          </w:r>
          <w:r>
            <w:rPr>
              <w:rFonts w:hint="eastAsia" w:ascii="方正兰亭纤黑简体" w:hAnsi="仿宋" w:eastAsia="方正兰亭纤黑简体" w:cs="仿宋"/>
              <w:sz w:val="28"/>
              <w:szCs w:val="32"/>
            </w:rPr>
            <w:t>第八节 提升城市照明品质</w:t>
          </w:r>
          <w:r>
            <w:rPr>
              <w:sz w:val="28"/>
              <w:szCs w:val="32"/>
            </w:rPr>
            <w:tab/>
          </w:r>
          <w:r>
            <w:rPr>
              <w:sz w:val="28"/>
              <w:szCs w:val="32"/>
            </w:rPr>
            <w:fldChar w:fldCharType="begin"/>
          </w:r>
          <w:r>
            <w:rPr>
              <w:sz w:val="28"/>
              <w:szCs w:val="32"/>
            </w:rPr>
            <w:instrText xml:space="preserve"> PAGEREF _Toc9054 \h </w:instrText>
          </w:r>
          <w:r>
            <w:rPr>
              <w:sz w:val="28"/>
              <w:szCs w:val="32"/>
            </w:rPr>
            <w:fldChar w:fldCharType="separate"/>
          </w:r>
          <w:r>
            <w:rPr>
              <w:sz w:val="28"/>
              <w:szCs w:val="32"/>
            </w:rPr>
            <w:t>64</w:t>
          </w:r>
          <w:r>
            <w:rPr>
              <w:sz w:val="28"/>
              <w:szCs w:val="32"/>
            </w:rPr>
            <w:fldChar w:fldCharType="end"/>
          </w:r>
          <w:r>
            <w:rPr>
              <w:sz w:val="28"/>
              <w:szCs w:val="32"/>
            </w:rPr>
            <w:fldChar w:fldCharType="end"/>
          </w:r>
        </w:p>
        <w:p>
          <w:pPr>
            <w:pStyle w:val="18"/>
            <w:tabs>
              <w:tab w:val="right" w:leader="dot" w:pos="8306"/>
            </w:tabs>
            <w:ind w:left="640" w:firstLine="640"/>
          </w:pPr>
          <w:r>
            <w:fldChar w:fldCharType="begin"/>
          </w:r>
          <w:r>
            <w:instrText xml:space="preserve"> HYPERLINK \l "_Toc7200" </w:instrText>
          </w:r>
          <w:r>
            <w:fldChar w:fldCharType="separate"/>
          </w:r>
          <w:r>
            <w:rPr>
              <w:rFonts w:hint="eastAsia" w:ascii="方正兰亭粗黑简体" w:hAnsi="仿宋" w:eastAsia="方正兰亭粗黑简体" w:cs="仿宋"/>
            </w:rPr>
            <w:t>第七章 助力城市高速发展，保障城市运行安全</w:t>
          </w:r>
          <w:r>
            <w:tab/>
          </w:r>
          <w:r>
            <w:fldChar w:fldCharType="begin"/>
          </w:r>
          <w:r>
            <w:instrText xml:space="preserve"> PAGEREF _Toc7200 \h </w:instrText>
          </w:r>
          <w:r>
            <w:fldChar w:fldCharType="separate"/>
          </w:r>
          <w:r>
            <w:t>52</w:t>
          </w:r>
          <w:r>
            <w:fldChar w:fldCharType="end"/>
          </w:r>
          <w:r>
            <w:fldChar w:fldCharType="end"/>
          </w:r>
        </w:p>
        <w:p>
          <w:pPr>
            <w:pStyle w:val="11"/>
            <w:tabs>
              <w:tab w:val="right" w:leader="dot" w:pos="8306"/>
            </w:tabs>
            <w:ind w:firstLine="560"/>
            <w:rPr>
              <w:sz w:val="28"/>
              <w:szCs w:val="32"/>
            </w:rPr>
          </w:pPr>
          <w:r>
            <w:fldChar w:fldCharType="begin"/>
          </w:r>
          <w:r>
            <w:instrText xml:space="preserve"> HYPERLINK \l "_Toc25481" </w:instrText>
          </w:r>
          <w:r>
            <w:fldChar w:fldCharType="separate"/>
          </w:r>
          <w:r>
            <w:rPr>
              <w:rFonts w:hint="eastAsia" w:ascii="方正兰亭纤黑简体" w:hAnsi="仿宋" w:eastAsia="方正兰亭纤黑简体" w:cs="仿宋"/>
              <w:sz w:val="28"/>
              <w:szCs w:val="32"/>
            </w:rPr>
            <w:t>第一节 加强城市供节水保障体系</w:t>
          </w:r>
          <w:r>
            <w:rPr>
              <w:sz w:val="28"/>
              <w:szCs w:val="32"/>
            </w:rPr>
            <w:tab/>
          </w:r>
          <w:r>
            <w:rPr>
              <w:sz w:val="28"/>
              <w:szCs w:val="32"/>
            </w:rPr>
            <w:fldChar w:fldCharType="begin"/>
          </w:r>
          <w:r>
            <w:rPr>
              <w:sz w:val="28"/>
              <w:szCs w:val="32"/>
            </w:rPr>
            <w:instrText xml:space="preserve"> PAGEREF _Toc25481 \h </w:instrText>
          </w:r>
          <w:r>
            <w:rPr>
              <w:sz w:val="28"/>
              <w:szCs w:val="32"/>
            </w:rPr>
            <w:fldChar w:fldCharType="separate"/>
          </w:r>
          <w:r>
            <w:rPr>
              <w:sz w:val="28"/>
              <w:szCs w:val="32"/>
            </w:rPr>
            <w:t>70</w:t>
          </w:r>
          <w:r>
            <w:rPr>
              <w:sz w:val="28"/>
              <w:szCs w:val="32"/>
            </w:rPr>
            <w:fldChar w:fldCharType="end"/>
          </w:r>
          <w:r>
            <w:rPr>
              <w:sz w:val="28"/>
              <w:szCs w:val="32"/>
            </w:rPr>
            <w:fldChar w:fldCharType="end"/>
          </w:r>
        </w:p>
        <w:p>
          <w:pPr>
            <w:pStyle w:val="11"/>
            <w:tabs>
              <w:tab w:val="right" w:leader="dot" w:pos="8306"/>
            </w:tabs>
            <w:ind w:firstLine="560"/>
            <w:rPr>
              <w:sz w:val="28"/>
              <w:szCs w:val="32"/>
            </w:rPr>
          </w:pPr>
          <w:r>
            <w:fldChar w:fldCharType="begin"/>
          </w:r>
          <w:r>
            <w:instrText xml:space="preserve"> HYPERLINK \l "_Toc29747" </w:instrText>
          </w:r>
          <w:r>
            <w:fldChar w:fldCharType="separate"/>
          </w:r>
          <w:r>
            <w:rPr>
              <w:rFonts w:hint="eastAsia" w:ascii="方正兰亭纤黑简体" w:hAnsi="仿宋" w:eastAsia="方正兰亭纤黑简体" w:cs="仿宋"/>
              <w:sz w:val="28"/>
              <w:szCs w:val="32"/>
            </w:rPr>
            <w:t>第二节 提升电力供应保障</w:t>
          </w:r>
          <w:r>
            <w:rPr>
              <w:sz w:val="28"/>
              <w:szCs w:val="32"/>
            </w:rPr>
            <w:tab/>
          </w:r>
          <w:r>
            <w:rPr>
              <w:sz w:val="28"/>
              <w:szCs w:val="32"/>
            </w:rPr>
            <w:fldChar w:fldCharType="begin"/>
          </w:r>
          <w:r>
            <w:rPr>
              <w:sz w:val="28"/>
              <w:szCs w:val="32"/>
            </w:rPr>
            <w:instrText xml:space="preserve"> PAGEREF _Toc29747 \h </w:instrText>
          </w:r>
          <w:r>
            <w:rPr>
              <w:sz w:val="28"/>
              <w:szCs w:val="32"/>
            </w:rPr>
            <w:fldChar w:fldCharType="separate"/>
          </w:r>
          <w:r>
            <w:rPr>
              <w:sz w:val="28"/>
              <w:szCs w:val="32"/>
            </w:rPr>
            <w:t>71</w:t>
          </w:r>
          <w:r>
            <w:rPr>
              <w:sz w:val="28"/>
              <w:szCs w:val="32"/>
            </w:rPr>
            <w:fldChar w:fldCharType="end"/>
          </w:r>
          <w:r>
            <w:rPr>
              <w:sz w:val="28"/>
              <w:szCs w:val="32"/>
            </w:rPr>
            <w:fldChar w:fldCharType="end"/>
          </w:r>
        </w:p>
        <w:p>
          <w:pPr>
            <w:pStyle w:val="11"/>
            <w:tabs>
              <w:tab w:val="right" w:leader="dot" w:pos="8306"/>
            </w:tabs>
            <w:ind w:firstLine="560"/>
            <w:rPr>
              <w:sz w:val="28"/>
              <w:szCs w:val="32"/>
            </w:rPr>
          </w:pPr>
          <w:r>
            <w:fldChar w:fldCharType="begin"/>
          </w:r>
          <w:r>
            <w:instrText xml:space="preserve"> HYPERLINK \l "_Toc22964" </w:instrText>
          </w:r>
          <w:r>
            <w:fldChar w:fldCharType="separate"/>
          </w:r>
          <w:r>
            <w:rPr>
              <w:rFonts w:hint="eastAsia" w:ascii="方正兰亭纤黑简体" w:hAnsi="仿宋" w:eastAsia="方正兰亭纤黑简体" w:cs="仿宋"/>
              <w:sz w:val="28"/>
              <w:szCs w:val="32"/>
            </w:rPr>
            <w:t>第三节 完善天然气产供储销体系</w:t>
          </w:r>
          <w:r>
            <w:rPr>
              <w:sz w:val="28"/>
              <w:szCs w:val="32"/>
            </w:rPr>
            <w:tab/>
          </w:r>
          <w:r>
            <w:rPr>
              <w:sz w:val="28"/>
              <w:szCs w:val="32"/>
            </w:rPr>
            <w:fldChar w:fldCharType="begin"/>
          </w:r>
          <w:r>
            <w:rPr>
              <w:sz w:val="28"/>
              <w:szCs w:val="32"/>
            </w:rPr>
            <w:instrText xml:space="preserve"> PAGEREF _Toc22964 \h </w:instrText>
          </w:r>
          <w:r>
            <w:rPr>
              <w:sz w:val="28"/>
              <w:szCs w:val="32"/>
            </w:rPr>
            <w:fldChar w:fldCharType="separate"/>
          </w:r>
          <w:r>
            <w:rPr>
              <w:sz w:val="28"/>
              <w:szCs w:val="32"/>
            </w:rPr>
            <w:t>73</w:t>
          </w:r>
          <w:r>
            <w:rPr>
              <w:sz w:val="28"/>
              <w:szCs w:val="32"/>
            </w:rPr>
            <w:fldChar w:fldCharType="end"/>
          </w:r>
          <w:r>
            <w:rPr>
              <w:sz w:val="28"/>
              <w:szCs w:val="32"/>
            </w:rPr>
            <w:fldChar w:fldCharType="end"/>
          </w:r>
        </w:p>
        <w:p>
          <w:pPr>
            <w:ind w:firstLine="560"/>
            <w:jc w:val="right"/>
            <w:rPr>
              <w:rFonts w:hint="eastAsia" w:ascii="方正兰亭纤黑简体" w:hAnsi="仿宋" w:eastAsia="方正兰亭纤黑简体" w:cs="仿宋"/>
              <w:sz w:val="28"/>
              <w:szCs w:val="32"/>
            </w:rPr>
          </w:pPr>
          <w:r>
            <w:rPr>
              <w:rFonts w:hint="eastAsia" w:ascii="方正兰亭纤黑简体" w:hAnsi="仿宋" w:eastAsia="方正兰亭纤黑简体" w:cs="仿宋"/>
              <w:sz w:val="28"/>
              <w:szCs w:val="32"/>
            </w:rPr>
            <w:t>第四节 完善天然气产供储销体系</w:t>
          </w:r>
          <w:r>
            <w:rPr>
              <w:rFonts w:ascii="方正兰亭纤黑简体" w:hAnsi="仿宋" w:eastAsia="方正兰亭纤黑简体" w:cs="仿宋"/>
              <w:sz w:val="28"/>
              <w:szCs w:val="32"/>
            </w:rPr>
            <w:t>……………………</w:t>
          </w:r>
          <w:r>
            <w:rPr>
              <w:rFonts w:ascii="宋体" w:hAnsi="宋体"/>
              <w:sz w:val="28"/>
              <w:szCs w:val="32"/>
            </w:rPr>
            <w:fldChar w:fldCharType="begin"/>
          </w:r>
          <w:r>
            <w:rPr>
              <w:rFonts w:ascii="宋体" w:hAnsi="宋体"/>
              <w:sz w:val="28"/>
              <w:szCs w:val="32"/>
            </w:rPr>
            <w:instrText xml:space="preserve"> PAGEREF _Toc22964 \h </w:instrText>
          </w:r>
          <w:r>
            <w:rPr>
              <w:rFonts w:ascii="宋体" w:hAnsi="宋体"/>
              <w:sz w:val="28"/>
              <w:szCs w:val="32"/>
            </w:rPr>
            <w:fldChar w:fldCharType="separate"/>
          </w:r>
          <w:r>
            <w:rPr>
              <w:rFonts w:ascii="宋体" w:hAnsi="宋体"/>
              <w:sz w:val="28"/>
              <w:szCs w:val="32"/>
            </w:rPr>
            <w:t>73</w:t>
          </w:r>
          <w:r>
            <w:rPr>
              <w:rFonts w:ascii="宋体" w:hAnsi="宋体"/>
              <w:sz w:val="28"/>
              <w:szCs w:val="32"/>
            </w:rPr>
            <w:fldChar w:fldCharType="end"/>
          </w:r>
        </w:p>
        <w:p>
          <w:pPr>
            <w:pStyle w:val="18"/>
            <w:tabs>
              <w:tab w:val="right" w:leader="dot" w:pos="8306"/>
            </w:tabs>
            <w:ind w:left="640" w:firstLine="640"/>
          </w:pPr>
          <w:r>
            <w:fldChar w:fldCharType="begin"/>
          </w:r>
          <w:r>
            <w:instrText xml:space="preserve"> HYPERLINK \l "_Toc15904" </w:instrText>
          </w:r>
          <w:r>
            <w:fldChar w:fldCharType="separate"/>
          </w:r>
          <w:r>
            <w:rPr>
              <w:rFonts w:hint="eastAsia" w:ascii="方正兰亭粗黑简体" w:hAnsi="仿宋" w:eastAsia="方正兰亭粗黑简体" w:cs="仿宋"/>
            </w:rPr>
            <w:t>第八章 聚焦智慧名城建设，体现智慧城市形象</w:t>
          </w:r>
          <w:r>
            <w:tab/>
          </w:r>
          <w:r>
            <w:fldChar w:fldCharType="begin"/>
          </w:r>
          <w:r>
            <w:instrText xml:space="preserve"> PAGEREF _Toc15904 \h </w:instrText>
          </w:r>
          <w:r>
            <w:fldChar w:fldCharType="separate"/>
          </w:r>
          <w:r>
            <w:t>74</w:t>
          </w:r>
          <w:r>
            <w:fldChar w:fldCharType="end"/>
          </w:r>
          <w:r>
            <w:fldChar w:fldCharType="end"/>
          </w:r>
        </w:p>
        <w:p>
          <w:pPr>
            <w:pStyle w:val="11"/>
            <w:tabs>
              <w:tab w:val="right" w:leader="dot" w:pos="8306"/>
            </w:tabs>
            <w:ind w:firstLine="560"/>
            <w:rPr>
              <w:sz w:val="28"/>
              <w:szCs w:val="32"/>
            </w:rPr>
          </w:pPr>
          <w:r>
            <w:fldChar w:fldCharType="begin"/>
          </w:r>
          <w:r>
            <w:instrText xml:space="preserve"> HYPERLINK \l "_Toc32702" </w:instrText>
          </w:r>
          <w:r>
            <w:fldChar w:fldCharType="separate"/>
          </w:r>
          <w:r>
            <w:rPr>
              <w:rFonts w:hint="eastAsia" w:ascii="方正兰亭纤黑简体" w:hAnsi="仿宋" w:eastAsia="方正兰亭纤黑简体" w:cs="仿宋"/>
              <w:sz w:val="28"/>
              <w:szCs w:val="32"/>
            </w:rPr>
            <w:t>第一节 加大新型基础设施建设</w:t>
          </w:r>
          <w:r>
            <w:rPr>
              <w:sz w:val="28"/>
              <w:szCs w:val="32"/>
            </w:rPr>
            <w:tab/>
          </w:r>
          <w:r>
            <w:rPr>
              <w:sz w:val="28"/>
              <w:szCs w:val="32"/>
            </w:rPr>
            <w:fldChar w:fldCharType="begin"/>
          </w:r>
          <w:r>
            <w:rPr>
              <w:sz w:val="28"/>
              <w:szCs w:val="32"/>
            </w:rPr>
            <w:instrText xml:space="preserve"> PAGEREF _Toc32702 \h </w:instrText>
          </w:r>
          <w:r>
            <w:rPr>
              <w:sz w:val="28"/>
              <w:szCs w:val="32"/>
            </w:rPr>
            <w:fldChar w:fldCharType="separate"/>
          </w:r>
          <w:r>
            <w:rPr>
              <w:sz w:val="28"/>
              <w:szCs w:val="32"/>
            </w:rPr>
            <w:t>74</w:t>
          </w:r>
          <w:r>
            <w:rPr>
              <w:sz w:val="28"/>
              <w:szCs w:val="32"/>
            </w:rPr>
            <w:fldChar w:fldCharType="end"/>
          </w:r>
          <w:r>
            <w:rPr>
              <w:sz w:val="28"/>
              <w:szCs w:val="32"/>
            </w:rPr>
            <w:fldChar w:fldCharType="end"/>
          </w:r>
        </w:p>
        <w:p>
          <w:pPr>
            <w:pStyle w:val="11"/>
            <w:tabs>
              <w:tab w:val="right" w:leader="dot" w:pos="8306"/>
            </w:tabs>
            <w:ind w:firstLine="560"/>
          </w:pPr>
          <w:r>
            <w:fldChar w:fldCharType="begin"/>
          </w:r>
          <w:r>
            <w:instrText xml:space="preserve"> HYPERLINK \l "_Toc9523" </w:instrText>
          </w:r>
          <w:r>
            <w:fldChar w:fldCharType="separate"/>
          </w:r>
          <w:r>
            <w:rPr>
              <w:rFonts w:hint="eastAsia" w:ascii="方正兰亭纤黑简体" w:hAnsi="仿宋" w:eastAsia="方正兰亭纤黑简体" w:cs="仿宋"/>
              <w:sz w:val="28"/>
              <w:szCs w:val="32"/>
            </w:rPr>
            <w:t>第二节 加快发展数字化公共服务</w:t>
          </w:r>
          <w:r>
            <w:rPr>
              <w:sz w:val="28"/>
              <w:szCs w:val="32"/>
            </w:rPr>
            <w:tab/>
          </w:r>
          <w:r>
            <w:rPr>
              <w:sz w:val="28"/>
              <w:szCs w:val="32"/>
            </w:rPr>
            <w:fldChar w:fldCharType="begin"/>
          </w:r>
          <w:r>
            <w:rPr>
              <w:sz w:val="28"/>
              <w:szCs w:val="32"/>
            </w:rPr>
            <w:instrText xml:space="preserve"> PAGEREF _Toc9523 \h </w:instrText>
          </w:r>
          <w:r>
            <w:rPr>
              <w:sz w:val="28"/>
              <w:szCs w:val="32"/>
            </w:rPr>
            <w:fldChar w:fldCharType="separate"/>
          </w:r>
          <w:r>
            <w:rPr>
              <w:sz w:val="28"/>
              <w:szCs w:val="32"/>
            </w:rPr>
            <w:t>78</w:t>
          </w:r>
          <w:r>
            <w:rPr>
              <w:sz w:val="28"/>
              <w:szCs w:val="32"/>
            </w:rPr>
            <w:fldChar w:fldCharType="end"/>
          </w:r>
          <w:r>
            <w:rPr>
              <w:sz w:val="28"/>
              <w:szCs w:val="32"/>
            </w:rPr>
            <w:fldChar w:fldCharType="end"/>
          </w:r>
        </w:p>
        <w:p>
          <w:pPr>
            <w:pStyle w:val="18"/>
            <w:tabs>
              <w:tab w:val="right" w:leader="dot" w:pos="8306"/>
            </w:tabs>
            <w:ind w:left="640" w:firstLine="640"/>
          </w:pPr>
          <w:r>
            <w:fldChar w:fldCharType="begin"/>
          </w:r>
          <w:r>
            <w:instrText xml:space="preserve"> HYPERLINK \l "_Toc4380" </w:instrText>
          </w:r>
          <w:r>
            <w:fldChar w:fldCharType="separate"/>
          </w:r>
          <w:r>
            <w:rPr>
              <w:rFonts w:hint="eastAsia" w:ascii="方正兰亭粗黑简体" w:hAnsi="仿宋" w:eastAsia="方正兰亭粗黑简体" w:cs="仿宋"/>
            </w:rPr>
            <w:t>第九章 筑牢安全发展基础，提升防灾减灾能力</w:t>
          </w:r>
          <w:r>
            <w:tab/>
          </w:r>
          <w:r>
            <w:fldChar w:fldCharType="begin"/>
          </w:r>
          <w:r>
            <w:instrText xml:space="preserve"> PAGEREF _Toc4380 \h </w:instrText>
          </w:r>
          <w:r>
            <w:fldChar w:fldCharType="separate"/>
          </w:r>
          <w:r>
            <w:t>83</w:t>
          </w:r>
          <w:r>
            <w:fldChar w:fldCharType="end"/>
          </w:r>
          <w:r>
            <w:fldChar w:fldCharType="end"/>
          </w:r>
        </w:p>
        <w:p>
          <w:pPr>
            <w:pStyle w:val="11"/>
            <w:tabs>
              <w:tab w:val="right" w:leader="dot" w:pos="8306"/>
            </w:tabs>
            <w:ind w:firstLine="560"/>
            <w:rPr>
              <w:sz w:val="28"/>
              <w:szCs w:val="32"/>
            </w:rPr>
          </w:pPr>
          <w:r>
            <w:fldChar w:fldCharType="begin"/>
          </w:r>
          <w:r>
            <w:instrText xml:space="preserve"> HYPERLINK \l "_Toc9975" </w:instrText>
          </w:r>
          <w:r>
            <w:fldChar w:fldCharType="separate"/>
          </w:r>
          <w:r>
            <w:rPr>
              <w:rFonts w:hint="eastAsia" w:ascii="方正兰亭纤黑简体" w:hAnsi="仿宋" w:eastAsia="方正兰亭纤黑简体" w:cs="仿宋"/>
              <w:sz w:val="28"/>
              <w:szCs w:val="32"/>
            </w:rPr>
            <w:t>第一节 构建安全可靠的防洪排涝体系</w:t>
          </w:r>
          <w:r>
            <w:rPr>
              <w:sz w:val="28"/>
              <w:szCs w:val="32"/>
            </w:rPr>
            <w:tab/>
          </w:r>
          <w:r>
            <w:rPr>
              <w:sz w:val="28"/>
              <w:szCs w:val="32"/>
            </w:rPr>
            <w:fldChar w:fldCharType="begin"/>
          </w:r>
          <w:r>
            <w:rPr>
              <w:sz w:val="28"/>
              <w:szCs w:val="32"/>
            </w:rPr>
            <w:instrText xml:space="preserve"> PAGEREF _Toc9975 \h </w:instrText>
          </w:r>
          <w:r>
            <w:rPr>
              <w:sz w:val="28"/>
              <w:szCs w:val="32"/>
            </w:rPr>
            <w:fldChar w:fldCharType="separate"/>
          </w:r>
          <w:r>
            <w:rPr>
              <w:sz w:val="28"/>
              <w:szCs w:val="32"/>
            </w:rPr>
            <w:t>83</w:t>
          </w:r>
          <w:r>
            <w:rPr>
              <w:sz w:val="28"/>
              <w:szCs w:val="32"/>
            </w:rPr>
            <w:fldChar w:fldCharType="end"/>
          </w:r>
          <w:r>
            <w:rPr>
              <w:sz w:val="28"/>
              <w:szCs w:val="32"/>
            </w:rPr>
            <w:fldChar w:fldCharType="end"/>
          </w:r>
        </w:p>
        <w:p>
          <w:pPr>
            <w:pStyle w:val="11"/>
            <w:tabs>
              <w:tab w:val="right" w:leader="dot" w:pos="8306"/>
            </w:tabs>
            <w:ind w:firstLine="560"/>
            <w:rPr>
              <w:sz w:val="28"/>
              <w:szCs w:val="32"/>
            </w:rPr>
          </w:pPr>
          <w:r>
            <w:fldChar w:fldCharType="begin"/>
          </w:r>
          <w:r>
            <w:instrText xml:space="preserve"> HYPERLINK \l "_Toc19797" </w:instrText>
          </w:r>
          <w:r>
            <w:fldChar w:fldCharType="separate"/>
          </w:r>
          <w:r>
            <w:rPr>
              <w:rFonts w:hint="eastAsia" w:ascii="方正兰亭纤黑简体" w:hAnsi="仿宋" w:eastAsia="方正兰亭纤黑简体" w:cs="仿宋"/>
              <w:sz w:val="28"/>
              <w:szCs w:val="32"/>
            </w:rPr>
            <w:t>第二节 构建现代化综合消防救援体系</w:t>
          </w:r>
          <w:r>
            <w:rPr>
              <w:sz w:val="28"/>
              <w:szCs w:val="32"/>
            </w:rPr>
            <w:tab/>
          </w:r>
          <w:r>
            <w:rPr>
              <w:sz w:val="28"/>
              <w:szCs w:val="32"/>
            </w:rPr>
            <w:fldChar w:fldCharType="begin"/>
          </w:r>
          <w:r>
            <w:rPr>
              <w:sz w:val="28"/>
              <w:szCs w:val="32"/>
            </w:rPr>
            <w:instrText xml:space="preserve"> PAGEREF _Toc19797 \h </w:instrText>
          </w:r>
          <w:r>
            <w:rPr>
              <w:sz w:val="28"/>
              <w:szCs w:val="32"/>
            </w:rPr>
            <w:fldChar w:fldCharType="separate"/>
          </w:r>
          <w:r>
            <w:rPr>
              <w:sz w:val="28"/>
              <w:szCs w:val="32"/>
            </w:rPr>
            <w:t>85</w:t>
          </w:r>
          <w:r>
            <w:rPr>
              <w:sz w:val="28"/>
              <w:szCs w:val="32"/>
            </w:rPr>
            <w:fldChar w:fldCharType="end"/>
          </w:r>
          <w:r>
            <w:rPr>
              <w:sz w:val="28"/>
              <w:szCs w:val="32"/>
            </w:rPr>
            <w:fldChar w:fldCharType="end"/>
          </w:r>
        </w:p>
        <w:p>
          <w:pPr>
            <w:pStyle w:val="11"/>
            <w:tabs>
              <w:tab w:val="right" w:leader="dot" w:pos="8306"/>
            </w:tabs>
            <w:ind w:firstLine="560"/>
          </w:pPr>
          <w:r>
            <w:fldChar w:fldCharType="begin"/>
          </w:r>
          <w:r>
            <w:instrText xml:space="preserve"> HYPERLINK \l "_Toc1117" </w:instrText>
          </w:r>
          <w:r>
            <w:fldChar w:fldCharType="separate"/>
          </w:r>
          <w:r>
            <w:rPr>
              <w:rFonts w:hint="eastAsia" w:ascii="方正兰亭纤黑简体" w:hAnsi="仿宋" w:eastAsia="方正兰亭纤黑简体" w:cs="仿宋"/>
              <w:sz w:val="28"/>
              <w:szCs w:val="32"/>
            </w:rPr>
            <w:t>第三节 形成现代化人民防空体系</w:t>
          </w:r>
          <w:r>
            <w:rPr>
              <w:sz w:val="28"/>
              <w:szCs w:val="32"/>
            </w:rPr>
            <w:tab/>
          </w:r>
          <w:r>
            <w:rPr>
              <w:sz w:val="28"/>
              <w:szCs w:val="32"/>
            </w:rPr>
            <w:fldChar w:fldCharType="begin"/>
          </w:r>
          <w:r>
            <w:rPr>
              <w:sz w:val="28"/>
              <w:szCs w:val="32"/>
            </w:rPr>
            <w:instrText xml:space="preserve"> PAGEREF _Toc1117 \h </w:instrText>
          </w:r>
          <w:r>
            <w:rPr>
              <w:sz w:val="28"/>
              <w:szCs w:val="32"/>
            </w:rPr>
            <w:fldChar w:fldCharType="separate"/>
          </w:r>
          <w:r>
            <w:rPr>
              <w:sz w:val="28"/>
              <w:szCs w:val="32"/>
            </w:rPr>
            <w:t>86</w:t>
          </w:r>
          <w:r>
            <w:rPr>
              <w:sz w:val="28"/>
              <w:szCs w:val="32"/>
            </w:rPr>
            <w:fldChar w:fldCharType="end"/>
          </w:r>
          <w:r>
            <w:rPr>
              <w:sz w:val="28"/>
              <w:szCs w:val="32"/>
            </w:rPr>
            <w:fldChar w:fldCharType="end"/>
          </w:r>
        </w:p>
        <w:p>
          <w:pPr>
            <w:pStyle w:val="18"/>
            <w:tabs>
              <w:tab w:val="right" w:leader="dot" w:pos="8306"/>
            </w:tabs>
            <w:ind w:left="640" w:firstLine="640"/>
          </w:pPr>
          <w:r>
            <w:fldChar w:fldCharType="begin"/>
          </w:r>
          <w:r>
            <w:instrText xml:space="preserve"> HYPERLINK \l "_Toc31506" </w:instrText>
          </w:r>
          <w:r>
            <w:fldChar w:fldCharType="separate"/>
          </w:r>
          <w:r>
            <w:rPr>
              <w:rFonts w:hint="eastAsia" w:ascii="方正兰亭粗黑简体" w:hAnsi="仿宋" w:eastAsia="方正兰亭粗黑简体" w:cs="仿宋"/>
            </w:rPr>
            <w:t>第十章 重点片区</w:t>
          </w:r>
          <w:r>
            <w:tab/>
          </w:r>
          <w:r>
            <w:fldChar w:fldCharType="begin"/>
          </w:r>
          <w:r>
            <w:instrText xml:space="preserve"> PAGEREF _Toc31506 \h </w:instrText>
          </w:r>
          <w:r>
            <w:fldChar w:fldCharType="separate"/>
          </w:r>
          <w:r>
            <w:t>88</w:t>
          </w:r>
          <w:r>
            <w:fldChar w:fldCharType="end"/>
          </w:r>
          <w:r>
            <w:fldChar w:fldCharType="end"/>
          </w:r>
        </w:p>
        <w:p>
          <w:pPr>
            <w:pStyle w:val="11"/>
            <w:tabs>
              <w:tab w:val="right" w:leader="dot" w:pos="8306"/>
            </w:tabs>
            <w:ind w:firstLine="560"/>
            <w:rPr>
              <w:sz w:val="28"/>
              <w:szCs w:val="32"/>
            </w:rPr>
          </w:pPr>
          <w:r>
            <w:fldChar w:fldCharType="begin"/>
          </w:r>
          <w:r>
            <w:instrText xml:space="preserve"> HYPERLINK \l "_Toc13561" </w:instrText>
          </w:r>
          <w:r>
            <w:fldChar w:fldCharType="separate"/>
          </w:r>
          <w:r>
            <w:rPr>
              <w:rFonts w:hint="eastAsia" w:ascii="方正兰亭纤黑简体" w:hAnsi="仿宋" w:eastAsia="方正兰亭纤黑简体" w:cs="仿宋"/>
              <w:sz w:val="28"/>
              <w:szCs w:val="32"/>
            </w:rPr>
            <w:t>第一节 文化会客前厅</w:t>
          </w:r>
          <w:r>
            <w:rPr>
              <w:sz w:val="28"/>
              <w:szCs w:val="32"/>
            </w:rPr>
            <w:tab/>
          </w:r>
          <w:r>
            <w:rPr>
              <w:sz w:val="28"/>
              <w:szCs w:val="32"/>
            </w:rPr>
            <w:fldChar w:fldCharType="begin"/>
          </w:r>
          <w:r>
            <w:rPr>
              <w:sz w:val="28"/>
              <w:szCs w:val="32"/>
            </w:rPr>
            <w:instrText xml:space="preserve"> PAGEREF _Toc13561 \h </w:instrText>
          </w:r>
          <w:r>
            <w:rPr>
              <w:sz w:val="28"/>
              <w:szCs w:val="32"/>
            </w:rPr>
            <w:fldChar w:fldCharType="separate"/>
          </w:r>
          <w:r>
            <w:rPr>
              <w:sz w:val="28"/>
              <w:szCs w:val="32"/>
            </w:rPr>
            <w:t>88</w:t>
          </w:r>
          <w:r>
            <w:rPr>
              <w:sz w:val="28"/>
              <w:szCs w:val="32"/>
            </w:rPr>
            <w:fldChar w:fldCharType="end"/>
          </w:r>
          <w:r>
            <w:rPr>
              <w:sz w:val="28"/>
              <w:szCs w:val="32"/>
            </w:rPr>
            <w:fldChar w:fldCharType="end"/>
          </w:r>
        </w:p>
        <w:p>
          <w:pPr>
            <w:pStyle w:val="11"/>
            <w:tabs>
              <w:tab w:val="right" w:leader="dot" w:pos="8306"/>
            </w:tabs>
            <w:ind w:firstLine="560"/>
            <w:rPr>
              <w:sz w:val="28"/>
              <w:szCs w:val="32"/>
            </w:rPr>
          </w:pPr>
          <w:r>
            <w:fldChar w:fldCharType="begin"/>
          </w:r>
          <w:r>
            <w:instrText xml:space="preserve"> HYPERLINK \l "_Toc6368" </w:instrText>
          </w:r>
          <w:r>
            <w:fldChar w:fldCharType="separate"/>
          </w:r>
          <w:r>
            <w:rPr>
              <w:rFonts w:hint="eastAsia" w:ascii="方正兰亭纤黑简体" w:hAnsi="仿宋" w:eastAsia="方正兰亭纤黑简体" w:cs="仿宋"/>
              <w:sz w:val="28"/>
              <w:szCs w:val="32"/>
            </w:rPr>
            <w:t>第二节 棠香活力母城</w:t>
          </w:r>
          <w:r>
            <w:rPr>
              <w:sz w:val="28"/>
              <w:szCs w:val="32"/>
            </w:rPr>
            <w:tab/>
          </w:r>
          <w:r>
            <w:rPr>
              <w:sz w:val="28"/>
              <w:szCs w:val="32"/>
            </w:rPr>
            <w:fldChar w:fldCharType="begin"/>
          </w:r>
          <w:r>
            <w:rPr>
              <w:sz w:val="28"/>
              <w:szCs w:val="32"/>
            </w:rPr>
            <w:instrText xml:space="preserve"> PAGEREF _Toc6368 \h </w:instrText>
          </w:r>
          <w:r>
            <w:rPr>
              <w:sz w:val="28"/>
              <w:szCs w:val="32"/>
            </w:rPr>
            <w:fldChar w:fldCharType="separate"/>
          </w:r>
          <w:r>
            <w:rPr>
              <w:sz w:val="28"/>
              <w:szCs w:val="32"/>
            </w:rPr>
            <w:t>89</w:t>
          </w:r>
          <w:r>
            <w:rPr>
              <w:sz w:val="28"/>
              <w:szCs w:val="32"/>
            </w:rPr>
            <w:fldChar w:fldCharType="end"/>
          </w:r>
          <w:r>
            <w:rPr>
              <w:sz w:val="28"/>
              <w:szCs w:val="32"/>
            </w:rPr>
            <w:fldChar w:fldCharType="end"/>
          </w:r>
        </w:p>
        <w:p>
          <w:pPr>
            <w:pStyle w:val="11"/>
            <w:tabs>
              <w:tab w:val="right" w:leader="dot" w:pos="8306"/>
            </w:tabs>
            <w:ind w:firstLine="560"/>
          </w:pPr>
          <w:r>
            <w:fldChar w:fldCharType="begin"/>
          </w:r>
          <w:r>
            <w:instrText xml:space="preserve"> HYPERLINK \l "_Toc13642" </w:instrText>
          </w:r>
          <w:r>
            <w:fldChar w:fldCharType="separate"/>
          </w:r>
          <w:r>
            <w:rPr>
              <w:rFonts w:hint="eastAsia" w:ascii="方正兰亭纤黑简体" w:hAnsi="仿宋" w:eastAsia="方正兰亭纤黑简体" w:cs="仿宋"/>
              <w:sz w:val="28"/>
              <w:szCs w:val="32"/>
            </w:rPr>
            <w:t>第三节 产居融合高地</w:t>
          </w:r>
          <w:r>
            <w:rPr>
              <w:sz w:val="28"/>
              <w:szCs w:val="32"/>
            </w:rPr>
            <w:tab/>
          </w:r>
          <w:r>
            <w:rPr>
              <w:sz w:val="28"/>
              <w:szCs w:val="32"/>
            </w:rPr>
            <w:fldChar w:fldCharType="begin"/>
          </w:r>
          <w:r>
            <w:rPr>
              <w:sz w:val="28"/>
              <w:szCs w:val="32"/>
            </w:rPr>
            <w:instrText xml:space="preserve"> PAGEREF _Toc13642 \h </w:instrText>
          </w:r>
          <w:r>
            <w:rPr>
              <w:sz w:val="28"/>
              <w:szCs w:val="32"/>
            </w:rPr>
            <w:fldChar w:fldCharType="separate"/>
          </w:r>
          <w:r>
            <w:rPr>
              <w:sz w:val="28"/>
              <w:szCs w:val="32"/>
            </w:rPr>
            <w:t>91</w:t>
          </w:r>
          <w:r>
            <w:rPr>
              <w:sz w:val="28"/>
              <w:szCs w:val="32"/>
            </w:rPr>
            <w:fldChar w:fldCharType="end"/>
          </w:r>
          <w:r>
            <w:rPr>
              <w:sz w:val="28"/>
              <w:szCs w:val="32"/>
            </w:rPr>
            <w:fldChar w:fldCharType="end"/>
          </w:r>
        </w:p>
        <w:p>
          <w:pPr>
            <w:pStyle w:val="18"/>
            <w:tabs>
              <w:tab w:val="right" w:leader="dot" w:pos="8306"/>
            </w:tabs>
            <w:ind w:left="640" w:firstLine="640"/>
          </w:pPr>
          <w:r>
            <w:fldChar w:fldCharType="begin"/>
          </w:r>
          <w:r>
            <w:instrText xml:space="preserve"> HYPERLINK \l "_Toc20699" </w:instrText>
          </w:r>
          <w:r>
            <w:fldChar w:fldCharType="separate"/>
          </w:r>
          <w:r>
            <w:rPr>
              <w:rFonts w:hint="eastAsia" w:ascii="方正兰亭粗黑简体" w:hAnsi="仿宋" w:eastAsia="方正兰亭粗黑简体" w:cs="仿宋"/>
            </w:rPr>
            <w:t>第十一章 健全保障措施</w:t>
          </w:r>
          <w:r>
            <w:tab/>
          </w:r>
          <w:r>
            <w:fldChar w:fldCharType="begin"/>
          </w:r>
          <w:r>
            <w:instrText xml:space="preserve"> PAGEREF _Toc20699 \h </w:instrText>
          </w:r>
          <w:r>
            <w:fldChar w:fldCharType="separate"/>
          </w:r>
          <w:r>
            <w:t>93</w:t>
          </w:r>
          <w:r>
            <w:fldChar w:fldCharType="end"/>
          </w:r>
          <w:r>
            <w:fldChar w:fldCharType="end"/>
          </w:r>
        </w:p>
        <w:p>
          <w:pPr>
            <w:pStyle w:val="11"/>
            <w:tabs>
              <w:tab w:val="right" w:leader="dot" w:pos="8306"/>
            </w:tabs>
            <w:ind w:firstLine="560"/>
            <w:rPr>
              <w:sz w:val="28"/>
              <w:szCs w:val="32"/>
            </w:rPr>
          </w:pPr>
          <w:r>
            <w:fldChar w:fldCharType="begin"/>
          </w:r>
          <w:r>
            <w:instrText xml:space="preserve"> HYPERLINK \l "_Toc4141" </w:instrText>
          </w:r>
          <w:r>
            <w:fldChar w:fldCharType="separate"/>
          </w:r>
          <w:r>
            <w:rPr>
              <w:rFonts w:hint="eastAsia" w:ascii="方正兰亭纤黑简体" w:hAnsi="仿宋" w:eastAsia="方正兰亭纤黑简体" w:cs="仿宋"/>
              <w:sz w:val="28"/>
              <w:szCs w:val="32"/>
            </w:rPr>
            <w:t>第一节 组织保障</w:t>
          </w:r>
          <w:r>
            <w:rPr>
              <w:sz w:val="28"/>
              <w:szCs w:val="32"/>
            </w:rPr>
            <w:tab/>
          </w:r>
          <w:r>
            <w:rPr>
              <w:sz w:val="28"/>
              <w:szCs w:val="32"/>
            </w:rPr>
            <w:fldChar w:fldCharType="begin"/>
          </w:r>
          <w:r>
            <w:rPr>
              <w:sz w:val="28"/>
              <w:szCs w:val="32"/>
            </w:rPr>
            <w:instrText xml:space="preserve"> PAGEREF _Toc4141 \h </w:instrText>
          </w:r>
          <w:r>
            <w:rPr>
              <w:sz w:val="28"/>
              <w:szCs w:val="32"/>
            </w:rPr>
            <w:fldChar w:fldCharType="separate"/>
          </w:r>
          <w:r>
            <w:rPr>
              <w:sz w:val="28"/>
              <w:szCs w:val="32"/>
            </w:rPr>
            <w:t>93</w:t>
          </w:r>
          <w:r>
            <w:rPr>
              <w:sz w:val="28"/>
              <w:szCs w:val="32"/>
            </w:rPr>
            <w:fldChar w:fldCharType="end"/>
          </w:r>
          <w:r>
            <w:rPr>
              <w:sz w:val="28"/>
              <w:szCs w:val="32"/>
            </w:rPr>
            <w:fldChar w:fldCharType="end"/>
          </w:r>
        </w:p>
        <w:p>
          <w:pPr>
            <w:pStyle w:val="11"/>
            <w:tabs>
              <w:tab w:val="right" w:leader="dot" w:pos="8306"/>
            </w:tabs>
            <w:ind w:firstLine="560"/>
            <w:rPr>
              <w:sz w:val="28"/>
              <w:szCs w:val="32"/>
            </w:rPr>
          </w:pPr>
          <w:r>
            <w:fldChar w:fldCharType="begin"/>
          </w:r>
          <w:r>
            <w:instrText xml:space="preserve"> HYPERLINK \l "_Toc11992" </w:instrText>
          </w:r>
          <w:r>
            <w:fldChar w:fldCharType="separate"/>
          </w:r>
          <w:r>
            <w:rPr>
              <w:rFonts w:hint="eastAsia" w:ascii="方正兰亭纤黑简体" w:hAnsi="仿宋" w:eastAsia="方正兰亭纤黑简体" w:cs="仿宋"/>
              <w:sz w:val="28"/>
              <w:szCs w:val="32"/>
            </w:rPr>
            <w:t>第二节 政策保障</w:t>
          </w:r>
          <w:r>
            <w:rPr>
              <w:sz w:val="28"/>
              <w:szCs w:val="32"/>
            </w:rPr>
            <w:tab/>
          </w:r>
          <w:r>
            <w:rPr>
              <w:sz w:val="28"/>
              <w:szCs w:val="32"/>
            </w:rPr>
            <w:fldChar w:fldCharType="begin"/>
          </w:r>
          <w:r>
            <w:rPr>
              <w:sz w:val="28"/>
              <w:szCs w:val="32"/>
            </w:rPr>
            <w:instrText xml:space="preserve"> PAGEREF _Toc11992 \h </w:instrText>
          </w:r>
          <w:r>
            <w:rPr>
              <w:sz w:val="28"/>
              <w:szCs w:val="32"/>
            </w:rPr>
            <w:fldChar w:fldCharType="separate"/>
          </w:r>
          <w:r>
            <w:rPr>
              <w:sz w:val="28"/>
              <w:szCs w:val="32"/>
            </w:rPr>
            <w:t>93</w:t>
          </w:r>
          <w:r>
            <w:rPr>
              <w:sz w:val="28"/>
              <w:szCs w:val="32"/>
            </w:rPr>
            <w:fldChar w:fldCharType="end"/>
          </w:r>
          <w:r>
            <w:rPr>
              <w:sz w:val="28"/>
              <w:szCs w:val="32"/>
            </w:rPr>
            <w:fldChar w:fldCharType="end"/>
          </w:r>
        </w:p>
        <w:p>
          <w:pPr>
            <w:pStyle w:val="11"/>
            <w:tabs>
              <w:tab w:val="right" w:leader="dot" w:pos="8306"/>
            </w:tabs>
            <w:ind w:firstLine="560"/>
          </w:pPr>
          <w:r>
            <w:fldChar w:fldCharType="begin"/>
          </w:r>
          <w:r>
            <w:instrText xml:space="preserve"> HYPERLINK \l "_Toc17634" </w:instrText>
          </w:r>
          <w:r>
            <w:fldChar w:fldCharType="separate"/>
          </w:r>
          <w:r>
            <w:rPr>
              <w:rFonts w:hint="eastAsia" w:ascii="方正兰亭纤黑简体" w:hAnsi="仿宋" w:eastAsia="方正兰亭纤黑简体" w:cs="仿宋"/>
              <w:sz w:val="28"/>
              <w:szCs w:val="32"/>
            </w:rPr>
            <w:t>第三节 资金保障</w:t>
          </w:r>
          <w:r>
            <w:rPr>
              <w:sz w:val="28"/>
              <w:szCs w:val="32"/>
            </w:rPr>
            <w:tab/>
          </w:r>
          <w:r>
            <w:rPr>
              <w:sz w:val="28"/>
              <w:szCs w:val="32"/>
            </w:rPr>
            <w:fldChar w:fldCharType="begin"/>
          </w:r>
          <w:r>
            <w:rPr>
              <w:sz w:val="28"/>
              <w:szCs w:val="32"/>
            </w:rPr>
            <w:instrText xml:space="preserve"> PAGEREF _Toc17634 \h </w:instrText>
          </w:r>
          <w:r>
            <w:rPr>
              <w:sz w:val="28"/>
              <w:szCs w:val="32"/>
            </w:rPr>
            <w:fldChar w:fldCharType="separate"/>
          </w:r>
          <w:r>
            <w:rPr>
              <w:sz w:val="28"/>
              <w:szCs w:val="32"/>
            </w:rPr>
            <w:t>94</w:t>
          </w:r>
          <w:r>
            <w:rPr>
              <w:sz w:val="28"/>
              <w:szCs w:val="32"/>
            </w:rPr>
            <w:fldChar w:fldCharType="end"/>
          </w:r>
          <w:r>
            <w:rPr>
              <w:sz w:val="28"/>
              <w:szCs w:val="32"/>
            </w:rPr>
            <w:fldChar w:fldCharType="end"/>
          </w:r>
        </w:p>
        <w:p>
          <w:pPr>
            <w:ind w:firstLine="640"/>
          </w:pPr>
          <w:r>
            <w:rPr>
              <w:rFonts w:hint="eastAsia" w:ascii="方正兰亭纤黑简体" w:eastAsia="方正兰亭纤黑简体"/>
              <w:bCs/>
              <w:lang w:val="zh-CN"/>
            </w:rPr>
            <w:fldChar w:fldCharType="end"/>
          </w:r>
        </w:p>
      </w:sdtContent>
    </w:sdt>
    <w:p>
      <w:pPr>
        <w:pStyle w:val="4"/>
        <w:adjustRightInd w:val="0"/>
        <w:snapToGrid w:val="0"/>
        <w:spacing w:line="432" w:lineRule="auto"/>
        <w:ind w:left="0"/>
        <w:rPr>
          <w:rFonts w:ascii="仿宋" w:hAnsi="仿宋" w:eastAsia="仿宋" w:cs="仿宋"/>
          <w:b/>
        </w:rPr>
        <w:sectPr>
          <w:headerReference r:id="rId9" w:type="default"/>
          <w:footerReference r:id="rId10" w:type="default"/>
          <w:pgSz w:w="11906" w:h="16838"/>
          <w:pgMar w:top="1440" w:right="1800" w:bottom="1440" w:left="1800" w:header="851" w:footer="992" w:gutter="0"/>
          <w:pgNumType w:start="1"/>
          <w:cols w:space="425" w:num="1"/>
          <w:docGrid w:type="lines" w:linePitch="312" w:charSpace="0"/>
        </w:sectPr>
      </w:pPr>
    </w:p>
    <w:bookmarkEnd w:id="18"/>
    <w:bookmarkEnd w:id="19"/>
    <w:p>
      <w:pPr>
        <w:pStyle w:val="4"/>
        <w:adjustRightInd w:val="0"/>
        <w:snapToGrid w:val="0"/>
        <w:spacing w:line="432" w:lineRule="auto"/>
        <w:ind w:left="0"/>
        <w:rPr>
          <w:rFonts w:ascii="方正兰亭粗黑简体" w:hAnsi="仿宋" w:eastAsia="方正兰亭粗黑简体" w:cs="仿宋"/>
          <w:b/>
        </w:rPr>
      </w:pPr>
      <w:bookmarkStart w:id="20" w:name="_Toc9625"/>
      <w:bookmarkStart w:id="21" w:name="_Toc109981070"/>
      <w:bookmarkStart w:id="22" w:name="_Toc6233"/>
      <w:bookmarkStart w:id="23" w:name="_Toc8757"/>
      <w:bookmarkStart w:id="24" w:name="_Toc9528"/>
      <w:r>
        <w:rPr>
          <w:rFonts w:hint="eastAsia" w:ascii="方正兰亭粗黑简体" w:hAnsi="仿宋" w:eastAsia="方正兰亭粗黑简体" w:cs="仿宋"/>
          <w:b/>
        </w:rPr>
        <w:t>规划背景</w:t>
      </w:r>
      <w:bookmarkEnd w:id="20"/>
      <w:bookmarkEnd w:id="21"/>
    </w:p>
    <w:p>
      <w:pPr>
        <w:ind w:firstLine="560"/>
        <w:rPr>
          <w:rFonts w:ascii="方正兰亭纤黑简体" w:hAnsi="仿宋" w:eastAsia="方正兰亭纤黑简体" w:cs="仿宋"/>
          <w:sz w:val="28"/>
          <w:szCs w:val="28"/>
        </w:rPr>
      </w:pPr>
      <w:r>
        <w:rPr>
          <w:rFonts w:hint="eastAsia" w:ascii="方正兰亭纤黑简体" w:hAnsi="仿宋" w:eastAsia="方正兰亭纤黑简体" w:cs="仿宋"/>
          <w:sz w:val="28"/>
        </w:rPr>
        <w:t>2021-2025年的基础</w:t>
      </w:r>
      <w:r>
        <w:rPr>
          <w:rFonts w:ascii="方正兰亭纤黑简体" w:hAnsi="仿宋" w:eastAsia="方正兰亭纤黑简体" w:cs="仿宋"/>
          <w:sz w:val="28"/>
        </w:rPr>
        <w:t>设施建设</w:t>
      </w:r>
      <w:r>
        <w:rPr>
          <w:rFonts w:hint="eastAsia" w:ascii="方正兰亭纤黑简体" w:hAnsi="仿宋" w:eastAsia="方正兰亭纤黑简体" w:cs="仿宋"/>
          <w:sz w:val="28"/>
        </w:rPr>
        <w:t>规划是全面建成小康社会后的第一个五年规划，是开启全面建设社会主义现代化国家新征程的第一个五年规划，也是以供给侧结构性改革为主线，构建现代化经济体系，同时推动高质量发展的重要战略机遇期。城市基础设施规划作为规划体系的重点专项规划之一，带有承前启后的重要使命，是一个立足新起点、谱写新篇章的规划。大足区作为主城都市区“桥头堡城市”，在成渝地区双城经济圈建设重大战略机遇下，加持“腹心”优势，站在川渝合作的最前沿，助推构建成渝地区双城经济圈“中部崛起”增长极，争做成渝地区双城经济圈建设协同发展示范区。</w:t>
      </w:r>
    </w:p>
    <w:p>
      <w:pPr>
        <w:pStyle w:val="5"/>
        <w:ind w:left="0"/>
        <w:rPr>
          <w:rFonts w:ascii="方正兰亭纤黑简体" w:hAnsi="仿宋" w:eastAsia="方正兰亭纤黑简体" w:cs="仿宋"/>
          <w:b/>
          <w:bCs w:val="0"/>
        </w:rPr>
      </w:pPr>
      <w:bookmarkStart w:id="25" w:name="_Toc8161"/>
      <w:bookmarkStart w:id="26" w:name="_Toc22939"/>
      <w:bookmarkStart w:id="27" w:name="_Toc14311"/>
      <w:bookmarkStart w:id="28" w:name="_Toc2437"/>
      <w:bookmarkStart w:id="29" w:name="_Toc109981071"/>
      <w:r>
        <w:rPr>
          <w:rFonts w:hint="eastAsia" w:ascii="方正兰亭纤黑简体" w:hAnsi="仿宋" w:eastAsia="方正兰亭纤黑简体" w:cs="仿宋"/>
          <w:b/>
          <w:bCs w:val="0"/>
        </w:rPr>
        <w:t>“十三五”发展成就</w:t>
      </w:r>
      <w:bookmarkEnd w:id="25"/>
      <w:bookmarkEnd w:id="26"/>
      <w:bookmarkEnd w:id="27"/>
      <w:bookmarkEnd w:id="28"/>
      <w:bookmarkEnd w:id="29"/>
    </w:p>
    <w:p>
      <w:pPr>
        <w:adjustRightInd w:val="0"/>
        <w:snapToGrid w:val="0"/>
        <w:ind w:firstLine="560"/>
        <w:rPr>
          <w:rFonts w:ascii="方正兰亭纤黑简体" w:hAnsi="仿宋" w:eastAsia="方正兰亭纤黑简体" w:cs="仿宋"/>
          <w:sz w:val="28"/>
        </w:rPr>
      </w:pPr>
      <w:r>
        <w:rPr>
          <w:rFonts w:hint="eastAsia" w:ascii="方正兰亭纤黑简体" w:hAnsi="仿宋" w:eastAsia="方正兰亭纤黑简体" w:cs="仿宋"/>
          <w:sz w:val="28"/>
        </w:rPr>
        <w:t>“十三五”时期是全面建成小康社会决胜阶段。面对错综复杂的国际形势、艰巨繁重的国内改革发展稳定任务，在区委区政府领导集体的带领下，我区城市基础设施建设仍取得亮眼成绩。</w:t>
      </w:r>
    </w:p>
    <w:p>
      <w:pPr>
        <w:adjustRightInd w:val="0"/>
        <w:snapToGrid w:val="0"/>
        <w:ind w:firstLine="562"/>
        <w:rPr>
          <w:rFonts w:ascii="方正兰亭纤黑简体" w:hAnsi="仿宋" w:eastAsia="方正兰亭纤黑简体" w:cs="仿宋"/>
          <w:sz w:val="28"/>
        </w:rPr>
      </w:pPr>
      <w:r>
        <w:rPr>
          <w:rFonts w:hint="eastAsia" w:ascii="方正兰亭纤黑简体" w:hAnsi="仿宋" w:eastAsia="方正兰亭纤黑简体" w:cs="仿宋"/>
          <w:b/>
          <w:bCs/>
          <w:sz w:val="28"/>
        </w:rPr>
        <w:t>——城市交通融合发展迈上新台阶。</w:t>
      </w:r>
      <w:r>
        <w:rPr>
          <w:rFonts w:hint="eastAsia" w:ascii="方正兰亭纤黑简体" w:hAnsi="仿宋" w:eastAsia="方正兰亭纤黑简体" w:cs="仿宋"/>
          <w:sz w:val="28"/>
        </w:rPr>
        <w:t>“十三五”期间，我区进一步贯通动脉、发展毛细，基本构建“二横九纵”骨架道路，完善次支路路网，新建海棠新城旅游大道、莲花观光路、新东观光路、三合片区道路等共约45.3公里城市道路，道路总里程达到198.03公里，路网进一步织密；十三五期间完成人行道面积建设28.6万平方米，人行道面积达到125万平方米，人行舒适性与通达性进一步提升。“十三五”期间实施完成了濑溪河大足城区狮子桥至红星老堤（罗汉桥下游约500米）段休闲步道、北山步道和一碗水疏散环线工程、谢家湾荷塘栈道工程、龙水湖环湖步道工程等共约18公里慢行步道建设，完成了大足区绿道网规划方案编制和绿道系统示范段21.1公里施工图设计。至“十三五”期末，我区已建设人行立体过街设施3座，人行过街安全性、舒适性得到提升。“十三五”期间停车矛盾得到初步缓解，公共停车场建设稳步推进，截至2020年末，我区建成公共停车场18个，停车泊位达到6636个。</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——市政环卫体系取得新进展。</w:t>
      </w:r>
      <w:r>
        <w:rPr>
          <w:rFonts w:hint="eastAsia" w:ascii="方正兰亭纤黑简体" w:hAnsi="仿宋" w:eastAsia="方正兰亭纤黑简体" w:cs="仿宋"/>
          <w:sz w:val="28"/>
        </w:rPr>
        <w:t>城市排水管网和污水处理设施建设稳步推进。排水方面，截止2020年末，城区市政雨水管网长度约268.42公里，市政污水管网约155.6公里，龙水片区市政雨水管网约144.25公里，市政污水管网约117.67公里。完成城区和龙水片区市政及小区排水管网普查约1737.9公里，内窥排查大足城区市政道路33条（主要是濑溪河以南）约140公里。“十三五”期间完成大足城区污水处理厂三期扩容至7.5万吨/天工程、龙水生活污水处理厂提标至地表水准IV类等工程建设。至“十三五”期末，规划区内已建成各类公厕110座、垃圾转运站14座、“劳动者港湾”12座、设置果皮箱1164个，于2021年1月成功挂牌国家卫生区。</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——城市环境品质获得新提升。</w:t>
      </w:r>
      <w:r>
        <w:rPr>
          <w:rFonts w:hint="eastAsia" w:ascii="方正兰亭纤黑简体" w:hAnsi="仿宋" w:eastAsia="方正兰亭纤黑简体" w:cs="仿宋"/>
          <w:sz w:val="28"/>
        </w:rPr>
        <w:t>“十三五”期间，全区年均空气质量优良天数达到308天。境内4条主要河流6个水质监测断面全部达到地表水环境质量Ⅲ类标准，玉滩水库库心断面水质总体达到湖库Ⅲ类标准，饮用水源水质总体良好，4个城市集中式饮用水源地水质达标率为100%。开展原龙水电镀园区（二期），宏元金属材料有限公司场地重金属污染场地的土壤整治与修复工作，整治修复面积达17705.501平方米，修复污染土达64352.5立方米，清运铅渣6584立方米。海绵城市达标面积6.25平方公里，占城市建成区面积的30.07％，经评估，我区海绵城市建设效果位居全市38个海绵城市前列。我区建设完成香国公园、红星生态公园、西禅体育公园等多个公园绿地工程，新增各类绿地面积224.84万平方米，建成区绿地率提升至43.32%，人均公园绿地面积达到17.41平方米。</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——城市运行安全保障能力得到提升。</w:t>
      </w:r>
      <w:r>
        <w:rPr>
          <w:rFonts w:hint="eastAsia" w:ascii="方正兰亭纤黑简体" w:hAnsi="仿宋" w:eastAsia="方正兰亭纤黑简体" w:cs="仿宋"/>
          <w:sz w:val="28"/>
        </w:rPr>
        <w:t>在供水方面，“十三五”期间新建大足城区供水管网10.9公里，龙水镇供水管网14公里；改造大足城区老旧供水管网13.28公里，龙水供水管网6.75公里。扩建常规水处理规模2.5万m</w:t>
      </w:r>
      <w:r>
        <w:rPr>
          <w:rFonts w:hint="eastAsia" w:ascii="方正兰亭纤黑简体" w:hAnsi="仿宋" w:eastAsia="方正兰亭纤黑简体" w:cs="仿宋"/>
          <w:sz w:val="28"/>
          <w:vertAlign w:val="superscript"/>
        </w:rPr>
        <w:t>3</w:t>
      </w:r>
      <w:r>
        <w:rPr>
          <w:rFonts w:hint="eastAsia" w:ascii="方正兰亭纤黑简体" w:hAnsi="仿宋" w:eastAsia="方正兰亭纤黑简体" w:cs="仿宋"/>
          <w:sz w:val="28"/>
        </w:rPr>
        <w:t>/d，使水厂水处理总规模达到5.0万m</w:t>
      </w:r>
      <w:r>
        <w:rPr>
          <w:rFonts w:hint="eastAsia" w:ascii="方正兰亭纤黑简体" w:hAnsi="仿宋" w:eastAsia="方正兰亭纤黑简体" w:cs="仿宋"/>
          <w:sz w:val="28"/>
          <w:vertAlign w:val="superscript"/>
        </w:rPr>
        <w:t>3</w:t>
      </w:r>
      <w:r>
        <w:rPr>
          <w:rFonts w:hint="eastAsia" w:ascii="方正兰亭纤黑简体" w:hAnsi="仿宋" w:eastAsia="方正兰亭纤黑简体" w:cs="仿宋"/>
          <w:sz w:val="28"/>
        </w:rPr>
        <w:t>/d；新建龙水至大足DN600应急供水管道13公里及加压泵站一座。在电力方面，供电可靠性进一步提升，“十三五”期间我区共建设110kV线路12.5公里，110kV容量净增100MVA；10kV线路、改造1340.06公里，10kV配变容量净增35505MVA。在燃气方面，燃气供应范围进一步扩大，“十三五”期间我区城镇天然气用户总数增加10万余户，总用户量达到20万余户。</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——新城建谱写新篇章。</w:t>
      </w:r>
      <w:r>
        <w:rPr>
          <w:rFonts w:hint="eastAsia" w:ascii="方正兰亭纤黑简体" w:hAnsi="仿宋" w:eastAsia="方正兰亭纤黑简体" w:cs="仿宋"/>
          <w:sz w:val="28"/>
        </w:rPr>
        <w:t>截止“十三五”期末，建成4G基站4000余个、5G基站1100余个、基站站点260个、通信电力机房30个、铺设通信光缆600公里，行政村互联网覆盖率、光纤通达率均达100%，宽带接入能力达到100Mbps；数字经济发展载体及平台不断蓄积，建成国家级科技创新平台2个；城市治理数字化不断提高，城管覆盖面达90%，创建市级智慧教育建设示范学校16所，完成“应指工程”补点扩面、背街小巷视频监控建设，公安自建治安监控达1435个、人脸卡口169个、车辆卡口484个，智慧警务建设取得积极进展，全市首个区县“互联网+智慧民政”系统平台上线运行，“互联网+智慧养老”入选全国样本。</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——应急防灾体系更加完善。</w:t>
      </w:r>
      <w:r>
        <w:rPr>
          <w:rFonts w:hint="eastAsia" w:ascii="方正兰亭纤黑简体" w:hAnsi="仿宋" w:eastAsia="方正兰亭纤黑简体" w:cs="仿宋"/>
          <w:sz w:val="28"/>
        </w:rPr>
        <w:t>“十三五”期末规划区内已完成29.9公里堤防治理，5级以上江河堤防达标率为86%。城区共有消防站3座，建成市政消火栓685个。</w:t>
      </w:r>
    </w:p>
    <w:p>
      <w:pPr>
        <w:adjustRightInd w:val="0"/>
        <w:snapToGrid w:val="0"/>
        <w:spacing w:line="432" w:lineRule="auto"/>
        <w:ind w:firstLine="0" w:firstLineChars="0"/>
        <w:jc w:val="center"/>
        <w:rPr>
          <w:rFonts w:ascii="方正兰亭纤黑简体" w:hAnsi="仿宋" w:eastAsia="方正兰亭纤黑简体" w:cs="仿宋"/>
          <w:b/>
          <w:bCs/>
          <w:sz w:val="28"/>
          <w:szCs w:val="28"/>
        </w:rPr>
      </w:pPr>
      <w:r>
        <w:rPr>
          <w:rFonts w:hint="eastAsia" w:ascii="方正兰亭纤黑简体" w:hAnsi="仿宋" w:eastAsia="方正兰亭纤黑简体" w:cs="仿宋"/>
          <w:b/>
          <w:bCs/>
          <w:sz w:val="28"/>
          <w:szCs w:val="28"/>
        </w:rPr>
        <w:t>专栏  2020年主要指标完成情况表</w:t>
      </w:r>
    </w:p>
    <w:tbl>
      <w:tblPr>
        <w:tblStyle w:val="24"/>
        <w:tblW w:w="8784" w:type="dxa"/>
        <w:jc w:val="center"/>
        <w:tblCellSpacing w:w="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378"/>
        <w:gridCol w:w="3552"/>
        <w:gridCol w:w="1243"/>
        <w:gridCol w:w="1405"/>
        <w:gridCol w:w="12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67" w:hRule="atLeast"/>
          <w:tblHeader/>
          <w:tblCellSpacing w:w="0" w:type="dxa"/>
          <w:jc w:val="center"/>
        </w:trPr>
        <w:tc>
          <w:tcPr>
            <w:tcW w:w="1378" w:type="dxa"/>
            <w:shd w:val="clear" w:color="auto" w:fill="BDD6EE" w:themeFill="accent1" w:themeFillTint="66"/>
            <w:tcMar>
              <w:left w:w="108" w:type="dxa"/>
              <w:right w:w="108" w:type="dxa"/>
            </w:tcMar>
            <w:vAlign w:val="center"/>
          </w:tcPr>
          <w:p>
            <w:pPr>
              <w:spacing w:line="240" w:lineRule="auto"/>
              <w:ind w:firstLine="0" w:firstLineChars="0"/>
              <w:jc w:val="center"/>
              <w:rPr>
                <w:rFonts w:ascii="方正兰亭纤黑简体" w:hAnsi="仿宋" w:eastAsia="方正兰亭纤黑简体" w:cs="仿宋"/>
                <w:b/>
                <w:bCs/>
                <w:kern w:val="0"/>
                <w:sz w:val="21"/>
              </w:rPr>
            </w:pPr>
            <w:r>
              <w:rPr>
                <w:rFonts w:hint="eastAsia" w:ascii="方正兰亭纤黑简体" w:hAnsi="仿宋" w:eastAsia="方正兰亭纤黑简体" w:cs="仿宋"/>
                <w:b/>
                <w:bCs/>
                <w:kern w:val="0"/>
                <w:sz w:val="21"/>
              </w:rPr>
              <w:t>类别</w:t>
            </w:r>
          </w:p>
        </w:tc>
        <w:tc>
          <w:tcPr>
            <w:tcW w:w="3552" w:type="dxa"/>
            <w:shd w:val="clear" w:color="auto" w:fill="BDD6EE" w:themeFill="accent1" w:themeFillTint="66"/>
            <w:tcMar>
              <w:left w:w="108" w:type="dxa"/>
              <w:right w:w="108" w:type="dxa"/>
            </w:tcMar>
            <w:vAlign w:val="center"/>
          </w:tcPr>
          <w:p>
            <w:pPr>
              <w:spacing w:line="240" w:lineRule="auto"/>
              <w:ind w:firstLine="0" w:firstLineChars="0"/>
              <w:jc w:val="center"/>
              <w:rPr>
                <w:rFonts w:ascii="方正兰亭纤黑简体" w:hAnsi="仿宋" w:eastAsia="方正兰亭纤黑简体" w:cs="仿宋"/>
                <w:b/>
                <w:bCs/>
                <w:kern w:val="0"/>
                <w:sz w:val="21"/>
              </w:rPr>
            </w:pPr>
            <w:r>
              <w:rPr>
                <w:rFonts w:hint="eastAsia" w:ascii="方正兰亭纤黑简体" w:hAnsi="仿宋" w:eastAsia="方正兰亭纤黑简体" w:cs="仿宋"/>
                <w:b/>
                <w:bCs/>
                <w:kern w:val="0"/>
                <w:sz w:val="21"/>
              </w:rPr>
              <w:t>指标名称</w:t>
            </w:r>
          </w:p>
        </w:tc>
        <w:tc>
          <w:tcPr>
            <w:tcW w:w="1243" w:type="dxa"/>
            <w:shd w:val="clear" w:color="auto" w:fill="BDD6EE" w:themeFill="accent1" w:themeFillTint="66"/>
            <w:tcMar>
              <w:left w:w="108" w:type="dxa"/>
              <w:right w:w="108" w:type="dxa"/>
            </w:tcMar>
            <w:vAlign w:val="center"/>
          </w:tcPr>
          <w:p>
            <w:pPr>
              <w:spacing w:line="240" w:lineRule="auto"/>
              <w:ind w:firstLine="0" w:firstLineChars="0"/>
              <w:jc w:val="center"/>
              <w:rPr>
                <w:rFonts w:ascii="方正兰亭纤黑简体" w:hAnsi="仿宋" w:eastAsia="方正兰亭纤黑简体" w:cs="仿宋"/>
                <w:b/>
                <w:bCs/>
                <w:kern w:val="0"/>
                <w:sz w:val="21"/>
              </w:rPr>
            </w:pPr>
            <w:r>
              <w:rPr>
                <w:rFonts w:hint="eastAsia" w:ascii="方正兰亭纤黑简体" w:hAnsi="仿宋" w:eastAsia="方正兰亭纤黑简体" w:cs="仿宋"/>
                <w:b/>
                <w:bCs/>
                <w:kern w:val="0"/>
                <w:sz w:val="21"/>
              </w:rPr>
              <w:t>2020年</w:t>
            </w:r>
          </w:p>
          <w:p>
            <w:pPr>
              <w:spacing w:line="240" w:lineRule="auto"/>
              <w:ind w:firstLine="0" w:firstLineChars="0"/>
              <w:jc w:val="center"/>
              <w:rPr>
                <w:rFonts w:ascii="方正兰亭纤黑简体" w:hAnsi="仿宋" w:eastAsia="方正兰亭纤黑简体" w:cs="仿宋"/>
                <w:b/>
                <w:bCs/>
                <w:kern w:val="0"/>
                <w:sz w:val="21"/>
              </w:rPr>
            </w:pPr>
            <w:r>
              <w:rPr>
                <w:rFonts w:hint="eastAsia" w:ascii="方正兰亭纤黑简体" w:hAnsi="仿宋" w:eastAsia="方正兰亭纤黑简体" w:cs="仿宋"/>
                <w:b/>
                <w:bCs/>
                <w:kern w:val="0"/>
                <w:sz w:val="21"/>
              </w:rPr>
              <w:t>目标值</w:t>
            </w:r>
          </w:p>
        </w:tc>
        <w:tc>
          <w:tcPr>
            <w:tcW w:w="1405" w:type="dxa"/>
            <w:shd w:val="clear" w:color="auto" w:fill="BDD6EE" w:themeFill="accent1" w:themeFillTint="66"/>
            <w:tcMar>
              <w:left w:w="108" w:type="dxa"/>
              <w:right w:w="108" w:type="dxa"/>
            </w:tcMar>
            <w:vAlign w:val="center"/>
          </w:tcPr>
          <w:p>
            <w:pPr>
              <w:spacing w:line="240" w:lineRule="auto"/>
              <w:ind w:firstLine="0" w:firstLineChars="0"/>
              <w:jc w:val="center"/>
              <w:rPr>
                <w:rFonts w:ascii="方正兰亭纤黑简体" w:hAnsi="仿宋" w:eastAsia="方正兰亭纤黑简体" w:cs="仿宋"/>
                <w:b/>
                <w:bCs/>
                <w:kern w:val="0"/>
                <w:sz w:val="21"/>
              </w:rPr>
            </w:pPr>
            <w:r>
              <w:rPr>
                <w:rFonts w:hint="eastAsia" w:ascii="方正兰亭纤黑简体" w:hAnsi="仿宋" w:eastAsia="方正兰亭纤黑简体" w:cs="仿宋"/>
                <w:b/>
                <w:bCs/>
                <w:kern w:val="0"/>
                <w:sz w:val="21"/>
              </w:rPr>
              <w:t>2020年</w:t>
            </w:r>
          </w:p>
          <w:p>
            <w:pPr>
              <w:spacing w:line="240" w:lineRule="auto"/>
              <w:ind w:firstLine="0" w:firstLineChars="0"/>
              <w:jc w:val="center"/>
              <w:rPr>
                <w:rFonts w:ascii="方正兰亭纤黑简体" w:hAnsi="仿宋" w:eastAsia="方正兰亭纤黑简体" w:cs="仿宋"/>
                <w:b/>
                <w:bCs/>
                <w:kern w:val="0"/>
                <w:sz w:val="21"/>
              </w:rPr>
            </w:pPr>
            <w:r>
              <w:rPr>
                <w:rFonts w:hint="eastAsia" w:ascii="方正兰亭纤黑简体" w:hAnsi="仿宋" w:eastAsia="方正兰亭纤黑简体" w:cs="仿宋"/>
                <w:b/>
                <w:bCs/>
                <w:kern w:val="0"/>
                <w:sz w:val="21"/>
              </w:rPr>
              <w:t>实际值</w:t>
            </w:r>
          </w:p>
        </w:tc>
        <w:tc>
          <w:tcPr>
            <w:tcW w:w="1206" w:type="dxa"/>
            <w:shd w:val="clear" w:color="auto" w:fill="BDD6EE" w:themeFill="accent1" w:themeFillTint="66"/>
            <w:tcMar>
              <w:left w:w="108" w:type="dxa"/>
              <w:right w:w="108" w:type="dxa"/>
            </w:tcMar>
            <w:vAlign w:val="center"/>
          </w:tcPr>
          <w:p>
            <w:pPr>
              <w:spacing w:line="240" w:lineRule="auto"/>
              <w:ind w:firstLine="0" w:firstLineChars="0"/>
              <w:jc w:val="center"/>
              <w:rPr>
                <w:rFonts w:ascii="方正兰亭纤黑简体" w:hAnsi="仿宋" w:eastAsia="方正兰亭纤黑简体" w:cs="仿宋"/>
                <w:b/>
                <w:bCs/>
                <w:kern w:val="0"/>
                <w:sz w:val="21"/>
              </w:rPr>
            </w:pPr>
            <w:r>
              <w:rPr>
                <w:rFonts w:hint="eastAsia" w:ascii="方正兰亭纤黑简体" w:hAnsi="仿宋" w:eastAsia="方正兰亭纤黑简体" w:cs="仿宋"/>
                <w:b/>
                <w:bCs/>
                <w:kern w:val="0"/>
                <w:sz w:val="21"/>
              </w:rPr>
              <w:t>指标属性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tblCellSpacing w:w="0" w:type="dxa"/>
          <w:jc w:val="center"/>
        </w:trPr>
        <w:tc>
          <w:tcPr>
            <w:tcW w:w="1378" w:type="dxa"/>
            <w:vMerge w:val="restart"/>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
                <w:bCs/>
                <w:kern w:val="0"/>
                <w:sz w:val="18"/>
                <w:szCs w:val="18"/>
              </w:rPr>
              <w:t>城市交通</w:t>
            </w:r>
          </w:p>
        </w:tc>
        <w:tc>
          <w:tcPr>
            <w:tcW w:w="3552" w:type="dxa"/>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城市道路通车里程（公里）</w:t>
            </w:r>
          </w:p>
        </w:tc>
        <w:tc>
          <w:tcPr>
            <w:tcW w:w="1243" w:type="dxa"/>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w:t>
            </w:r>
          </w:p>
        </w:tc>
        <w:tc>
          <w:tcPr>
            <w:tcW w:w="1405" w:type="dxa"/>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198.03</w:t>
            </w:r>
          </w:p>
        </w:tc>
        <w:tc>
          <w:tcPr>
            <w:tcW w:w="1206" w:type="dxa"/>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tblCellSpacing w:w="0" w:type="dxa"/>
          <w:jc w:val="center"/>
        </w:trPr>
        <w:tc>
          <w:tcPr>
            <w:tcW w:w="1378" w:type="dxa"/>
            <w:vMerge w:val="continue"/>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p>
        </w:tc>
        <w:tc>
          <w:tcPr>
            <w:tcW w:w="3552" w:type="dxa"/>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新增步道里程（公里）</w:t>
            </w:r>
          </w:p>
        </w:tc>
        <w:tc>
          <w:tcPr>
            <w:tcW w:w="1243" w:type="dxa"/>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w:t>
            </w:r>
          </w:p>
        </w:tc>
        <w:tc>
          <w:tcPr>
            <w:tcW w:w="1405" w:type="dxa"/>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18</w:t>
            </w:r>
          </w:p>
        </w:tc>
        <w:tc>
          <w:tcPr>
            <w:tcW w:w="1206" w:type="dxa"/>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tblCellSpacing w:w="0" w:type="dxa"/>
          <w:jc w:val="center"/>
        </w:trPr>
        <w:tc>
          <w:tcPr>
            <w:tcW w:w="1378" w:type="dxa"/>
            <w:vMerge w:val="continue"/>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p>
        </w:tc>
        <w:tc>
          <w:tcPr>
            <w:tcW w:w="3552" w:type="dxa"/>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公共停车泊位（个）</w:t>
            </w:r>
          </w:p>
        </w:tc>
        <w:tc>
          <w:tcPr>
            <w:tcW w:w="1243" w:type="dxa"/>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w:t>
            </w:r>
          </w:p>
        </w:tc>
        <w:tc>
          <w:tcPr>
            <w:tcW w:w="1405" w:type="dxa"/>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6636</w:t>
            </w:r>
          </w:p>
        </w:tc>
        <w:tc>
          <w:tcPr>
            <w:tcW w:w="1206" w:type="dxa"/>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tblCellSpacing w:w="0" w:type="dxa"/>
          <w:jc w:val="center"/>
        </w:trPr>
        <w:tc>
          <w:tcPr>
            <w:tcW w:w="1378" w:type="dxa"/>
            <w:vMerge w:val="restart"/>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
                <w:bCs/>
                <w:kern w:val="0"/>
                <w:sz w:val="18"/>
                <w:szCs w:val="18"/>
              </w:rPr>
            </w:pPr>
            <w:r>
              <w:rPr>
                <w:rFonts w:hint="eastAsia" w:ascii="方正兰亭纤黑简体" w:hAnsi="仿宋" w:eastAsia="方正兰亭纤黑简体" w:cs="仿宋"/>
                <w:b/>
                <w:bCs/>
                <w:kern w:val="0"/>
                <w:sz w:val="18"/>
                <w:szCs w:val="18"/>
              </w:rPr>
              <w:t>市政环卫</w:t>
            </w:r>
          </w:p>
          <w:p>
            <w:pPr>
              <w:spacing w:line="240" w:lineRule="auto"/>
              <w:ind w:firstLine="0" w:firstLineChars="0"/>
              <w:jc w:val="center"/>
              <w:rPr>
                <w:rFonts w:ascii="方正兰亭纤黑简体" w:hAnsi="仿宋" w:eastAsia="方正兰亭纤黑简体" w:cs="仿宋"/>
                <w:b/>
                <w:bCs/>
                <w:kern w:val="0"/>
                <w:sz w:val="18"/>
                <w:szCs w:val="18"/>
              </w:rPr>
            </w:pPr>
            <w:r>
              <w:rPr>
                <w:rFonts w:hint="eastAsia" w:ascii="方正兰亭纤黑简体" w:hAnsi="仿宋" w:eastAsia="方正兰亭纤黑简体" w:cs="仿宋"/>
                <w:b/>
                <w:bCs/>
                <w:kern w:val="0"/>
                <w:sz w:val="18"/>
                <w:szCs w:val="18"/>
              </w:rPr>
              <w:t>设施</w:t>
            </w:r>
          </w:p>
        </w:tc>
        <w:tc>
          <w:tcPr>
            <w:tcW w:w="3552" w:type="dxa"/>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城镇生活污水集中处理率（%）</w:t>
            </w:r>
          </w:p>
        </w:tc>
        <w:tc>
          <w:tcPr>
            <w:tcW w:w="1243" w:type="dxa"/>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95</w:t>
            </w:r>
          </w:p>
        </w:tc>
        <w:tc>
          <w:tcPr>
            <w:tcW w:w="1405" w:type="dxa"/>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＞95</w:t>
            </w:r>
          </w:p>
        </w:tc>
        <w:tc>
          <w:tcPr>
            <w:tcW w:w="1206" w:type="dxa"/>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tblCellSpacing w:w="0" w:type="dxa"/>
          <w:jc w:val="center"/>
        </w:trPr>
        <w:tc>
          <w:tcPr>
            <w:tcW w:w="1378" w:type="dxa"/>
            <w:vMerge w:val="continue"/>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p>
        </w:tc>
        <w:tc>
          <w:tcPr>
            <w:tcW w:w="3552"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污泥无害化处置率（%）</w:t>
            </w:r>
          </w:p>
        </w:tc>
        <w:tc>
          <w:tcPr>
            <w:tcW w:w="1243"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90</w:t>
            </w:r>
          </w:p>
        </w:tc>
        <w:tc>
          <w:tcPr>
            <w:tcW w:w="1405"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＞90</w:t>
            </w:r>
          </w:p>
        </w:tc>
        <w:tc>
          <w:tcPr>
            <w:tcW w:w="1206"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tblCellSpacing w:w="0" w:type="dxa"/>
          <w:jc w:val="center"/>
        </w:trPr>
        <w:tc>
          <w:tcPr>
            <w:tcW w:w="1378" w:type="dxa"/>
            <w:vMerge w:val="restart"/>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
                <w:bCs/>
                <w:kern w:val="0"/>
                <w:sz w:val="18"/>
                <w:szCs w:val="18"/>
              </w:rPr>
            </w:pPr>
            <w:r>
              <w:rPr>
                <w:rFonts w:hint="eastAsia" w:ascii="方正兰亭纤黑简体" w:hAnsi="仿宋" w:eastAsia="方正兰亭纤黑简体" w:cs="仿宋"/>
                <w:b/>
                <w:bCs/>
                <w:kern w:val="0"/>
                <w:sz w:val="18"/>
                <w:szCs w:val="18"/>
              </w:rPr>
              <w:t>城市品质与生活环境</w:t>
            </w:r>
          </w:p>
        </w:tc>
        <w:tc>
          <w:tcPr>
            <w:tcW w:w="3552" w:type="dxa"/>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建成区海绵城市面积比例（%）</w:t>
            </w:r>
          </w:p>
        </w:tc>
        <w:tc>
          <w:tcPr>
            <w:tcW w:w="1243" w:type="dxa"/>
            <w:shd w:val="clear" w:color="auto" w:fill="auto"/>
            <w:tcMar>
              <w:left w:w="108" w:type="dxa"/>
              <w:right w:w="108" w:type="dxa"/>
            </w:tcMar>
            <w:vAlign w:val="center"/>
          </w:tcPr>
          <w:p>
            <w:pPr>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20%</w:t>
            </w:r>
          </w:p>
        </w:tc>
        <w:tc>
          <w:tcPr>
            <w:tcW w:w="1405" w:type="dxa"/>
            <w:shd w:val="clear" w:color="auto" w:fill="auto"/>
            <w:tcMar>
              <w:left w:w="108" w:type="dxa"/>
              <w:right w:w="108" w:type="dxa"/>
            </w:tcMar>
            <w:vAlign w:val="center"/>
          </w:tcPr>
          <w:p>
            <w:pPr>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30.07%</w:t>
            </w:r>
          </w:p>
        </w:tc>
        <w:tc>
          <w:tcPr>
            <w:tcW w:w="1206" w:type="dxa"/>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tblCellSpacing w:w="0" w:type="dxa"/>
          <w:jc w:val="center"/>
        </w:trPr>
        <w:tc>
          <w:tcPr>
            <w:tcW w:w="1378" w:type="dxa"/>
            <w:vMerge w:val="continue"/>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p>
        </w:tc>
        <w:tc>
          <w:tcPr>
            <w:tcW w:w="3552"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建成区绿地率（%）</w:t>
            </w:r>
          </w:p>
        </w:tc>
        <w:tc>
          <w:tcPr>
            <w:tcW w:w="1243"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39.13</w:t>
            </w:r>
          </w:p>
        </w:tc>
        <w:tc>
          <w:tcPr>
            <w:tcW w:w="1405"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44.25</w:t>
            </w:r>
          </w:p>
        </w:tc>
        <w:tc>
          <w:tcPr>
            <w:tcW w:w="1206" w:type="dxa"/>
            <w:shd w:val="clear" w:color="auto" w:fill="auto"/>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tblCellSpacing w:w="0" w:type="dxa"/>
          <w:jc w:val="center"/>
        </w:trPr>
        <w:tc>
          <w:tcPr>
            <w:tcW w:w="1378" w:type="dxa"/>
            <w:vMerge w:val="continue"/>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p>
        </w:tc>
        <w:tc>
          <w:tcPr>
            <w:tcW w:w="3552"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建成区绿化覆盖率（%）</w:t>
            </w:r>
          </w:p>
        </w:tc>
        <w:tc>
          <w:tcPr>
            <w:tcW w:w="1243"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w:t>
            </w:r>
          </w:p>
        </w:tc>
        <w:tc>
          <w:tcPr>
            <w:tcW w:w="1405"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47.04</w:t>
            </w:r>
          </w:p>
        </w:tc>
        <w:tc>
          <w:tcPr>
            <w:tcW w:w="1206" w:type="dxa"/>
            <w:shd w:val="clear" w:color="auto" w:fill="auto"/>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tblCellSpacing w:w="0" w:type="dxa"/>
          <w:jc w:val="center"/>
        </w:trPr>
        <w:tc>
          <w:tcPr>
            <w:tcW w:w="1378" w:type="dxa"/>
            <w:vMerge w:val="continue"/>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p>
        </w:tc>
        <w:tc>
          <w:tcPr>
            <w:tcW w:w="3552"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人均公园绿地面积（平方米）</w:t>
            </w:r>
          </w:p>
        </w:tc>
        <w:tc>
          <w:tcPr>
            <w:tcW w:w="1243"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12</w:t>
            </w:r>
          </w:p>
        </w:tc>
        <w:tc>
          <w:tcPr>
            <w:tcW w:w="1405"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18.60</w:t>
            </w:r>
          </w:p>
        </w:tc>
        <w:tc>
          <w:tcPr>
            <w:tcW w:w="1206" w:type="dxa"/>
            <w:shd w:val="clear" w:color="auto" w:fill="auto"/>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tblCellSpacing w:w="0" w:type="dxa"/>
          <w:jc w:val="center"/>
        </w:trPr>
        <w:tc>
          <w:tcPr>
            <w:tcW w:w="1378" w:type="dxa"/>
            <w:vMerge w:val="restart"/>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
                <w:bCs/>
                <w:kern w:val="0"/>
                <w:sz w:val="18"/>
                <w:szCs w:val="18"/>
              </w:rPr>
            </w:pPr>
            <w:r>
              <w:rPr>
                <w:rFonts w:hint="eastAsia" w:ascii="方正兰亭纤黑简体" w:hAnsi="仿宋" w:eastAsia="方正兰亭纤黑简体" w:cs="仿宋"/>
                <w:b/>
                <w:bCs/>
                <w:kern w:val="0"/>
                <w:sz w:val="18"/>
                <w:szCs w:val="18"/>
              </w:rPr>
              <w:t>城市能源安全</w:t>
            </w:r>
          </w:p>
        </w:tc>
        <w:tc>
          <w:tcPr>
            <w:tcW w:w="3552"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配电网供电可靠率（%）</w:t>
            </w:r>
          </w:p>
        </w:tc>
        <w:tc>
          <w:tcPr>
            <w:tcW w:w="1243"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w:t>
            </w:r>
          </w:p>
        </w:tc>
        <w:tc>
          <w:tcPr>
            <w:tcW w:w="1405"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99.901</w:t>
            </w:r>
          </w:p>
        </w:tc>
        <w:tc>
          <w:tcPr>
            <w:tcW w:w="1206"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tblCellSpacing w:w="0" w:type="dxa"/>
          <w:jc w:val="center"/>
        </w:trPr>
        <w:tc>
          <w:tcPr>
            <w:tcW w:w="1378" w:type="dxa"/>
            <w:vMerge w:val="continue"/>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
                <w:bCs/>
                <w:kern w:val="0"/>
                <w:sz w:val="18"/>
                <w:szCs w:val="18"/>
              </w:rPr>
            </w:pPr>
          </w:p>
        </w:tc>
        <w:tc>
          <w:tcPr>
            <w:tcW w:w="3552"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变电容量增长幅度（%）</w:t>
            </w:r>
          </w:p>
        </w:tc>
        <w:tc>
          <w:tcPr>
            <w:tcW w:w="1243"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w:t>
            </w:r>
          </w:p>
        </w:tc>
        <w:tc>
          <w:tcPr>
            <w:tcW w:w="1405"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20.34%</w:t>
            </w:r>
          </w:p>
        </w:tc>
        <w:tc>
          <w:tcPr>
            <w:tcW w:w="1206"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tblCellSpacing w:w="0" w:type="dxa"/>
          <w:jc w:val="center"/>
        </w:trPr>
        <w:tc>
          <w:tcPr>
            <w:tcW w:w="1378" w:type="dxa"/>
            <w:vMerge w:val="continue"/>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
                <w:bCs/>
                <w:kern w:val="0"/>
                <w:sz w:val="18"/>
                <w:szCs w:val="18"/>
              </w:rPr>
            </w:pPr>
          </w:p>
        </w:tc>
        <w:tc>
          <w:tcPr>
            <w:tcW w:w="3552" w:type="dxa"/>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平均日供气量（万m</w:t>
            </w:r>
            <w:r>
              <w:rPr>
                <w:rFonts w:hint="eastAsia" w:ascii="方正兰亭纤黑简体" w:hAnsi="仿宋" w:eastAsia="方正兰亭纤黑简体" w:cs="仿宋"/>
                <w:bCs/>
                <w:kern w:val="0"/>
                <w:sz w:val="18"/>
                <w:szCs w:val="18"/>
                <w:vertAlign w:val="superscript"/>
              </w:rPr>
              <w:t>3</w:t>
            </w:r>
            <w:r>
              <w:rPr>
                <w:rFonts w:hint="eastAsia" w:ascii="方正兰亭纤黑简体" w:hAnsi="仿宋" w:eastAsia="方正兰亭纤黑简体" w:cs="仿宋"/>
                <w:bCs/>
                <w:kern w:val="0"/>
                <w:sz w:val="18"/>
                <w:szCs w:val="18"/>
              </w:rPr>
              <w:t>/d）</w:t>
            </w:r>
          </w:p>
        </w:tc>
        <w:tc>
          <w:tcPr>
            <w:tcW w:w="1243"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w:t>
            </w:r>
          </w:p>
        </w:tc>
        <w:tc>
          <w:tcPr>
            <w:tcW w:w="1405"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80</w:t>
            </w:r>
          </w:p>
        </w:tc>
        <w:tc>
          <w:tcPr>
            <w:tcW w:w="1206"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tblCellSpacing w:w="0" w:type="dxa"/>
          <w:jc w:val="center"/>
        </w:trPr>
        <w:tc>
          <w:tcPr>
            <w:tcW w:w="1378" w:type="dxa"/>
            <w:vMerge w:val="continue"/>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
                <w:bCs/>
                <w:kern w:val="0"/>
                <w:sz w:val="18"/>
                <w:szCs w:val="18"/>
              </w:rPr>
            </w:pPr>
          </w:p>
        </w:tc>
        <w:tc>
          <w:tcPr>
            <w:tcW w:w="3552" w:type="dxa"/>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中压及以上城镇天然气管道总里程数（公里）</w:t>
            </w:r>
          </w:p>
        </w:tc>
        <w:tc>
          <w:tcPr>
            <w:tcW w:w="1243"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w:t>
            </w:r>
          </w:p>
        </w:tc>
        <w:tc>
          <w:tcPr>
            <w:tcW w:w="1405"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1600</w:t>
            </w:r>
          </w:p>
        </w:tc>
        <w:tc>
          <w:tcPr>
            <w:tcW w:w="1206"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tblCellSpacing w:w="0" w:type="dxa"/>
          <w:jc w:val="center"/>
        </w:trPr>
        <w:tc>
          <w:tcPr>
            <w:tcW w:w="1378" w:type="dxa"/>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
                <w:bCs/>
                <w:kern w:val="0"/>
                <w:sz w:val="18"/>
                <w:szCs w:val="18"/>
              </w:rPr>
            </w:pPr>
            <w:r>
              <w:rPr>
                <w:rFonts w:hint="eastAsia" w:ascii="方正兰亭纤黑简体" w:hAnsi="仿宋" w:eastAsia="方正兰亭纤黑简体" w:cs="仿宋"/>
                <w:b/>
                <w:bCs/>
                <w:kern w:val="0"/>
                <w:sz w:val="18"/>
                <w:szCs w:val="18"/>
              </w:rPr>
              <w:t>城市更新</w:t>
            </w:r>
          </w:p>
        </w:tc>
        <w:tc>
          <w:tcPr>
            <w:tcW w:w="3552" w:type="dxa"/>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老旧小区改造面积（万平方米）</w:t>
            </w:r>
          </w:p>
        </w:tc>
        <w:tc>
          <w:tcPr>
            <w:tcW w:w="1243" w:type="dxa"/>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w:t>
            </w:r>
          </w:p>
        </w:tc>
        <w:tc>
          <w:tcPr>
            <w:tcW w:w="1405" w:type="dxa"/>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r>
              <w:rPr>
                <w:rFonts w:ascii="方正兰亭纤黑简体" w:hAnsi="仿宋" w:eastAsia="方正兰亭纤黑简体" w:cs="仿宋"/>
                <w:bCs/>
                <w:kern w:val="0"/>
                <w:sz w:val="18"/>
                <w:szCs w:val="18"/>
              </w:rPr>
              <w:t>99.13</w:t>
            </w:r>
          </w:p>
        </w:tc>
        <w:tc>
          <w:tcPr>
            <w:tcW w:w="1206" w:type="dxa"/>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tblCellSpacing w:w="0" w:type="dxa"/>
          <w:jc w:val="center"/>
        </w:trPr>
        <w:tc>
          <w:tcPr>
            <w:tcW w:w="1378" w:type="dxa"/>
            <w:vMerge w:val="restart"/>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
                <w:bCs/>
                <w:kern w:val="0"/>
                <w:sz w:val="18"/>
                <w:szCs w:val="18"/>
              </w:rPr>
            </w:pPr>
            <w:r>
              <w:rPr>
                <w:rFonts w:hint="eastAsia" w:ascii="方正兰亭纤黑简体" w:hAnsi="仿宋" w:eastAsia="方正兰亭纤黑简体" w:cs="仿宋"/>
                <w:b/>
                <w:bCs/>
                <w:kern w:val="0"/>
                <w:sz w:val="18"/>
                <w:szCs w:val="18"/>
              </w:rPr>
              <w:t>新基建</w:t>
            </w:r>
          </w:p>
          <w:p>
            <w:pPr>
              <w:spacing w:line="240" w:lineRule="auto"/>
              <w:ind w:firstLine="0" w:firstLineChars="0"/>
              <w:jc w:val="center"/>
              <w:rPr>
                <w:rFonts w:ascii="方正兰亭纤黑简体" w:hAnsi="仿宋" w:eastAsia="方正兰亭纤黑简体" w:cs="仿宋"/>
                <w:b/>
                <w:bCs/>
                <w:kern w:val="0"/>
                <w:sz w:val="18"/>
                <w:szCs w:val="18"/>
              </w:rPr>
            </w:pPr>
            <w:r>
              <w:rPr>
                <w:rFonts w:hint="eastAsia" w:ascii="方正兰亭纤黑简体" w:hAnsi="仿宋" w:eastAsia="方正兰亭纤黑简体" w:cs="仿宋"/>
                <w:b/>
                <w:bCs/>
                <w:kern w:val="0"/>
                <w:sz w:val="18"/>
                <w:szCs w:val="18"/>
              </w:rPr>
              <w:t>设施</w:t>
            </w:r>
          </w:p>
        </w:tc>
        <w:tc>
          <w:tcPr>
            <w:tcW w:w="3552" w:type="dxa"/>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宽带接入能力（Mbps）</w:t>
            </w:r>
          </w:p>
        </w:tc>
        <w:tc>
          <w:tcPr>
            <w:tcW w:w="1243" w:type="dxa"/>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w:t>
            </w:r>
          </w:p>
        </w:tc>
        <w:tc>
          <w:tcPr>
            <w:tcW w:w="1405" w:type="dxa"/>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100</w:t>
            </w:r>
          </w:p>
        </w:tc>
        <w:tc>
          <w:tcPr>
            <w:tcW w:w="1206" w:type="dxa"/>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tblCellSpacing w:w="0" w:type="dxa"/>
          <w:jc w:val="center"/>
        </w:trPr>
        <w:tc>
          <w:tcPr>
            <w:tcW w:w="1378" w:type="dxa"/>
            <w:vMerge w:val="continue"/>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p>
        </w:tc>
        <w:tc>
          <w:tcPr>
            <w:tcW w:w="3552"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5G移动基站（个）</w:t>
            </w:r>
          </w:p>
        </w:tc>
        <w:tc>
          <w:tcPr>
            <w:tcW w:w="1243"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w:t>
            </w:r>
          </w:p>
        </w:tc>
        <w:tc>
          <w:tcPr>
            <w:tcW w:w="1405"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1047</w:t>
            </w:r>
          </w:p>
        </w:tc>
        <w:tc>
          <w:tcPr>
            <w:tcW w:w="1206"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tblCellSpacing w:w="0" w:type="dxa"/>
          <w:jc w:val="center"/>
        </w:trPr>
        <w:tc>
          <w:tcPr>
            <w:tcW w:w="1378" w:type="dxa"/>
            <w:vMerge w:val="restart"/>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
                <w:bCs/>
                <w:kern w:val="0"/>
                <w:sz w:val="18"/>
                <w:szCs w:val="18"/>
              </w:rPr>
            </w:pPr>
            <w:r>
              <w:rPr>
                <w:rFonts w:hint="eastAsia" w:ascii="方正兰亭纤黑简体" w:hAnsi="仿宋" w:eastAsia="方正兰亭纤黑简体" w:cs="仿宋"/>
                <w:b/>
                <w:bCs/>
                <w:kern w:val="0"/>
                <w:sz w:val="18"/>
                <w:szCs w:val="18"/>
              </w:rPr>
              <w:t>城市应急</w:t>
            </w:r>
          </w:p>
          <w:p>
            <w:pPr>
              <w:spacing w:line="240" w:lineRule="auto"/>
              <w:ind w:firstLine="0" w:firstLineChars="0"/>
              <w:jc w:val="center"/>
              <w:rPr>
                <w:rFonts w:ascii="方正兰亭纤黑简体" w:hAnsi="仿宋" w:eastAsia="方正兰亭纤黑简体" w:cs="仿宋"/>
                <w:b/>
                <w:bCs/>
                <w:kern w:val="0"/>
                <w:sz w:val="18"/>
                <w:szCs w:val="18"/>
              </w:rPr>
            </w:pPr>
            <w:r>
              <w:rPr>
                <w:rFonts w:hint="eastAsia" w:ascii="方正兰亭纤黑简体" w:hAnsi="仿宋" w:eastAsia="方正兰亭纤黑简体" w:cs="仿宋"/>
                <w:b/>
                <w:bCs/>
                <w:kern w:val="0"/>
                <w:sz w:val="18"/>
                <w:szCs w:val="18"/>
              </w:rPr>
              <w:t>防洪减灾</w:t>
            </w:r>
          </w:p>
        </w:tc>
        <w:tc>
          <w:tcPr>
            <w:tcW w:w="3552" w:type="dxa"/>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市政消火栓建成率（%）</w:t>
            </w:r>
          </w:p>
        </w:tc>
        <w:tc>
          <w:tcPr>
            <w:tcW w:w="1243" w:type="dxa"/>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w:t>
            </w:r>
          </w:p>
        </w:tc>
        <w:tc>
          <w:tcPr>
            <w:tcW w:w="1405" w:type="dxa"/>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100</w:t>
            </w:r>
          </w:p>
        </w:tc>
        <w:tc>
          <w:tcPr>
            <w:tcW w:w="1206" w:type="dxa"/>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tblCellSpacing w:w="0" w:type="dxa"/>
          <w:jc w:val="center"/>
        </w:trPr>
        <w:tc>
          <w:tcPr>
            <w:tcW w:w="1378" w:type="dxa"/>
            <w:vMerge w:val="continue"/>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p>
        </w:tc>
        <w:tc>
          <w:tcPr>
            <w:tcW w:w="3552"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市政消火栓完好率（%）</w:t>
            </w:r>
          </w:p>
        </w:tc>
        <w:tc>
          <w:tcPr>
            <w:tcW w:w="1243"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w:t>
            </w:r>
          </w:p>
        </w:tc>
        <w:tc>
          <w:tcPr>
            <w:tcW w:w="1405"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98</w:t>
            </w:r>
          </w:p>
        </w:tc>
        <w:tc>
          <w:tcPr>
            <w:tcW w:w="1206"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tblCellSpacing w:w="0" w:type="dxa"/>
          <w:jc w:val="center"/>
        </w:trPr>
        <w:tc>
          <w:tcPr>
            <w:tcW w:w="1378" w:type="dxa"/>
            <w:vMerge w:val="continue"/>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p>
        </w:tc>
        <w:tc>
          <w:tcPr>
            <w:tcW w:w="3552"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城市人均防护面积（平方米）</w:t>
            </w:r>
          </w:p>
        </w:tc>
        <w:tc>
          <w:tcPr>
            <w:tcW w:w="1243"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w:t>
            </w:r>
          </w:p>
        </w:tc>
        <w:tc>
          <w:tcPr>
            <w:tcW w:w="1405"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1</w:t>
            </w:r>
          </w:p>
        </w:tc>
        <w:tc>
          <w:tcPr>
            <w:tcW w:w="1206"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tblCellSpacing w:w="0" w:type="dxa"/>
          <w:jc w:val="center"/>
        </w:trPr>
        <w:tc>
          <w:tcPr>
            <w:tcW w:w="1378" w:type="dxa"/>
            <w:vMerge w:val="continue"/>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p>
        </w:tc>
        <w:tc>
          <w:tcPr>
            <w:tcW w:w="3552"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消防站点</w:t>
            </w:r>
          </w:p>
        </w:tc>
        <w:tc>
          <w:tcPr>
            <w:tcW w:w="1243"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w:t>
            </w:r>
          </w:p>
        </w:tc>
        <w:tc>
          <w:tcPr>
            <w:tcW w:w="1405"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3</w:t>
            </w:r>
          </w:p>
        </w:tc>
        <w:tc>
          <w:tcPr>
            <w:tcW w:w="1206"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10" w:hRule="atLeast"/>
          <w:tblCellSpacing w:w="0" w:type="dxa"/>
          <w:jc w:val="center"/>
        </w:trPr>
        <w:tc>
          <w:tcPr>
            <w:tcW w:w="1378" w:type="dxa"/>
            <w:vMerge w:val="continue"/>
            <w:shd w:val="clear" w:color="auto" w:fill="auto"/>
            <w:tcMar>
              <w:left w:w="108" w:type="dxa"/>
              <w:right w:w="108" w:type="dxa"/>
            </w:tcMar>
            <w:vAlign w:val="center"/>
          </w:tcPr>
          <w:p>
            <w:pPr>
              <w:spacing w:line="240" w:lineRule="auto"/>
              <w:ind w:firstLine="0" w:firstLineChars="0"/>
              <w:jc w:val="center"/>
              <w:rPr>
                <w:rFonts w:ascii="方正兰亭纤黑简体" w:hAnsi="仿宋" w:eastAsia="方正兰亭纤黑简体" w:cs="仿宋"/>
                <w:bCs/>
                <w:kern w:val="0"/>
                <w:sz w:val="18"/>
                <w:szCs w:val="18"/>
              </w:rPr>
            </w:pPr>
          </w:p>
        </w:tc>
        <w:tc>
          <w:tcPr>
            <w:tcW w:w="3552"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5级以上江河堤防达标率</w:t>
            </w:r>
          </w:p>
        </w:tc>
        <w:tc>
          <w:tcPr>
            <w:tcW w:w="1243"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86</w:t>
            </w:r>
          </w:p>
        </w:tc>
        <w:tc>
          <w:tcPr>
            <w:tcW w:w="1405"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86</w:t>
            </w:r>
          </w:p>
        </w:tc>
        <w:tc>
          <w:tcPr>
            <w:tcW w:w="1206" w:type="dxa"/>
            <w:shd w:val="clear" w:color="auto" w:fill="auto"/>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预期性</w:t>
            </w:r>
          </w:p>
        </w:tc>
      </w:tr>
    </w:tbl>
    <w:p>
      <w:pPr>
        <w:pStyle w:val="7"/>
        <w:ind w:left="0" w:leftChars="0" w:firstLine="0" w:firstLineChars="0"/>
        <w:rPr>
          <w:rFonts w:ascii="方正兰亭纤黑简体" w:hAnsi="仿宋" w:eastAsia="方正兰亭纤黑简体" w:cs="仿宋"/>
        </w:rPr>
      </w:pPr>
    </w:p>
    <w:p>
      <w:pPr>
        <w:pStyle w:val="5"/>
        <w:ind w:left="0"/>
        <w:rPr>
          <w:rFonts w:ascii="方正兰亭纤黑简体" w:hAnsi="仿宋" w:eastAsia="方正兰亭纤黑简体" w:cs="仿宋"/>
          <w:b/>
          <w:bCs w:val="0"/>
        </w:rPr>
      </w:pPr>
      <w:bookmarkStart w:id="30" w:name="_Toc16198"/>
      <w:bookmarkStart w:id="31" w:name="_Toc109981072"/>
      <w:bookmarkStart w:id="32" w:name="_Toc8255"/>
      <w:bookmarkStart w:id="33" w:name="_Toc22224"/>
      <w:bookmarkStart w:id="34" w:name="_Toc14087"/>
      <w:bookmarkStart w:id="35" w:name="_Toc15328"/>
      <w:r>
        <w:rPr>
          <w:rFonts w:hint="eastAsia" w:ascii="方正兰亭纤黑简体" w:hAnsi="仿宋" w:eastAsia="方正兰亭纤黑简体" w:cs="仿宋"/>
          <w:b/>
          <w:bCs w:val="0"/>
        </w:rPr>
        <w:t>发展机遇</w:t>
      </w:r>
      <w:bookmarkEnd w:id="30"/>
      <w:bookmarkEnd w:id="31"/>
      <w:bookmarkEnd w:id="32"/>
      <w:bookmarkEnd w:id="33"/>
      <w:bookmarkEnd w:id="34"/>
      <w:bookmarkEnd w:id="35"/>
    </w:p>
    <w:p>
      <w:pPr>
        <w:adjustRightInd w:val="0"/>
        <w:snapToGrid w:val="0"/>
        <w:ind w:firstLine="560"/>
        <w:rPr>
          <w:rFonts w:ascii="方正兰亭纤黑简体" w:hAnsi="仿宋" w:eastAsia="方正兰亭纤黑简体" w:cs="仿宋"/>
          <w:sz w:val="28"/>
        </w:rPr>
      </w:pPr>
      <w:r>
        <w:rPr>
          <w:rFonts w:hint="eastAsia" w:ascii="方正兰亭纤黑简体" w:hAnsi="仿宋" w:eastAsia="方正兰亭纤黑简体" w:cs="仿宋"/>
          <w:sz w:val="28"/>
        </w:rPr>
        <w:t>2021-2025年是大足区开启社会主义现代化建设新征程、谱写全市“两高”示范区和争创成渝地区双城经济圈建设示范区新篇章的关键时期。以习近平同志为核心的党中央十分关心、高度重视重庆发展，给予有力指导和重大支持。党中央关于推动成渝地区双城经济圈建设，市委、市政府关于“一区两群”战略部署，深化落实新型城镇化建设、新型基础设施、新型智慧城市等领域政策为全区基础设施建设提供新路径。准确把握新发展阶段，深入践行新发展理念，积极融入新发展格局，切实担当新发展使命，坚持稳中求进工作总基调，以高标准、高品质推动建设功能完备、设施一流的基础设施。</w:t>
      </w:r>
    </w:p>
    <w:p>
      <w:pPr>
        <w:adjustRightInd w:val="0"/>
        <w:snapToGrid w:val="0"/>
        <w:ind w:firstLine="560"/>
        <w:rPr>
          <w:rFonts w:ascii="方正兰亭纤黑简体" w:hAnsi="仿宋" w:eastAsia="方正兰亭纤黑简体" w:cs="仿宋"/>
          <w:sz w:val="28"/>
        </w:rPr>
      </w:pPr>
      <w:r>
        <w:rPr>
          <w:rFonts w:hint="eastAsia" w:ascii="方正兰亭纤黑简体" w:hAnsi="仿宋" w:eastAsia="方正兰亭纤黑简体" w:cs="仿宋"/>
          <w:sz w:val="28"/>
        </w:rPr>
        <w:t>——党中央部署的重大发展战略，为基础设施高质量发展带来新动能。党中央作出构建以国内大循环为主体、国内国际双循环相互促进的新发展格局的重大决策，共建“一带一路”、长江经济带发展、西部大开发、深入实施推进供给侧结构性改革、扩大内需等重大战略，习近平总书记对重庆提出“两点”定位、“两地”“两高”目标，发挥“三个作用”，大足区作为重庆市四个“桥头堡城市”之一，是重庆“两高”示范区重要展示窗口，为我区基础设施高质量发展赋予了全新优势、创造了更为有利的条件。</w:t>
      </w:r>
    </w:p>
    <w:p>
      <w:pPr>
        <w:adjustRightInd w:val="0"/>
        <w:snapToGrid w:val="0"/>
        <w:ind w:firstLine="560"/>
        <w:rPr>
          <w:rFonts w:ascii="方正兰亭纤黑简体" w:hAnsi="仿宋" w:eastAsia="方正兰亭纤黑简体" w:cs="仿宋"/>
          <w:sz w:val="28"/>
        </w:rPr>
      </w:pPr>
      <w:r>
        <w:rPr>
          <w:rFonts w:hint="eastAsia" w:ascii="方正兰亭纤黑简体" w:hAnsi="仿宋" w:eastAsia="方正兰亭纤黑简体" w:cs="仿宋"/>
          <w:sz w:val="28"/>
        </w:rPr>
        <w:t>——成渝地区双城经济圈加快推进，为基础设施建设提供了强劲的外在推力。党中央作出推动成渝地区双城经济圈建设的重大战略部署，是推动形成优势互补、高质量发展区域经济布局的重大举措，秉承“一家亲”“一盘棋”理念，以建设成渝地区重大区域基础设施互联互通为纽带，进一步提升大足区基础设施体系与全市基础设施的融合发展水平，构建联通协同、高效便捷、更具韧性的基础设施网络体系，不断增强大足区发展能级和综合竞争力。</w:t>
      </w:r>
    </w:p>
    <w:p>
      <w:pPr>
        <w:adjustRightInd w:val="0"/>
        <w:snapToGrid w:val="0"/>
        <w:ind w:firstLine="560"/>
        <w:rPr>
          <w:rFonts w:ascii="方正兰亭纤黑简体" w:hAnsi="仿宋" w:eastAsia="方正兰亭纤黑简体" w:cs="仿宋"/>
          <w:sz w:val="28"/>
        </w:rPr>
      </w:pPr>
      <w:r>
        <w:rPr>
          <w:rFonts w:hint="eastAsia" w:ascii="方正兰亭纤黑简体" w:hAnsi="仿宋" w:eastAsia="方正兰亭纤黑简体" w:cs="仿宋"/>
          <w:sz w:val="28"/>
        </w:rPr>
        <w:t>——“一区两群”协调发展战略的实施，为基础建设提供了持续的内生动力。构建以主城都市区为引领，渝东北三峡库区城镇群和渝东南武陵山区城镇群为支撑的“一区两群”协调发展格局，我区要秉承“统筹规划、一体部署、相互协作、共同实施”的原则，大力推进高质量建设基础设施，深化与周边区县共建互享，助推主城都市区突出高质量发展重要增长极和成渝地区双城经济圈核心引擎定位。</w:t>
      </w:r>
    </w:p>
    <w:p>
      <w:pPr>
        <w:adjustRightInd w:val="0"/>
        <w:snapToGrid w:val="0"/>
        <w:ind w:firstLine="560"/>
        <w:rPr>
          <w:rFonts w:ascii="方正兰亭纤黑简体" w:hAnsi="仿宋" w:eastAsia="方正兰亭纤黑简体" w:cs="仿宋"/>
          <w:sz w:val="28"/>
        </w:rPr>
      </w:pPr>
      <w:r>
        <w:rPr>
          <w:rFonts w:hint="eastAsia" w:ascii="方正兰亭纤黑简体" w:hAnsi="仿宋" w:eastAsia="方正兰亭纤黑简体" w:cs="仿宋"/>
          <w:sz w:val="28"/>
        </w:rPr>
        <w:t>——始终牢记“一定要把大足石刻保护好”的重要要求，为基础设施建设提供了绿色发展指引力。为推进国际文旅名城建设，我区将继续全域建设大足石刻文化公园，坚持“文旅+”，将大足石刻文化公园打造成为巴蜀文化旅游走廊的重要引领、川渝石窟寺国家遗址公园的重要支撑、中华优秀传统文化传承的重要基地、世界文明交流互鉴的重要载体，推动历史文化名城建设，创建国家全域旅游示范区。</w:t>
      </w:r>
    </w:p>
    <w:p>
      <w:pPr>
        <w:pStyle w:val="2"/>
        <w:ind w:firstLine="640"/>
      </w:pPr>
    </w:p>
    <w:p>
      <w:pPr>
        <w:adjustRightInd w:val="0"/>
        <w:snapToGrid w:val="0"/>
        <w:ind w:firstLine="3360" w:firstLineChars="1200"/>
        <w:rPr>
          <w:rFonts w:ascii="方正兰亭纤黑简体" w:hAnsi="仿宋" w:eastAsia="方正兰亭纤黑简体" w:cs="仿宋"/>
          <w:sz w:val="28"/>
        </w:rPr>
      </w:pPr>
      <w:bookmarkStart w:id="36" w:name="_Toc3374"/>
      <w:bookmarkStart w:id="37" w:name="_Toc26503"/>
      <w:bookmarkStart w:id="38" w:name="_Toc109981073"/>
      <w:bookmarkStart w:id="39" w:name="_Toc15640"/>
      <w:bookmarkStart w:id="40" w:name="_Toc20246"/>
      <w:bookmarkStart w:id="41" w:name="_Toc28718"/>
      <w:bookmarkStart w:id="42" w:name="_Toc27041"/>
      <w:bookmarkStart w:id="43" w:name="_Toc13316"/>
      <w:r>
        <w:rPr>
          <w:rFonts w:hint="eastAsia" w:ascii="方正兰亭纤黑简体" w:hAnsi="仿宋" w:eastAsia="方正兰亭纤黑简体" w:cs="仿宋"/>
          <w:sz w:val="28"/>
        </w:rPr>
        <w:t>第三节    面临挑战</w:t>
      </w:r>
      <w:bookmarkEnd w:id="36"/>
      <w:bookmarkEnd w:id="37"/>
      <w:bookmarkEnd w:id="38"/>
      <w:bookmarkEnd w:id="39"/>
      <w:bookmarkEnd w:id="40"/>
      <w:bookmarkEnd w:id="41"/>
      <w:bookmarkEnd w:id="42"/>
      <w:bookmarkEnd w:id="43"/>
    </w:p>
    <w:p>
      <w:pPr>
        <w:adjustRightInd w:val="0"/>
        <w:snapToGrid w:val="0"/>
        <w:ind w:firstLine="560"/>
        <w:rPr>
          <w:rFonts w:ascii="方正兰亭纤黑简体" w:hAnsi="仿宋" w:eastAsia="方正兰亭纤黑简体" w:cs="仿宋"/>
          <w:sz w:val="28"/>
        </w:rPr>
      </w:pPr>
      <w:r>
        <w:rPr>
          <w:rFonts w:hint="eastAsia" w:ascii="方正兰亭纤黑简体" w:hAnsi="仿宋" w:eastAsia="方正兰亭纤黑简体" w:cs="仿宋"/>
          <w:sz w:val="28"/>
        </w:rPr>
        <w:t>党的二十大报告明确指出，从现在起，中国共产党的中心任务就是团结带领全国各族人民全面建成社会主义现代化强国、实现第二个百年奋斗目标，以中国式现代化全面推进中华民族伟大复兴。中国式</w:t>
      </w:r>
      <w:r>
        <w:rPr>
          <w:rFonts w:ascii="方正兰亭纤黑简体" w:hAnsi="仿宋" w:eastAsia="方正兰亭纤黑简体" w:cs="仿宋"/>
          <w:sz w:val="28"/>
        </w:rPr>
        <w:t>现代</w:t>
      </w:r>
      <w:r>
        <w:rPr>
          <w:rFonts w:hint="eastAsia" w:ascii="方正兰亭纤黑简体" w:hAnsi="仿宋" w:eastAsia="方正兰亭纤黑简体" w:cs="仿宋"/>
          <w:sz w:val="28"/>
        </w:rPr>
        <w:t>化</w:t>
      </w:r>
      <w:r>
        <w:rPr>
          <w:rFonts w:ascii="方正兰亭纤黑简体" w:hAnsi="仿宋" w:eastAsia="方正兰亭纤黑简体" w:cs="仿宋"/>
          <w:sz w:val="28"/>
        </w:rPr>
        <w:t>的建设</w:t>
      </w:r>
      <w:r>
        <w:rPr>
          <w:rFonts w:hint="eastAsia" w:ascii="方正兰亭纤黑简体" w:hAnsi="仿宋" w:eastAsia="方正兰亭纤黑简体" w:cs="仿宋"/>
          <w:sz w:val="28"/>
        </w:rPr>
        <w:t>，对城市基础设施系统的需求不仅反映在“量”的增加，更关注于“质”的提升。</w:t>
      </w:r>
    </w:p>
    <w:p>
      <w:pPr>
        <w:adjustRightInd w:val="0"/>
        <w:snapToGrid w:val="0"/>
        <w:ind w:firstLine="560"/>
        <w:rPr>
          <w:rFonts w:ascii="方正兰亭纤黑简体" w:hAnsi="仿宋" w:eastAsia="方正兰亭纤黑简体" w:cs="仿宋"/>
          <w:sz w:val="28"/>
        </w:rPr>
      </w:pPr>
      <w:r>
        <w:rPr>
          <w:rFonts w:hint="eastAsia" w:ascii="方正兰亭纤黑简体" w:hAnsi="仿宋" w:eastAsia="方正兰亭纤黑简体" w:cs="仿宋"/>
          <w:sz w:val="28"/>
        </w:rPr>
        <w:t>为支撑成渝双城经济圈发展，需进一步加强与成渝双核的交通联系。大足地处成渝地区双城经济圈发展主轴上，承东启西。作为重庆主城都市区桥头堡城市，2021-2025期间将与重庆、成都有更大的交通联系需求，现有成渝高铁、渝蓉高速在新形势、新需求下将出现供给缺口，需进一步加强与成渝双核的交通联系。</w:t>
      </w:r>
    </w:p>
    <w:p>
      <w:pPr>
        <w:adjustRightInd w:val="0"/>
        <w:snapToGrid w:val="0"/>
        <w:ind w:firstLine="560"/>
        <w:rPr>
          <w:rFonts w:ascii="方正兰亭纤黑简体" w:hAnsi="仿宋" w:eastAsia="方正兰亭纤黑简体" w:cs="仿宋"/>
          <w:sz w:val="28"/>
        </w:rPr>
      </w:pPr>
      <w:r>
        <w:rPr>
          <w:rFonts w:hint="eastAsia" w:ascii="方正兰亭纤黑简体" w:hAnsi="仿宋" w:eastAsia="方正兰亭纤黑简体" w:cs="仿宋"/>
          <w:sz w:val="28"/>
        </w:rPr>
        <w:t>文旅品牌融合基础设施还不充分，需进一步完善和提升。核心城区、大足石刻文化新城、大足石刻文创园、宝顶北山石刻文化景区、龙水湖等老牌文旅明珠和新兴文旅发展区域之间相对较为独立，与重点交通通道和枢纽节点之间的联系也尚可提升，文化间的融合提升、互相带动作用还可进一步加强，文旅景城一体化发展还有待进一步完善和提升。</w:t>
      </w:r>
    </w:p>
    <w:p>
      <w:pPr>
        <w:adjustRightInd w:val="0"/>
        <w:snapToGrid w:val="0"/>
        <w:ind w:firstLine="560"/>
        <w:rPr>
          <w:rFonts w:ascii="方正兰亭纤黑简体" w:hAnsi="仿宋" w:eastAsia="方正兰亭纤黑简体" w:cs="仿宋"/>
          <w:sz w:val="28"/>
        </w:rPr>
      </w:pPr>
      <w:r>
        <w:rPr>
          <w:rFonts w:hint="eastAsia" w:ascii="方正兰亭纤黑简体" w:hAnsi="仿宋" w:eastAsia="方正兰亭纤黑简体" w:cs="仿宋"/>
          <w:sz w:val="28"/>
        </w:rPr>
        <w:t>城市基础设施建设需进一步优化和补充。老城片区道路交通开始拥堵，新区配套道路建设有待完善；城市现有部分供排水管道日趋老旧，污水收集处理系统有待完善，防洪防涝能力可继续加强；能源供给能力在后续发展中存在一定缺口，现有电网和燃气管网设施有待进一步优化；老旧小区人居环境有待优化，母城公共空间界面相对陈旧，公共服务设施覆盖存在一定不足，棚户区尚有部分存量有待改造，城市整体品质的提升较为缓慢；新型智慧城市、海绵城市、综合管廊等建设刚进入加速期，仍需一定发展周期。全区基础设施发展局部存在不平衡、不充分的问题，2021-2025期间还需进一步补齐短板，在危机挑战中创造发展先机，在外部变局中塑造发展新局。</w:t>
      </w:r>
      <w:r>
        <w:rPr>
          <w:rFonts w:hint="eastAsia" w:ascii="方正兰亭纤黑简体" w:hAnsi="仿宋" w:eastAsia="方正兰亭纤黑简体" w:cs="仿宋"/>
          <w:sz w:val="28"/>
        </w:rPr>
        <w:br w:type="page"/>
      </w:r>
    </w:p>
    <w:p>
      <w:pPr>
        <w:pStyle w:val="4"/>
        <w:adjustRightInd w:val="0"/>
        <w:snapToGrid w:val="0"/>
        <w:spacing w:line="432" w:lineRule="auto"/>
        <w:ind w:left="0"/>
        <w:rPr>
          <w:rFonts w:ascii="方正兰亭纤黑简体" w:hAnsi="仿宋" w:eastAsia="方正兰亭纤黑简体" w:cs="仿宋"/>
          <w:bCs w:val="0"/>
          <w:sz w:val="28"/>
          <w:szCs w:val="24"/>
        </w:rPr>
      </w:pPr>
      <w:bookmarkStart w:id="44" w:name="_Toc27983"/>
      <w:bookmarkStart w:id="45" w:name="_Toc28985"/>
      <w:bookmarkStart w:id="46" w:name="_Toc28961"/>
      <w:bookmarkStart w:id="47" w:name="_Toc109981074"/>
      <w:bookmarkStart w:id="48" w:name="_Toc27403"/>
      <w:bookmarkStart w:id="49" w:name="_Toc21171"/>
      <w:bookmarkStart w:id="50" w:name="_Toc16213"/>
      <w:bookmarkStart w:id="51" w:name="_Toc1225"/>
      <w:bookmarkStart w:id="52" w:name="_Toc74834585"/>
      <w:bookmarkStart w:id="53" w:name="_Toc76401707"/>
      <w:r>
        <w:rPr>
          <w:rFonts w:hint="eastAsia" w:ascii="方正兰亭纤黑简体" w:hAnsi="仿宋" w:eastAsia="方正兰亭纤黑简体" w:cs="仿宋"/>
          <w:bCs w:val="0"/>
          <w:sz w:val="28"/>
          <w:szCs w:val="24"/>
        </w:rPr>
        <w:t>总体要求与发展目标</w:t>
      </w:r>
      <w:bookmarkEnd w:id="44"/>
      <w:bookmarkEnd w:id="45"/>
      <w:bookmarkEnd w:id="46"/>
      <w:bookmarkEnd w:id="47"/>
      <w:bookmarkEnd w:id="48"/>
      <w:bookmarkEnd w:id="49"/>
      <w:bookmarkEnd w:id="50"/>
      <w:bookmarkEnd w:id="51"/>
    </w:p>
    <w:p>
      <w:pPr>
        <w:pStyle w:val="5"/>
        <w:ind w:left="0"/>
        <w:rPr>
          <w:rFonts w:ascii="方正兰亭纤黑简体" w:hAnsi="仿宋" w:eastAsia="方正兰亭纤黑简体" w:cs="仿宋"/>
          <w:b/>
          <w:bCs w:val="0"/>
        </w:rPr>
      </w:pPr>
      <w:bookmarkStart w:id="54" w:name="_Toc10365"/>
      <w:bookmarkStart w:id="55" w:name="_Toc12227"/>
      <w:bookmarkStart w:id="56" w:name="_Toc22218"/>
      <w:bookmarkStart w:id="57" w:name="_Toc21745"/>
      <w:bookmarkStart w:id="58" w:name="_Toc4777"/>
      <w:bookmarkStart w:id="59" w:name="_Toc109981075"/>
      <w:bookmarkStart w:id="60" w:name="_Toc27900"/>
      <w:bookmarkStart w:id="61" w:name="_Toc25482"/>
      <w:r>
        <w:rPr>
          <w:rFonts w:hint="eastAsia" w:ascii="方正兰亭纤黑简体" w:hAnsi="仿宋" w:eastAsia="方正兰亭纤黑简体" w:cs="仿宋"/>
          <w:b/>
          <w:bCs w:val="0"/>
        </w:rPr>
        <w:t>指导思想</w:t>
      </w:r>
      <w:bookmarkEnd w:id="54"/>
      <w:bookmarkEnd w:id="55"/>
      <w:bookmarkEnd w:id="56"/>
      <w:bookmarkEnd w:id="57"/>
      <w:bookmarkEnd w:id="58"/>
      <w:bookmarkEnd w:id="59"/>
      <w:bookmarkEnd w:id="60"/>
      <w:bookmarkEnd w:id="61"/>
    </w:p>
    <w:p>
      <w:pPr>
        <w:adjustRightInd w:val="0"/>
        <w:snapToGrid w:val="0"/>
        <w:ind w:firstLine="560"/>
        <w:rPr>
          <w:rFonts w:ascii="方正兰亭纤黑简体" w:hAnsi="仿宋" w:eastAsia="方正兰亭纤黑简体" w:cs="仿宋"/>
          <w:sz w:val="28"/>
        </w:rPr>
      </w:pPr>
      <w:r>
        <w:rPr>
          <w:rFonts w:hint="eastAsia" w:ascii="方正兰亭纤黑简体" w:hAnsi="仿宋" w:eastAsia="方正兰亭纤黑简体" w:cs="仿宋"/>
          <w:sz w:val="28"/>
        </w:rPr>
        <w:t>高举习近平新时代中国特色社会主义思想伟大旗帜，全面贯彻党的二十大精神，深入落实习近平总书记对重庆提出的系列重要指示精神，始终牢记“一定要把大足石刻保护好”的重要要求，统筹推进“五位一体”总体布局，协调推进“四个全面”战略布局，弘扬伟大建党精神，立足新发展阶段，完整、准确、全面贯彻新发展理念，积极融入和服务新发展格局。深度融入成渝地区双城经济圈建设和全市“一区两群”协调发展，加快做靓享誉世界的文化会客厅、建强链接成渝的“两高”桥头堡，认真践行大足区“文化兴区”发展思路，全力做好“国际文旅名城、特色产业高地、城乡融合示范”三篇大文章，不断提升国际影响力、综合实力、创新活力、辐射能力，奋力建设富裕文明和谐美丽幸福新大足。</w:t>
      </w:r>
    </w:p>
    <w:p>
      <w:pPr>
        <w:pStyle w:val="5"/>
        <w:ind w:left="0"/>
        <w:rPr>
          <w:rFonts w:ascii="方正兰亭纤黑简体" w:hAnsi="仿宋" w:eastAsia="方正兰亭纤黑简体" w:cs="仿宋"/>
          <w:b/>
          <w:bCs w:val="0"/>
        </w:rPr>
      </w:pPr>
      <w:bookmarkStart w:id="62" w:name="_Toc12766"/>
      <w:bookmarkStart w:id="63" w:name="_Toc12951"/>
      <w:bookmarkStart w:id="64" w:name="_Toc13345"/>
      <w:bookmarkStart w:id="65" w:name="_Toc14460"/>
      <w:bookmarkStart w:id="66" w:name="_Toc109981076"/>
      <w:bookmarkStart w:id="67" w:name="_Toc3337"/>
      <w:bookmarkStart w:id="68" w:name="_Toc23437"/>
      <w:bookmarkStart w:id="69" w:name="_Toc19384"/>
      <w:r>
        <w:rPr>
          <w:rFonts w:hint="eastAsia" w:ascii="方正兰亭纤黑简体" w:hAnsi="仿宋" w:eastAsia="方正兰亭纤黑简体" w:cs="仿宋"/>
          <w:b/>
          <w:bCs w:val="0"/>
        </w:rPr>
        <w:t>基本原则</w:t>
      </w:r>
      <w:bookmarkEnd w:id="62"/>
      <w:bookmarkEnd w:id="63"/>
      <w:bookmarkEnd w:id="64"/>
      <w:bookmarkEnd w:id="65"/>
      <w:bookmarkEnd w:id="66"/>
      <w:bookmarkEnd w:id="67"/>
      <w:bookmarkEnd w:id="68"/>
      <w:bookmarkEnd w:id="69"/>
    </w:p>
    <w:p>
      <w:pPr>
        <w:adjustRightInd w:val="0"/>
        <w:snapToGrid w:val="0"/>
        <w:ind w:firstLine="560"/>
        <w:rPr>
          <w:rFonts w:ascii="方正兰亭纤黑简体" w:hAnsi="仿宋" w:eastAsia="方正兰亭纤黑简体" w:cs="仿宋"/>
          <w:sz w:val="28"/>
        </w:rPr>
      </w:pPr>
      <w:r>
        <w:rPr>
          <w:rFonts w:hint="eastAsia" w:ascii="方正兰亭纤黑简体" w:hAnsi="仿宋" w:eastAsia="方正兰亭纤黑简体" w:cs="仿宋"/>
          <w:sz w:val="28"/>
        </w:rPr>
        <w:t>主动担起成渝地区双城经济圈建设“中部崛起”先行区、桥头堡的任务，立足优势，转变城市发展方式，促进区域协同发展，注重生态保护，注重长远发展，从整体谋划全区国土空间开发保护格局，统筹各类资源和要素配置，为成渝地区双城经济圈建设作出更大贡献。</w:t>
      </w:r>
    </w:p>
    <w:p>
      <w:pPr>
        <w:pStyle w:val="2"/>
        <w:ind w:firstLine="560"/>
        <w:rPr>
          <w:rFonts w:ascii="方正兰亭纤黑简体" w:hAnsi="仿宋" w:eastAsia="方正兰亭纤黑简体" w:cs="仿宋"/>
          <w:sz w:val="28"/>
        </w:rPr>
      </w:pPr>
      <w:r>
        <w:rPr>
          <w:rFonts w:hint="eastAsia" w:ascii="方正兰亭纤黑简体" w:hAnsi="仿宋" w:eastAsia="方正兰亭纤黑简体" w:cs="仿宋"/>
          <w:sz w:val="28"/>
        </w:rPr>
        <w:t>——坚持立足本底资源和积极融入新发展格局，谋划长远，实现长足发展。大足区位于成渝地区双城经济圈腹地，区位优势独特，充分发挥连接城乡、联动周边的桥头堡作用，打造成渝中部地区的增长极。同时人文资源厚重，以五山为代表的大足石刻是重庆唯一的世界文化遗产，充分发挥文化资源优势，全域打造大足石刻文化公园城市。</w:t>
      </w:r>
    </w:p>
    <w:p>
      <w:pPr>
        <w:pStyle w:val="2"/>
        <w:ind w:firstLine="560"/>
        <w:rPr>
          <w:rFonts w:ascii="方正兰亭纤黑简体" w:hAnsi="仿宋" w:eastAsia="方正兰亭纤黑简体" w:cs="仿宋"/>
          <w:sz w:val="28"/>
        </w:rPr>
      </w:pPr>
      <w:r>
        <w:rPr>
          <w:rFonts w:hint="eastAsia" w:ascii="方正兰亭纤黑简体" w:hAnsi="仿宋" w:eastAsia="方正兰亭纤黑简体" w:cs="仿宋"/>
          <w:sz w:val="28"/>
        </w:rPr>
        <w:t>——坚持以人民为中心，不断满足人民对美好生活的向往。城市让生活更美好，不断增强人民群众的获得感、满足感、幸福感是城市基础设施发展的初衷，坚持以人民为中心，以普惠共享为宗旨，全面提升城市基础设施发展和服务质量，确保城市发展为了人民、依靠人民，发展成果由人民共享。</w:t>
      </w:r>
    </w:p>
    <w:p>
      <w:pPr>
        <w:pStyle w:val="2"/>
        <w:ind w:firstLine="560"/>
        <w:rPr>
          <w:rFonts w:ascii="方正兰亭纤黑简体" w:hAnsi="仿宋" w:eastAsia="方正兰亭纤黑简体" w:cs="仿宋"/>
          <w:sz w:val="28"/>
        </w:rPr>
      </w:pPr>
      <w:r>
        <w:rPr>
          <w:rFonts w:hint="eastAsia" w:ascii="方正兰亭纤黑简体" w:hAnsi="仿宋" w:eastAsia="方正兰亭纤黑简体" w:cs="仿宋"/>
          <w:sz w:val="28"/>
        </w:rPr>
        <w:t>——坚持适度超前发展，增强基础保障能力。充分发挥城市基础设施布局对实施城镇化战略的先导性作用，引导城市空间结构调整和布局优化。遵循城市发展客观规律，高起点、高标准、高质量地适度超前配置城市基础设施，加强与城镇化、工业化协调发展。</w:t>
      </w:r>
    </w:p>
    <w:p>
      <w:pPr>
        <w:pStyle w:val="2"/>
        <w:ind w:firstLine="560"/>
        <w:rPr>
          <w:rFonts w:ascii="方正兰亭纤黑简体" w:hAnsi="仿宋" w:eastAsia="方正兰亭纤黑简体" w:cs="仿宋"/>
          <w:sz w:val="28"/>
        </w:rPr>
      </w:pPr>
      <w:r>
        <w:rPr>
          <w:rFonts w:hint="eastAsia" w:ascii="方正兰亭纤黑简体" w:hAnsi="仿宋" w:eastAsia="方正兰亭纤黑简体" w:cs="仿宋"/>
          <w:sz w:val="28"/>
        </w:rPr>
        <w:t>——坚持科学的工作策略和方法，突出目标导向与问题导向相统一。立足当前，着眼于打造现代化基础设施体系的长远目标，把解决当前问题与长远发展结合起来，强化底线思维，系统谋划城市基础设施规划建设任务，解决当前基础设施领域存在的突出问题和薄弱环节，不断增强城市综合承载能力和安全保障能力，保障城市运行安全。</w:t>
      </w:r>
    </w:p>
    <w:p>
      <w:pPr>
        <w:pStyle w:val="2"/>
        <w:ind w:firstLine="560"/>
        <w:rPr>
          <w:rFonts w:ascii="方正兰亭纤黑简体" w:hAnsi="仿宋" w:eastAsia="方正兰亭纤黑简体" w:cs="仿宋"/>
          <w:sz w:val="28"/>
        </w:rPr>
      </w:pPr>
      <w:r>
        <w:rPr>
          <w:rFonts w:hint="eastAsia" w:ascii="方正兰亭纤黑简体" w:hAnsi="仿宋" w:eastAsia="方正兰亭纤黑简体" w:cs="仿宋"/>
          <w:sz w:val="28"/>
        </w:rPr>
        <w:t>——坚守绿色安全与智能高效并重，增强城市基础设施系统韧性。深入贯彻“创新、协调、绿色、开放、共享”新发展理念，转变发展模式，强化新型基础设施建设，加快形成城市基础设施发展与生态文明建设相互促进、与资源环境承载力相匹配的良好局面，增强城市基础设施可持续健康发展能力。</w:t>
      </w:r>
    </w:p>
    <w:p>
      <w:pPr>
        <w:pStyle w:val="5"/>
        <w:ind w:left="0"/>
        <w:rPr>
          <w:rFonts w:ascii="方正兰亭纤黑简体" w:hAnsi="仿宋" w:eastAsia="方正兰亭纤黑简体" w:cs="仿宋"/>
          <w:b/>
          <w:bCs w:val="0"/>
        </w:rPr>
      </w:pPr>
      <w:r>
        <w:rPr>
          <w:rFonts w:hint="eastAsia" w:ascii="方正兰亭纤黑简体" w:hAnsi="仿宋" w:eastAsia="方正兰亭纤黑简体" w:cs="仿宋"/>
          <w:b/>
          <w:bCs w:val="0"/>
        </w:rPr>
        <w:t>二十大精神的要求</w:t>
      </w:r>
    </w:p>
    <w:p>
      <w:pPr>
        <w:ind w:firstLine="560"/>
        <w:rPr>
          <w:rFonts w:ascii="方正兰亭纤黑简体" w:hAnsi="仿宋" w:eastAsia="方正兰亭纤黑简体" w:cs="仿宋"/>
          <w:sz w:val="28"/>
        </w:rPr>
      </w:pPr>
      <w:r>
        <w:rPr>
          <w:rFonts w:hint="eastAsia" w:ascii="方正兰亭纤黑简体" w:hAnsi="仿宋" w:eastAsia="方正兰亭纤黑简体" w:cs="仿宋"/>
          <w:sz w:val="28"/>
        </w:rPr>
        <w:t>中国共产党第二十次全国代表大会顺利</w:t>
      </w:r>
      <w:r>
        <w:rPr>
          <w:rFonts w:ascii="方正兰亭纤黑简体" w:hAnsi="仿宋" w:eastAsia="方正兰亭纤黑简体" w:cs="仿宋"/>
          <w:sz w:val="28"/>
        </w:rPr>
        <w:t>召开</w:t>
      </w:r>
      <w:r>
        <w:rPr>
          <w:rFonts w:hint="eastAsia" w:ascii="方正兰亭纤黑简体" w:hAnsi="仿宋" w:eastAsia="方正兰亭纤黑简体" w:cs="仿宋"/>
          <w:sz w:val="28"/>
        </w:rPr>
        <w:t>，</w:t>
      </w:r>
      <w:r>
        <w:rPr>
          <w:rFonts w:hint="eastAsia" w:ascii="方正兰亭纤黑简体" w:hAnsi="仿宋" w:eastAsia="方正兰亭纤黑简体" w:cs="仿宋"/>
          <w:sz w:val="28"/>
          <w:lang w:eastAsia="zh-CN"/>
        </w:rPr>
        <w:t>习近平总书记</w:t>
      </w:r>
      <w:r>
        <w:rPr>
          <w:rFonts w:ascii="方正兰亭纤黑简体" w:hAnsi="仿宋" w:eastAsia="方正兰亭纤黑简体" w:cs="仿宋"/>
          <w:sz w:val="28"/>
        </w:rPr>
        <w:t>所</w:t>
      </w:r>
      <w:r>
        <w:rPr>
          <w:rFonts w:hint="eastAsia" w:ascii="方正兰亭纤黑简体" w:hAnsi="仿宋" w:eastAsia="方正兰亭纤黑简体" w:cs="仿宋"/>
          <w:sz w:val="28"/>
          <w:lang w:eastAsia="zh-CN"/>
        </w:rPr>
        <w:t>作</w:t>
      </w:r>
      <w:r>
        <w:rPr>
          <w:rFonts w:ascii="方正兰亭纤黑简体" w:hAnsi="仿宋" w:eastAsia="方正兰亭纤黑简体" w:cs="仿宋"/>
          <w:sz w:val="28"/>
        </w:rPr>
        <w:t>的二十大报告中</w:t>
      </w:r>
      <w:r>
        <w:rPr>
          <w:rFonts w:hint="eastAsia" w:ascii="方正兰亭纤黑简体" w:hAnsi="仿宋" w:eastAsia="方正兰亭纤黑简体" w:cs="仿宋"/>
          <w:sz w:val="28"/>
        </w:rPr>
        <w:t>对城市基础设施建设提出了新的要求。</w:t>
      </w:r>
    </w:p>
    <w:p>
      <w:pPr>
        <w:pStyle w:val="40"/>
        <w:ind w:firstLine="640"/>
        <w:rPr>
          <w:rFonts w:ascii="方正兰亭纤黑简体" w:hAnsi="仿宋" w:eastAsia="方正兰亭纤黑简体" w:cs="仿宋"/>
          <w:kern w:val="2"/>
          <w:szCs w:val="24"/>
        </w:rPr>
      </w:pPr>
      <w:r>
        <w:rPr>
          <w:rFonts w:hint="eastAsia" w:ascii="方正兰亭纤黑简体" w:hAnsi="仿宋" w:eastAsia="方正兰亭纤黑简体" w:cs="仿宋"/>
          <w:kern w:val="2"/>
          <w:szCs w:val="24"/>
        </w:rPr>
        <w:t>——</w:t>
      </w:r>
      <w:r>
        <w:rPr>
          <w:rFonts w:ascii="方正兰亭纤黑简体" w:hAnsi="仿宋" w:eastAsia="方正兰亭纤黑简体" w:cs="仿宋"/>
          <w:b/>
          <w:kern w:val="2"/>
          <w:szCs w:val="24"/>
        </w:rPr>
        <w:t>加快构建新发展格局，着力推动高质量发展。</w:t>
      </w:r>
      <w:r>
        <w:rPr>
          <w:rFonts w:hint="eastAsia" w:ascii="方正兰亭纤黑简体" w:hAnsi="仿宋" w:eastAsia="方正兰亭纤黑简体" w:cs="仿宋"/>
          <w:kern w:val="2"/>
          <w:szCs w:val="24"/>
        </w:rPr>
        <w:t>加快建设</w:t>
      </w:r>
      <w:r>
        <w:rPr>
          <w:rFonts w:ascii="方正兰亭纤黑简体" w:hAnsi="仿宋" w:eastAsia="方正兰亭纤黑简体" w:cs="仿宋"/>
          <w:kern w:val="2"/>
          <w:szCs w:val="24"/>
        </w:rPr>
        <w:t>现代化经济体系，着力推进城乡融合和区域协调发展</w:t>
      </w:r>
      <w:r>
        <w:rPr>
          <w:rFonts w:hint="eastAsia" w:ascii="方正兰亭纤黑简体" w:hAnsi="仿宋" w:eastAsia="方正兰亭纤黑简体" w:cs="仿宋"/>
          <w:kern w:val="2"/>
          <w:szCs w:val="24"/>
        </w:rPr>
        <w:t>。加快推进区域性重大</w:t>
      </w:r>
      <w:r>
        <w:rPr>
          <w:rFonts w:ascii="方正兰亭纤黑简体" w:hAnsi="仿宋" w:eastAsia="方正兰亭纤黑简体" w:cs="仿宋"/>
          <w:kern w:val="2"/>
          <w:szCs w:val="24"/>
        </w:rPr>
        <w:t>基础设施，</w:t>
      </w:r>
      <w:r>
        <w:rPr>
          <w:rFonts w:hint="eastAsia" w:ascii="方正兰亭纤黑简体" w:hAnsi="仿宋" w:eastAsia="方正兰亭纤黑简体" w:cs="仿宋"/>
          <w:kern w:val="2"/>
          <w:szCs w:val="24"/>
        </w:rPr>
        <w:t>深度融入成渝地区双城经济圈建设和全市“一区两群”协调发展</w:t>
      </w:r>
      <w:r>
        <w:rPr>
          <w:rFonts w:ascii="方正兰亭纤黑简体" w:hAnsi="仿宋" w:eastAsia="方正兰亭纤黑简体" w:cs="仿宋"/>
          <w:kern w:val="2"/>
          <w:szCs w:val="24"/>
        </w:rPr>
        <w:t>；</w:t>
      </w:r>
      <w:r>
        <w:rPr>
          <w:rFonts w:hint="eastAsia" w:ascii="方正兰亭纤黑简体" w:hAnsi="仿宋" w:eastAsia="方正兰亭纤黑简体" w:cs="仿宋"/>
          <w:kern w:val="2"/>
          <w:szCs w:val="24"/>
        </w:rPr>
        <w:t>结合</w:t>
      </w:r>
      <w:r>
        <w:rPr>
          <w:rFonts w:ascii="方正兰亭纤黑简体" w:hAnsi="仿宋" w:eastAsia="方正兰亭纤黑简体" w:cs="仿宋"/>
          <w:kern w:val="2"/>
          <w:szCs w:val="24"/>
        </w:rPr>
        <w:t>大足产业</w:t>
      </w:r>
      <w:r>
        <w:rPr>
          <w:rFonts w:hint="eastAsia" w:ascii="方正兰亭纤黑简体" w:hAnsi="仿宋" w:eastAsia="方正兰亭纤黑简体" w:cs="仿宋"/>
          <w:kern w:val="2"/>
          <w:szCs w:val="24"/>
        </w:rPr>
        <w:t>发展</w:t>
      </w:r>
      <w:r>
        <w:rPr>
          <w:rFonts w:ascii="方正兰亭纤黑简体" w:hAnsi="仿宋" w:eastAsia="方正兰亭纤黑简体" w:cs="仿宋"/>
          <w:kern w:val="2"/>
          <w:szCs w:val="24"/>
        </w:rPr>
        <w:t>规划</w:t>
      </w:r>
      <w:r>
        <w:rPr>
          <w:rFonts w:hint="eastAsia" w:ascii="方正兰亭纤黑简体" w:hAnsi="仿宋" w:eastAsia="方正兰亭纤黑简体" w:cs="仿宋"/>
          <w:kern w:val="2"/>
          <w:szCs w:val="24"/>
        </w:rPr>
        <w:t>及空间</w:t>
      </w:r>
      <w:r>
        <w:rPr>
          <w:rFonts w:ascii="方正兰亭纤黑简体" w:hAnsi="仿宋" w:eastAsia="方正兰亭纤黑简体" w:cs="仿宋"/>
          <w:kern w:val="2"/>
          <w:szCs w:val="24"/>
        </w:rPr>
        <w:t>布局，</w:t>
      </w:r>
      <w:r>
        <w:rPr>
          <w:rFonts w:hint="eastAsia" w:ascii="方正兰亭纤黑简体" w:hAnsi="仿宋" w:eastAsia="方正兰亭纤黑简体" w:cs="仿宋"/>
          <w:kern w:val="2"/>
          <w:szCs w:val="24"/>
        </w:rPr>
        <w:t>为</w:t>
      </w:r>
      <w:r>
        <w:rPr>
          <w:rFonts w:ascii="方正兰亭纤黑简体" w:hAnsi="仿宋" w:eastAsia="方正兰亭纤黑简体" w:cs="仿宋"/>
          <w:kern w:val="2"/>
          <w:szCs w:val="24"/>
        </w:rPr>
        <w:t>产业发展构建基础设施保障</w:t>
      </w:r>
    </w:p>
    <w:p>
      <w:pPr>
        <w:pStyle w:val="40"/>
        <w:ind w:firstLine="643"/>
        <w:rPr>
          <w:rFonts w:ascii="方正兰亭纤黑简体" w:hAnsi="仿宋" w:eastAsia="方正兰亭纤黑简体" w:cs="仿宋"/>
          <w:kern w:val="2"/>
          <w:szCs w:val="24"/>
        </w:rPr>
      </w:pPr>
      <w:r>
        <w:rPr>
          <w:rFonts w:hint="eastAsia" w:ascii="方正兰亭纤黑简体" w:hAnsi="仿宋" w:eastAsia="方正兰亭纤黑简体" w:cs="仿宋"/>
          <w:b/>
          <w:kern w:val="2"/>
          <w:szCs w:val="24"/>
        </w:rPr>
        <w:t>——</w:t>
      </w:r>
      <w:r>
        <w:rPr>
          <w:rFonts w:ascii="方正兰亭纤黑简体" w:hAnsi="仿宋" w:eastAsia="方正兰亭纤黑简体" w:cs="仿宋"/>
          <w:b/>
          <w:kern w:val="2"/>
          <w:szCs w:val="24"/>
        </w:rPr>
        <w:t>实施科教兴国战略，强化现代化人才支撑。</w:t>
      </w:r>
      <w:r>
        <w:rPr>
          <w:rFonts w:hint="eastAsia" w:ascii="方正兰亭纤黑简体" w:hAnsi="仿宋" w:eastAsia="方正兰亭纤黑简体" w:cs="仿宋"/>
          <w:kern w:val="2"/>
          <w:szCs w:val="24"/>
        </w:rPr>
        <w:t>全面贯彻</w:t>
      </w:r>
      <w:r>
        <w:rPr>
          <w:rFonts w:ascii="方正兰亭纤黑简体" w:hAnsi="仿宋" w:eastAsia="方正兰亭纤黑简体" w:cs="仿宋"/>
          <w:kern w:val="2"/>
          <w:szCs w:val="24"/>
        </w:rPr>
        <w:t>党的教育方针，落实立德树人根本任务</w:t>
      </w:r>
      <w:r>
        <w:rPr>
          <w:rFonts w:hint="eastAsia" w:ascii="方正兰亭纤黑简体" w:hAnsi="仿宋" w:eastAsia="方正兰亭纤黑简体" w:cs="仿宋"/>
          <w:kern w:val="2"/>
          <w:szCs w:val="24"/>
        </w:rPr>
        <w:t>，加快</w:t>
      </w:r>
      <w:r>
        <w:rPr>
          <w:rFonts w:ascii="方正兰亭纤黑简体" w:hAnsi="仿宋" w:eastAsia="方正兰亭纤黑简体" w:cs="仿宋"/>
          <w:kern w:val="2"/>
          <w:szCs w:val="24"/>
        </w:rPr>
        <w:t>建设高质量教育体系</w:t>
      </w:r>
      <w:r>
        <w:rPr>
          <w:rFonts w:hint="eastAsia" w:ascii="方正兰亭纤黑简体" w:hAnsi="仿宋" w:eastAsia="方正兰亭纤黑简体" w:cs="仿宋"/>
          <w:kern w:val="2"/>
          <w:szCs w:val="24"/>
        </w:rPr>
        <w:t>。积极规划</w:t>
      </w:r>
      <w:r>
        <w:rPr>
          <w:rFonts w:ascii="方正兰亭纤黑简体" w:hAnsi="仿宋" w:eastAsia="方正兰亭纤黑简体" w:cs="仿宋"/>
          <w:kern w:val="2"/>
          <w:szCs w:val="24"/>
        </w:rPr>
        <w:t>、</w:t>
      </w:r>
      <w:r>
        <w:rPr>
          <w:rFonts w:hint="eastAsia" w:ascii="方正兰亭纤黑简体" w:hAnsi="仿宋" w:eastAsia="方正兰亭纤黑简体" w:cs="仿宋"/>
          <w:kern w:val="2"/>
          <w:szCs w:val="24"/>
        </w:rPr>
        <w:t>新建</w:t>
      </w:r>
      <w:r>
        <w:rPr>
          <w:rFonts w:ascii="方正兰亭纤黑简体" w:hAnsi="仿宋" w:eastAsia="方正兰亭纤黑简体" w:cs="仿宋"/>
          <w:kern w:val="2"/>
          <w:szCs w:val="24"/>
        </w:rPr>
        <w:t>中小学，</w:t>
      </w:r>
      <w:r>
        <w:rPr>
          <w:rFonts w:hint="eastAsia" w:ascii="方正兰亭纤黑简体" w:hAnsi="仿宋" w:eastAsia="方正兰亭纤黑简体" w:cs="仿宋"/>
          <w:kern w:val="2"/>
          <w:szCs w:val="24"/>
        </w:rPr>
        <w:t>满足基础教育</w:t>
      </w:r>
      <w:r>
        <w:rPr>
          <w:rFonts w:ascii="方正兰亭纤黑简体" w:hAnsi="仿宋" w:eastAsia="方正兰亭纤黑简体" w:cs="仿宋"/>
          <w:kern w:val="2"/>
          <w:szCs w:val="24"/>
        </w:rPr>
        <w:t>需求</w:t>
      </w:r>
      <w:r>
        <w:rPr>
          <w:rFonts w:hint="eastAsia" w:ascii="方正兰亭纤黑简体" w:hAnsi="仿宋" w:eastAsia="方正兰亭纤黑简体" w:cs="仿宋"/>
          <w:kern w:val="2"/>
          <w:szCs w:val="24"/>
        </w:rPr>
        <w:t>；加强</w:t>
      </w:r>
      <w:r>
        <w:rPr>
          <w:rFonts w:ascii="方正兰亭纤黑简体" w:hAnsi="仿宋" w:eastAsia="方正兰亭纤黑简体" w:cs="仿宋"/>
          <w:kern w:val="2"/>
          <w:szCs w:val="24"/>
        </w:rPr>
        <w:t>职业学院建设</w:t>
      </w:r>
      <w:r>
        <w:rPr>
          <w:rFonts w:hint="eastAsia" w:ascii="方正兰亭纤黑简体" w:hAnsi="仿宋" w:eastAsia="方正兰亭纤黑简体" w:cs="仿宋"/>
          <w:kern w:val="2"/>
          <w:szCs w:val="24"/>
        </w:rPr>
        <w:t>，</w:t>
      </w:r>
      <w:r>
        <w:rPr>
          <w:rFonts w:ascii="方正兰亭纤黑简体" w:hAnsi="仿宋" w:eastAsia="方正兰亭纤黑简体" w:cs="仿宋"/>
          <w:kern w:val="2"/>
          <w:szCs w:val="24"/>
        </w:rPr>
        <w:t>强化大足职业技能人才培育；</w:t>
      </w:r>
      <w:r>
        <w:rPr>
          <w:rFonts w:hint="eastAsia" w:ascii="方正兰亭纤黑简体" w:hAnsi="仿宋" w:eastAsia="方正兰亭纤黑简体" w:cs="仿宋"/>
          <w:kern w:val="2"/>
          <w:szCs w:val="24"/>
        </w:rPr>
        <w:t>积极</w:t>
      </w:r>
      <w:r>
        <w:rPr>
          <w:rFonts w:ascii="方正兰亭纤黑简体" w:hAnsi="仿宋" w:eastAsia="方正兰亭纤黑简体" w:cs="仿宋"/>
          <w:kern w:val="2"/>
          <w:szCs w:val="24"/>
        </w:rPr>
        <w:t>布局高等教育院校，</w:t>
      </w:r>
      <w:r>
        <w:rPr>
          <w:rFonts w:hint="eastAsia" w:ascii="方正兰亭纤黑简体" w:hAnsi="仿宋" w:eastAsia="方正兰亭纤黑简体" w:cs="仿宋"/>
          <w:kern w:val="2"/>
          <w:szCs w:val="24"/>
        </w:rPr>
        <w:t>培育</w:t>
      </w:r>
      <w:r>
        <w:rPr>
          <w:rFonts w:ascii="方正兰亭纤黑简体" w:hAnsi="仿宋" w:eastAsia="方正兰亭纤黑简体" w:cs="仿宋"/>
          <w:kern w:val="2"/>
          <w:szCs w:val="24"/>
        </w:rPr>
        <w:t>高质量人才。</w:t>
      </w:r>
    </w:p>
    <w:p>
      <w:pPr>
        <w:pStyle w:val="40"/>
        <w:ind w:firstLine="643"/>
        <w:rPr>
          <w:rFonts w:ascii="方正兰亭纤黑简体" w:hAnsi="仿宋" w:eastAsia="方正兰亭纤黑简体" w:cs="仿宋"/>
          <w:kern w:val="2"/>
          <w:szCs w:val="24"/>
        </w:rPr>
      </w:pPr>
      <w:r>
        <w:rPr>
          <w:rFonts w:hint="eastAsia" w:ascii="方正兰亭纤黑简体" w:hAnsi="仿宋" w:eastAsia="方正兰亭纤黑简体" w:cs="仿宋"/>
          <w:b/>
          <w:kern w:val="2"/>
          <w:szCs w:val="24"/>
        </w:rPr>
        <w:t>——推进</w:t>
      </w:r>
      <w:r>
        <w:rPr>
          <w:rFonts w:ascii="方正兰亭纤黑简体" w:hAnsi="仿宋" w:eastAsia="方正兰亭纤黑简体" w:cs="仿宋"/>
          <w:b/>
          <w:kern w:val="2"/>
          <w:szCs w:val="24"/>
        </w:rPr>
        <w:t>文化自信自强，铸就社会主义文化新辉煌。</w:t>
      </w:r>
      <w:r>
        <w:rPr>
          <w:rFonts w:hint="eastAsia" w:ascii="方正兰亭纤黑简体" w:hAnsi="仿宋" w:eastAsia="方正兰亭纤黑简体" w:cs="仿宋"/>
          <w:kern w:val="2"/>
          <w:szCs w:val="24"/>
        </w:rPr>
        <w:t>繁荣发展文化事业和文化产业，健全现代公共文化服务体系，实施重大文化产业项目带动战略。充分</w:t>
      </w:r>
      <w:r>
        <w:rPr>
          <w:rFonts w:ascii="方正兰亭纤黑简体" w:hAnsi="仿宋" w:eastAsia="方正兰亭纤黑简体" w:cs="仿宋"/>
          <w:kern w:val="2"/>
          <w:szCs w:val="24"/>
        </w:rPr>
        <w:t>认识大足石刻文化</w:t>
      </w:r>
      <w:r>
        <w:rPr>
          <w:rFonts w:hint="eastAsia" w:ascii="方正兰亭纤黑简体" w:hAnsi="仿宋" w:eastAsia="方正兰亭纤黑简体" w:cs="仿宋"/>
          <w:kern w:val="2"/>
          <w:szCs w:val="24"/>
        </w:rPr>
        <w:t>价值</w:t>
      </w:r>
      <w:r>
        <w:rPr>
          <w:rFonts w:ascii="方正兰亭纤黑简体" w:hAnsi="仿宋" w:eastAsia="方正兰亭纤黑简体" w:cs="仿宋"/>
          <w:kern w:val="2"/>
          <w:szCs w:val="24"/>
        </w:rPr>
        <w:t>，</w:t>
      </w:r>
      <w:r>
        <w:rPr>
          <w:rFonts w:hint="eastAsia" w:ascii="方正兰亭纤黑简体" w:hAnsi="仿宋" w:eastAsia="方正兰亭纤黑简体" w:cs="仿宋"/>
          <w:kern w:val="2"/>
          <w:szCs w:val="24"/>
        </w:rPr>
        <w:t>石刻</w:t>
      </w:r>
      <w:r>
        <w:rPr>
          <w:rFonts w:ascii="方正兰亭纤黑简体" w:hAnsi="仿宋" w:eastAsia="方正兰亭纤黑简体" w:cs="仿宋"/>
          <w:kern w:val="2"/>
          <w:szCs w:val="24"/>
        </w:rPr>
        <w:t>文化与城市建设融合发展</w:t>
      </w:r>
      <w:r>
        <w:rPr>
          <w:rFonts w:hint="eastAsia" w:ascii="方正兰亭纤黑简体" w:hAnsi="仿宋" w:eastAsia="方正兰亭纤黑简体" w:cs="仿宋"/>
          <w:kern w:val="2"/>
          <w:szCs w:val="24"/>
        </w:rPr>
        <w:t>，</w:t>
      </w:r>
      <w:r>
        <w:rPr>
          <w:rFonts w:ascii="方正兰亭纤黑简体" w:hAnsi="仿宋" w:eastAsia="方正兰亭纤黑简体" w:cs="仿宋"/>
          <w:kern w:val="2"/>
          <w:szCs w:val="24"/>
        </w:rPr>
        <w:t>打造文化和城市融合共生的时代</w:t>
      </w:r>
      <w:r>
        <w:rPr>
          <w:rFonts w:hint="eastAsia" w:ascii="方正兰亭纤黑简体" w:hAnsi="仿宋" w:eastAsia="方正兰亭纤黑简体" w:cs="仿宋"/>
          <w:kern w:val="2"/>
          <w:szCs w:val="24"/>
        </w:rPr>
        <w:t>典范</w:t>
      </w:r>
      <w:r>
        <w:rPr>
          <w:rFonts w:ascii="方正兰亭纤黑简体" w:hAnsi="仿宋" w:eastAsia="方正兰亭纤黑简体" w:cs="仿宋"/>
          <w:kern w:val="2"/>
          <w:szCs w:val="24"/>
        </w:rPr>
        <w:t>。</w:t>
      </w:r>
    </w:p>
    <w:p>
      <w:pPr>
        <w:pStyle w:val="40"/>
        <w:ind w:firstLine="640"/>
        <w:rPr>
          <w:rFonts w:ascii="方正兰亭纤黑简体" w:hAnsi="仿宋" w:eastAsia="方正兰亭纤黑简体" w:cs="仿宋"/>
          <w:kern w:val="2"/>
          <w:szCs w:val="24"/>
        </w:rPr>
      </w:pPr>
      <w:r>
        <w:rPr>
          <w:rFonts w:hint="eastAsia" w:ascii="方正兰亭纤黑简体" w:hAnsi="仿宋" w:eastAsia="方正兰亭纤黑简体" w:cs="仿宋"/>
          <w:kern w:val="2"/>
          <w:szCs w:val="24"/>
        </w:rPr>
        <w:t>将文化场景融入城市建设，优化城市空间布局体系。将文化产业融入城市发展，构建特色产业发展体系。将文化社群融入城市生活，构建城市文化社区体系。将文化精神融入城市气质，构建特色城市风貌体系。</w:t>
      </w:r>
    </w:p>
    <w:p>
      <w:pPr>
        <w:pStyle w:val="40"/>
        <w:ind w:firstLine="643"/>
        <w:rPr>
          <w:rFonts w:ascii="方正兰亭纤黑简体" w:hAnsi="仿宋" w:eastAsia="方正兰亭纤黑简体" w:cs="仿宋"/>
          <w:kern w:val="2"/>
          <w:szCs w:val="24"/>
        </w:rPr>
      </w:pPr>
      <w:r>
        <w:rPr>
          <w:rFonts w:hint="eastAsia" w:ascii="方正兰亭纤黑简体" w:hAnsi="仿宋" w:eastAsia="方正兰亭纤黑简体" w:cs="仿宋"/>
          <w:b/>
          <w:kern w:val="2"/>
          <w:szCs w:val="24"/>
        </w:rPr>
        <w:t>——</w:t>
      </w:r>
      <w:r>
        <w:rPr>
          <w:rFonts w:ascii="方正兰亭纤黑简体" w:hAnsi="仿宋" w:eastAsia="方正兰亭纤黑简体" w:cs="仿宋"/>
          <w:b/>
          <w:kern w:val="2"/>
          <w:szCs w:val="24"/>
        </w:rPr>
        <w:t>增进民生福祉，提高人民生活品质。</w:t>
      </w:r>
      <w:r>
        <w:rPr>
          <w:rFonts w:hint="eastAsia" w:ascii="方正兰亭纤黑简体" w:hAnsi="仿宋" w:eastAsia="方正兰亭纤黑简体" w:cs="仿宋"/>
          <w:kern w:val="2"/>
          <w:szCs w:val="24"/>
        </w:rPr>
        <w:t>健全基本</w:t>
      </w:r>
      <w:r>
        <w:rPr>
          <w:rFonts w:ascii="方正兰亭纤黑简体" w:hAnsi="仿宋" w:eastAsia="方正兰亭纤黑简体" w:cs="仿宋"/>
          <w:kern w:val="2"/>
          <w:szCs w:val="24"/>
        </w:rPr>
        <w:t>公共服务体系</w:t>
      </w:r>
      <w:r>
        <w:rPr>
          <w:rFonts w:hint="eastAsia" w:ascii="方正兰亭纤黑简体" w:hAnsi="仿宋" w:eastAsia="方正兰亭纤黑简体" w:cs="仿宋"/>
          <w:kern w:val="2"/>
          <w:szCs w:val="24"/>
        </w:rPr>
        <w:t>，</w:t>
      </w:r>
      <w:r>
        <w:rPr>
          <w:rFonts w:ascii="方正兰亭纤黑简体" w:hAnsi="仿宋" w:eastAsia="方正兰亭纤黑简体" w:cs="仿宋"/>
          <w:kern w:val="2"/>
          <w:szCs w:val="24"/>
        </w:rPr>
        <w:t>提高公共服务水平</w:t>
      </w:r>
      <w:r>
        <w:rPr>
          <w:rFonts w:hint="eastAsia" w:ascii="方正兰亭纤黑简体" w:hAnsi="仿宋" w:eastAsia="方正兰亭纤黑简体" w:cs="仿宋"/>
          <w:kern w:val="2"/>
          <w:szCs w:val="24"/>
        </w:rPr>
        <w:t>。对母城</w:t>
      </w:r>
      <w:r>
        <w:rPr>
          <w:rFonts w:ascii="方正兰亭纤黑简体" w:hAnsi="仿宋" w:eastAsia="方正兰亭纤黑简体" w:cs="仿宋"/>
          <w:kern w:val="2"/>
          <w:szCs w:val="24"/>
        </w:rPr>
        <w:t>提升改造，优化更新</w:t>
      </w:r>
      <w:r>
        <w:rPr>
          <w:rFonts w:hint="eastAsia" w:ascii="方正兰亭纤黑简体" w:hAnsi="仿宋" w:eastAsia="方正兰亭纤黑简体" w:cs="仿宋"/>
          <w:kern w:val="2"/>
          <w:szCs w:val="24"/>
        </w:rPr>
        <w:t>老旧</w:t>
      </w:r>
      <w:r>
        <w:rPr>
          <w:rFonts w:ascii="方正兰亭纤黑简体" w:hAnsi="仿宋" w:eastAsia="方正兰亭纤黑简体" w:cs="仿宋"/>
          <w:kern w:val="2"/>
          <w:szCs w:val="24"/>
        </w:rPr>
        <w:t>小区，完善配套设施和娱乐休闲功能，</w:t>
      </w:r>
      <w:r>
        <w:rPr>
          <w:rFonts w:hint="eastAsia" w:ascii="方正兰亭纤黑简体" w:hAnsi="仿宋" w:eastAsia="方正兰亭纤黑简体" w:cs="仿宋"/>
          <w:kern w:val="2"/>
          <w:szCs w:val="24"/>
        </w:rPr>
        <w:t>塑造</w:t>
      </w:r>
      <w:r>
        <w:rPr>
          <w:rFonts w:ascii="方正兰亭纤黑简体" w:hAnsi="仿宋" w:eastAsia="方正兰亭纤黑简体" w:cs="仿宋"/>
          <w:kern w:val="2"/>
          <w:szCs w:val="24"/>
        </w:rPr>
        <w:t>宜居环境；</w:t>
      </w:r>
      <w:r>
        <w:rPr>
          <w:rFonts w:hint="eastAsia" w:ascii="方正兰亭纤黑简体" w:hAnsi="仿宋" w:eastAsia="方正兰亭纤黑简体" w:cs="仿宋"/>
          <w:kern w:val="2"/>
          <w:szCs w:val="24"/>
        </w:rPr>
        <w:t>健全</w:t>
      </w:r>
      <w:r>
        <w:rPr>
          <w:rFonts w:ascii="方正兰亭纤黑简体" w:hAnsi="仿宋" w:eastAsia="方正兰亭纤黑简体" w:cs="仿宋"/>
          <w:kern w:val="2"/>
          <w:szCs w:val="24"/>
        </w:rPr>
        <w:t>公共卫生体系</w:t>
      </w:r>
      <w:r>
        <w:rPr>
          <w:rFonts w:hint="eastAsia" w:ascii="方正兰亭纤黑简体" w:hAnsi="仿宋" w:eastAsia="方正兰亭纤黑简体" w:cs="仿宋"/>
          <w:kern w:val="2"/>
          <w:szCs w:val="24"/>
        </w:rPr>
        <w:t>，新增重点</w:t>
      </w:r>
      <w:r>
        <w:rPr>
          <w:rFonts w:ascii="方正兰亭纤黑简体" w:hAnsi="仿宋" w:eastAsia="方正兰亭纤黑简体" w:cs="仿宋"/>
          <w:kern w:val="2"/>
          <w:szCs w:val="24"/>
        </w:rPr>
        <w:t>医院、</w:t>
      </w:r>
      <w:r>
        <w:rPr>
          <w:rFonts w:hint="eastAsia" w:ascii="方正兰亭纤黑简体" w:hAnsi="仿宋" w:eastAsia="方正兰亭纤黑简体" w:cs="仿宋"/>
          <w:kern w:val="2"/>
          <w:szCs w:val="24"/>
        </w:rPr>
        <w:t>救治中心</w:t>
      </w:r>
      <w:r>
        <w:rPr>
          <w:rFonts w:ascii="方正兰亭纤黑简体" w:hAnsi="仿宋" w:eastAsia="方正兰亭纤黑简体" w:cs="仿宋"/>
          <w:kern w:val="2"/>
          <w:szCs w:val="24"/>
        </w:rPr>
        <w:t>等，</w:t>
      </w:r>
      <w:r>
        <w:rPr>
          <w:rFonts w:hint="eastAsia" w:ascii="方正兰亭纤黑简体" w:hAnsi="仿宋" w:eastAsia="方正兰亭纤黑简体" w:cs="仿宋"/>
          <w:kern w:val="2"/>
          <w:szCs w:val="24"/>
        </w:rPr>
        <w:t>提高</w:t>
      </w:r>
      <w:r>
        <w:rPr>
          <w:rFonts w:ascii="方正兰亭纤黑简体" w:hAnsi="仿宋" w:eastAsia="方正兰亭纤黑简体" w:cs="仿宋"/>
          <w:kern w:val="2"/>
          <w:szCs w:val="24"/>
        </w:rPr>
        <w:t>人民医疗保障质量；</w:t>
      </w:r>
      <w:r>
        <w:rPr>
          <w:rFonts w:hint="eastAsia" w:ascii="方正兰亭纤黑简体" w:hAnsi="仿宋" w:eastAsia="方正兰亭纤黑简体" w:cs="仿宋"/>
          <w:kern w:val="2"/>
          <w:szCs w:val="24"/>
        </w:rPr>
        <w:t>提升</w:t>
      </w:r>
      <w:r>
        <w:rPr>
          <w:rFonts w:ascii="方正兰亭纤黑简体" w:hAnsi="仿宋" w:eastAsia="方正兰亭纤黑简体" w:cs="仿宋"/>
          <w:kern w:val="2"/>
          <w:szCs w:val="24"/>
        </w:rPr>
        <w:t>养老服务水平，织密保障网</w:t>
      </w:r>
      <w:r>
        <w:rPr>
          <w:rFonts w:hint="eastAsia" w:ascii="方正兰亭纤黑简体" w:hAnsi="仿宋" w:eastAsia="方正兰亭纤黑简体" w:cs="仿宋"/>
          <w:kern w:val="2"/>
          <w:szCs w:val="24"/>
        </w:rPr>
        <w:t>。</w:t>
      </w:r>
    </w:p>
    <w:p>
      <w:pPr>
        <w:pStyle w:val="40"/>
        <w:ind w:firstLine="640"/>
        <w:rPr>
          <w:rFonts w:ascii="方正兰亭纤黑简体" w:hAnsi="仿宋" w:eastAsia="方正兰亭纤黑简体" w:cs="仿宋"/>
          <w:kern w:val="2"/>
          <w:szCs w:val="24"/>
        </w:rPr>
      </w:pPr>
      <w:r>
        <w:rPr>
          <w:rFonts w:hint="eastAsia" w:ascii="方正兰亭纤黑简体" w:hAnsi="仿宋" w:eastAsia="方正兰亭纤黑简体" w:cs="仿宋"/>
          <w:kern w:val="2"/>
          <w:szCs w:val="24"/>
        </w:rPr>
        <w:t>——</w:t>
      </w:r>
      <w:r>
        <w:rPr>
          <w:rFonts w:ascii="方正兰亭纤黑简体" w:hAnsi="仿宋" w:eastAsia="方正兰亭纤黑简体" w:cs="仿宋"/>
          <w:b/>
          <w:kern w:val="2"/>
          <w:szCs w:val="24"/>
        </w:rPr>
        <w:t>推动绿色发展，促进</w:t>
      </w:r>
      <w:r>
        <w:rPr>
          <w:rFonts w:hint="eastAsia" w:ascii="方正兰亭纤黑简体" w:hAnsi="仿宋" w:eastAsia="方正兰亭纤黑简体" w:cs="仿宋"/>
          <w:b/>
          <w:kern w:val="2"/>
          <w:szCs w:val="24"/>
        </w:rPr>
        <w:t>人</w:t>
      </w:r>
      <w:r>
        <w:rPr>
          <w:rFonts w:ascii="方正兰亭纤黑简体" w:hAnsi="仿宋" w:eastAsia="方正兰亭纤黑简体" w:cs="仿宋"/>
          <w:b/>
          <w:kern w:val="2"/>
          <w:szCs w:val="24"/>
        </w:rPr>
        <w:t>与自然和谐共生。</w:t>
      </w:r>
      <w:r>
        <w:rPr>
          <w:rFonts w:hint="eastAsia" w:ascii="方正兰亭纤黑简体" w:hAnsi="仿宋" w:eastAsia="方正兰亭纤黑简体" w:cs="仿宋"/>
          <w:kern w:val="2"/>
          <w:szCs w:val="24"/>
        </w:rPr>
        <w:t>深度推进</w:t>
      </w:r>
      <w:r>
        <w:rPr>
          <w:rFonts w:ascii="方正兰亭纤黑简体" w:hAnsi="仿宋" w:eastAsia="方正兰亭纤黑简体" w:cs="仿宋"/>
          <w:kern w:val="2"/>
          <w:szCs w:val="24"/>
        </w:rPr>
        <w:t>环境污染防治，提升环境基础设施建设水平，推进城乡人居环境整治。</w:t>
      </w:r>
      <w:r>
        <w:rPr>
          <w:rFonts w:hint="eastAsia" w:ascii="方正兰亭纤黑简体" w:hAnsi="仿宋" w:eastAsia="方正兰亭纤黑简体" w:cs="仿宋"/>
          <w:kern w:val="2"/>
          <w:szCs w:val="24"/>
        </w:rPr>
        <w:t>建设特色慢行</w:t>
      </w:r>
      <w:r>
        <w:rPr>
          <w:rFonts w:ascii="方正兰亭纤黑简体" w:hAnsi="仿宋" w:eastAsia="方正兰亭纤黑简体" w:cs="仿宋"/>
          <w:kern w:val="2"/>
          <w:szCs w:val="24"/>
        </w:rPr>
        <w:t>绿道系统、城市公园，打造特色风貌园林绿化。</w:t>
      </w:r>
      <w:r>
        <w:rPr>
          <w:rFonts w:hint="eastAsia" w:ascii="方正兰亭纤黑简体" w:hAnsi="仿宋" w:eastAsia="方正兰亭纤黑简体" w:cs="仿宋"/>
          <w:kern w:val="2"/>
          <w:szCs w:val="24"/>
        </w:rPr>
        <w:t>推进雨污水处置</w:t>
      </w:r>
      <w:r>
        <w:rPr>
          <w:rFonts w:ascii="方正兰亭纤黑简体" w:hAnsi="仿宋" w:eastAsia="方正兰亭纤黑简体" w:cs="仿宋"/>
          <w:kern w:val="2"/>
          <w:szCs w:val="24"/>
        </w:rPr>
        <w:t>体系，打造自然循环的海绵城市，</w:t>
      </w:r>
      <w:r>
        <w:rPr>
          <w:rFonts w:hint="eastAsia" w:ascii="方正兰亭纤黑简体" w:hAnsi="仿宋" w:eastAsia="方正兰亭纤黑简体" w:cs="仿宋"/>
          <w:kern w:val="2"/>
          <w:szCs w:val="24"/>
        </w:rPr>
        <w:t>推进</w:t>
      </w:r>
      <w:r>
        <w:rPr>
          <w:rFonts w:ascii="方正兰亭纤黑简体" w:hAnsi="仿宋" w:eastAsia="方正兰亭纤黑简体" w:cs="仿宋"/>
          <w:kern w:val="2"/>
          <w:szCs w:val="24"/>
        </w:rPr>
        <w:t>绿色生态发展。</w:t>
      </w:r>
    </w:p>
    <w:p>
      <w:pPr>
        <w:pStyle w:val="40"/>
        <w:ind w:firstLine="643"/>
        <w:rPr>
          <w:rFonts w:ascii="方正兰亭纤黑简体" w:hAnsi="仿宋" w:eastAsia="方正兰亭纤黑简体" w:cs="仿宋"/>
          <w:kern w:val="2"/>
          <w:szCs w:val="24"/>
        </w:rPr>
      </w:pPr>
      <w:r>
        <w:rPr>
          <w:rFonts w:hint="eastAsia" w:ascii="方正兰亭纤黑简体" w:hAnsi="仿宋" w:eastAsia="方正兰亭纤黑简体" w:cs="仿宋"/>
          <w:b/>
          <w:kern w:val="2"/>
          <w:szCs w:val="24"/>
        </w:rPr>
        <w:t>——</w:t>
      </w:r>
      <w:r>
        <w:rPr>
          <w:rFonts w:ascii="方正兰亭纤黑简体" w:hAnsi="仿宋" w:eastAsia="方正兰亭纤黑简体" w:cs="仿宋"/>
          <w:b/>
          <w:kern w:val="2"/>
          <w:szCs w:val="24"/>
        </w:rPr>
        <w:t>推进国家安全体系和能力现代</w:t>
      </w:r>
      <w:r>
        <w:rPr>
          <w:rFonts w:hint="eastAsia" w:ascii="方正兰亭纤黑简体" w:hAnsi="仿宋" w:eastAsia="方正兰亭纤黑简体" w:cs="仿宋"/>
          <w:b/>
          <w:kern w:val="2"/>
          <w:szCs w:val="24"/>
        </w:rPr>
        <w:t>化</w:t>
      </w:r>
      <w:r>
        <w:rPr>
          <w:rFonts w:ascii="方正兰亭纤黑简体" w:hAnsi="仿宋" w:eastAsia="方正兰亭纤黑简体" w:cs="仿宋"/>
          <w:b/>
          <w:kern w:val="2"/>
          <w:szCs w:val="24"/>
        </w:rPr>
        <w:t>，坚决维护国家安全和社会稳定。</w:t>
      </w:r>
      <w:r>
        <w:rPr>
          <w:rFonts w:hint="eastAsia" w:ascii="方正兰亭纤黑简体" w:hAnsi="仿宋" w:eastAsia="方正兰亭纤黑简体" w:cs="仿宋"/>
          <w:kern w:val="2"/>
          <w:szCs w:val="24"/>
        </w:rPr>
        <w:t>完善公共</w:t>
      </w:r>
      <w:r>
        <w:rPr>
          <w:rFonts w:ascii="方正兰亭纤黑简体" w:hAnsi="仿宋" w:eastAsia="方正兰亭纤黑简体" w:cs="仿宋"/>
          <w:kern w:val="2"/>
          <w:szCs w:val="24"/>
        </w:rPr>
        <w:t>安全体系，提高防灾减灾救灾和</w:t>
      </w:r>
      <w:r>
        <w:rPr>
          <w:rFonts w:hint="eastAsia" w:ascii="方正兰亭纤黑简体" w:hAnsi="仿宋" w:eastAsia="方正兰亭纤黑简体" w:cs="仿宋"/>
          <w:kern w:val="2"/>
          <w:szCs w:val="24"/>
        </w:rPr>
        <w:t>急难险重突发公共事件处置保障能力。</w:t>
      </w:r>
      <w:r>
        <w:rPr>
          <w:rFonts w:ascii="方正兰亭纤黑简体" w:hAnsi="仿宋" w:eastAsia="方正兰亭纤黑简体" w:cs="仿宋"/>
          <w:kern w:val="2"/>
          <w:szCs w:val="24"/>
        </w:rPr>
        <w:t>构建</w:t>
      </w:r>
      <w:r>
        <w:rPr>
          <w:rFonts w:hint="eastAsia" w:ascii="方正兰亭纤黑简体" w:hAnsi="仿宋" w:eastAsia="方正兰亭纤黑简体" w:cs="仿宋"/>
          <w:kern w:val="2"/>
          <w:szCs w:val="24"/>
        </w:rPr>
        <w:t>安全</w:t>
      </w:r>
      <w:r>
        <w:rPr>
          <w:rFonts w:ascii="方正兰亭纤黑简体" w:hAnsi="仿宋" w:eastAsia="方正兰亭纤黑简体" w:cs="仿宋"/>
          <w:kern w:val="2"/>
          <w:szCs w:val="24"/>
        </w:rPr>
        <w:t>可靠的防洪排涝体系、现代化综合消防救援体系、现代</w:t>
      </w:r>
      <w:r>
        <w:rPr>
          <w:rFonts w:hint="eastAsia" w:ascii="方正兰亭纤黑简体" w:hAnsi="仿宋" w:eastAsia="方正兰亭纤黑简体" w:cs="仿宋"/>
          <w:kern w:val="2"/>
          <w:szCs w:val="24"/>
        </w:rPr>
        <w:t>化</w:t>
      </w:r>
      <w:r>
        <w:rPr>
          <w:rFonts w:ascii="方正兰亭纤黑简体" w:hAnsi="仿宋" w:eastAsia="方正兰亭纤黑简体" w:cs="仿宋"/>
          <w:kern w:val="2"/>
          <w:szCs w:val="24"/>
        </w:rPr>
        <w:t>人民防空体系。</w:t>
      </w:r>
    </w:p>
    <w:p>
      <w:pPr>
        <w:pStyle w:val="2"/>
        <w:ind w:firstLine="560"/>
        <w:rPr>
          <w:rFonts w:ascii="方正兰亭纤黑简体" w:hAnsi="仿宋" w:eastAsia="方正兰亭纤黑简体" w:cs="仿宋"/>
          <w:sz w:val="28"/>
        </w:rPr>
      </w:pPr>
    </w:p>
    <w:p>
      <w:pPr>
        <w:pStyle w:val="5"/>
        <w:ind w:left="0"/>
        <w:rPr>
          <w:rFonts w:ascii="方正兰亭纤黑简体" w:hAnsi="仿宋" w:eastAsia="方正兰亭纤黑简体" w:cs="仿宋"/>
          <w:b/>
          <w:bCs w:val="0"/>
        </w:rPr>
      </w:pPr>
      <w:bookmarkStart w:id="70" w:name="_Toc109981077"/>
      <w:bookmarkStart w:id="71" w:name="_Toc17890"/>
      <w:bookmarkStart w:id="72" w:name="_Toc9333"/>
      <w:bookmarkStart w:id="73" w:name="_Toc30949"/>
      <w:bookmarkStart w:id="74" w:name="_Toc7544"/>
      <w:r>
        <w:rPr>
          <w:rFonts w:hint="eastAsia" w:ascii="方正兰亭纤黑简体" w:hAnsi="仿宋" w:eastAsia="方正兰亭纤黑简体" w:cs="仿宋"/>
          <w:b/>
          <w:bCs w:val="0"/>
        </w:rPr>
        <w:t>发展目标</w:t>
      </w:r>
      <w:bookmarkEnd w:id="52"/>
      <w:bookmarkEnd w:id="53"/>
      <w:bookmarkEnd w:id="70"/>
      <w:bookmarkEnd w:id="71"/>
      <w:bookmarkEnd w:id="72"/>
      <w:bookmarkEnd w:id="73"/>
      <w:bookmarkEnd w:id="74"/>
    </w:p>
    <w:p>
      <w:pPr>
        <w:adjustRightInd w:val="0"/>
        <w:snapToGrid w:val="0"/>
        <w:ind w:firstLine="560"/>
        <w:rPr>
          <w:rFonts w:ascii="方正兰亭纤黑简体" w:hAnsi="仿宋" w:eastAsia="方正兰亭纤黑简体" w:cs="仿宋"/>
          <w:sz w:val="28"/>
        </w:rPr>
      </w:pPr>
      <w:r>
        <w:rPr>
          <w:rFonts w:hint="eastAsia" w:ascii="方正兰亭纤黑简体" w:hAnsi="仿宋" w:eastAsia="方正兰亭纤黑简体" w:cs="仿宋"/>
          <w:sz w:val="28"/>
        </w:rPr>
        <w:t>到2025年，始终牢记“一定要把大足石刻保护好”，立足区位、文化资源和生态环境优势，不断壮大城市发展能级，实现高度开放协同、高质量发展、高品质生活，发展成为“大足石刻文化公园城市”、强化“成渝双城经济圈桥头堡城市”战略地位，将大足石刻文化城打造为享誉世界的文化会客厅、链接巴蜀的文旅新标杆。</w:t>
      </w:r>
    </w:p>
    <w:p>
      <w:pPr>
        <w:adjustRightInd w:val="0"/>
        <w:snapToGrid w:val="0"/>
        <w:ind w:firstLine="562"/>
        <w:rPr>
          <w:rFonts w:ascii="方正兰亭纤黑简体" w:hAnsi="仿宋" w:eastAsia="方正兰亭纤黑简体" w:cs="仿宋"/>
          <w:sz w:val="28"/>
        </w:rPr>
      </w:pPr>
      <w:r>
        <w:rPr>
          <w:rFonts w:hint="eastAsia" w:ascii="方正兰亭纤黑简体" w:hAnsi="仿宋" w:eastAsia="方正兰亭纤黑简体" w:cs="仿宋"/>
          <w:b/>
          <w:bCs/>
          <w:sz w:val="28"/>
        </w:rPr>
        <w:t>——城市交通协同运行水平大幅提升。</w:t>
      </w:r>
      <w:r>
        <w:rPr>
          <w:rFonts w:hint="eastAsia" w:ascii="方正兰亭纤黑简体" w:hAnsi="仿宋" w:eastAsia="方正兰亭纤黑简体" w:cs="仿宋"/>
          <w:sz w:val="28"/>
        </w:rPr>
        <w:t>至2025年，立足成渝地区双城经济圈建设，围绕主城都市区“桥头堡”定位，加快建设成渝中轴综合交通枢纽和主城都市区西部重要综合交通枢纽。以轨道交通引领城市发展格局，构建“1高铁+1城际+2市域+1普铁”的铁路网络，设置大足石刻综合枢纽，抓紧推进成渝中线高铁建设，开工市域（郊）铁路璧山至大足（C3线），力争开工市域（郊）铁路合大线（C8线）、研究储备大足区南北向低运量轨道交通等线路。构建路网完善、级配合理的城市道路系统，拟规划建设“一环三射”快速通道体系、城市中心区“六横四纵”骨架路网、北厅-文旅服务区</w:t>
      </w:r>
      <w:r>
        <w:rPr>
          <w:rFonts w:ascii="方正兰亭纤黑简体" w:hAnsi="仿宋" w:eastAsia="方正兰亭纤黑简体" w:cs="仿宋"/>
          <w:sz w:val="28"/>
        </w:rPr>
        <w:t>“</w:t>
      </w:r>
      <w:r>
        <w:rPr>
          <w:rFonts w:hint="eastAsia" w:ascii="方正兰亭纤黑简体" w:hAnsi="仿宋" w:eastAsia="方正兰亭纤黑简体" w:cs="仿宋"/>
          <w:sz w:val="28"/>
        </w:rPr>
        <w:t>六</w:t>
      </w:r>
      <w:r>
        <w:rPr>
          <w:rFonts w:ascii="方正兰亭纤黑简体" w:hAnsi="仿宋" w:eastAsia="方正兰亭纤黑简体" w:cs="仿宋"/>
          <w:sz w:val="28"/>
        </w:rPr>
        <w:t>横两</w:t>
      </w:r>
      <w:r>
        <w:rPr>
          <w:rFonts w:hint="eastAsia" w:ascii="方正兰亭纤黑简体" w:hAnsi="仿宋" w:eastAsia="方正兰亭纤黑简体" w:cs="仿宋"/>
          <w:sz w:val="28"/>
        </w:rPr>
        <w:t>纵</w:t>
      </w:r>
      <w:r>
        <w:rPr>
          <w:rFonts w:ascii="方正兰亭纤黑简体" w:hAnsi="仿宋" w:eastAsia="方正兰亭纤黑简体" w:cs="仿宋"/>
          <w:sz w:val="28"/>
        </w:rPr>
        <w:t>”</w:t>
      </w:r>
      <w:r>
        <w:rPr>
          <w:rFonts w:hint="eastAsia" w:ascii="方正兰亭纤黑简体" w:hAnsi="仿宋" w:eastAsia="方正兰亭纤黑简体" w:cs="仿宋"/>
          <w:sz w:val="28"/>
        </w:rPr>
        <w:t>骨架路网</w:t>
      </w:r>
      <w:r>
        <w:rPr>
          <w:rFonts w:ascii="方正兰亭纤黑简体" w:hAnsi="仿宋" w:eastAsia="方正兰亭纤黑简体" w:cs="仿宋"/>
          <w:sz w:val="28"/>
        </w:rPr>
        <w:t>、</w:t>
      </w:r>
      <w:r>
        <w:rPr>
          <w:rFonts w:hint="eastAsia" w:ascii="方正兰亭纤黑简体" w:hAnsi="仿宋" w:eastAsia="方正兰亭纤黑简体" w:cs="仿宋"/>
          <w:sz w:val="28"/>
        </w:rPr>
        <w:t>龙水片区“三横五纵”骨架路网、万古片区“四横三纵”骨架路网、三驱片区“三横六纵”骨架路网</w:t>
      </w:r>
      <w:r>
        <w:rPr>
          <w:rFonts w:hint="eastAsia" w:ascii="方正仿宋_GBK" w:hAnsi="Calibri"/>
          <w:szCs w:val="32"/>
        </w:rPr>
        <w:t>，</w:t>
      </w:r>
      <w:r>
        <w:rPr>
          <w:rFonts w:hint="eastAsia" w:ascii="方正兰亭纤黑简体" w:hAnsi="仿宋" w:eastAsia="方正兰亭纤黑简体" w:cs="仿宋"/>
          <w:sz w:val="28"/>
        </w:rPr>
        <w:t>通车总里程达到约</w:t>
      </w:r>
      <w:r>
        <w:rPr>
          <w:rFonts w:ascii="方正兰亭纤黑简体" w:hAnsi="仿宋" w:eastAsia="方正兰亭纤黑简体" w:cs="仿宋"/>
          <w:color w:val="FF0000"/>
          <w:sz w:val="28"/>
        </w:rPr>
        <w:t>263.64</w:t>
      </w:r>
      <w:r>
        <w:rPr>
          <w:rFonts w:hint="eastAsia" w:ascii="方正兰亭纤黑简体" w:hAnsi="仿宋" w:eastAsia="方正兰亭纤黑简体" w:cs="仿宋"/>
          <w:color w:val="FF0000"/>
          <w:sz w:val="28"/>
        </w:rPr>
        <w:t>公里</w:t>
      </w:r>
      <w:r>
        <w:rPr>
          <w:rFonts w:hint="eastAsia" w:ascii="方正兰亭纤黑简体" w:hAnsi="仿宋" w:eastAsia="方正兰亭纤黑简体" w:cs="仿宋"/>
          <w:sz w:val="28"/>
        </w:rPr>
        <w:t>，实施更新改造项目7个，研究储备更新改造项目1</w:t>
      </w:r>
      <w:r>
        <w:rPr>
          <w:rFonts w:ascii="方正兰亭纤黑简体" w:hAnsi="仿宋" w:eastAsia="方正兰亭纤黑简体" w:cs="仿宋"/>
          <w:sz w:val="28"/>
        </w:rPr>
        <w:t>0</w:t>
      </w:r>
      <w:r>
        <w:rPr>
          <w:rFonts w:hint="eastAsia" w:ascii="方正兰亭纤黑简体" w:hAnsi="仿宋" w:eastAsia="方正兰亭纤黑简体" w:cs="仿宋"/>
          <w:sz w:val="28"/>
        </w:rPr>
        <w:t>个，提升路网运行效率。</w:t>
      </w:r>
    </w:p>
    <w:p>
      <w:pPr>
        <w:adjustRightInd w:val="0"/>
        <w:snapToGrid w:val="0"/>
        <w:ind w:firstLine="0" w:firstLineChars="0"/>
        <w:jc w:val="center"/>
      </w:pPr>
      <w:r>
        <w:drawing>
          <wp:inline distT="0" distB="0" distL="114300" distR="114300">
            <wp:extent cx="4319905" cy="3745865"/>
            <wp:effectExtent l="0" t="0" r="4445" b="6985"/>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16"/>
                    <a:stretch>
                      <a:fillRect/>
                    </a:stretch>
                  </pic:blipFill>
                  <pic:spPr>
                    <a:xfrm>
                      <a:off x="0" y="0"/>
                      <a:ext cx="4319905" cy="3745865"/>
                    </a:xfrm>
                    <a:prstGeom prst="rect">
                      <a:avLst/>
                    </a:prstGeom>
                    <a:noFill/>
                    <a:ln>
                      <a:noFill/>
                    </a:ln>
                  </pic:spPr>
                </pic:pic>
              </a:graphicData>
            </a:graphic>
          </wp:inline>
        </w:drawing>
      </w:r>
    </w:p>
    <w:p>
      <w:pPr>
        <w:pStyle w:val="2"/>
        <w:ind w:firstLine="0" w:firstLineChars="0"/>
        <w:jc w:val="center"/>
        <w:rPr>
          <w:rFonts w:ascii="方正兰亭纤黑简体" w:hAnsi="仿宋" w:eastAsia="方正兰亭纤黑简体" w:cs="仿宋"/>
          <w:sz w:val="21"/>
        </w:rPr>
      </w:pPr>
      <w:r>
        <w:rPr>
          <w:rFonts w:hint="eastAsia" w:ascii="方正兰亭纤黑简体" w:hAnsi="仿宋" w:eastAsia="方正兰亭纤黑简体" w:cs="仿宋"/>
          <w:sz w:val="21"/>
        </w:rPr>
        <w:t>“一环</w:t>
      </w:r>
      <w:r>
        <w:rPr>
          <w:rFonts w:ascii="方正兰亭纤黑简体" w:hAnsi="仿宋" w:eastAsia="方正兰亭纤黑简体" w:cs="仿宋"/>
          <w:sz w:val="21"/>
        </w:rPr>
        <w:t>三射</w:t>
      </w:r>
      <w:r>
        <w:rPr>
          <w:rFonts w:hint="eastAsia" w:ascii="方正兰亭纤黑简体" w:hAnsi="仿宋" w:eastAsia="方正兰亭纤黑简体" w:cs="仿宋"/>
          <w:sz w:val="21"/>
        </w:rPr>
        <w:t>”快速</w:t>
      </w:r>
      <w:r>
        <w:rPr>
          <w:rFonts w:ascii="方正兰亭纤黑简体" w:hAnsi="仿宋" w:eastAsia="方正兰亭纤黑简体" w:cs="仿宋"/>
          <w:sz w:val="21"/>
        </w:rPr>
        <w:t>路网体系</w:t>
      </w:r>
    </w:p>
    <w:p>
      <w:pPr>
        <w:pStyle w:val="2"/>
        <w:ind w:firstLine="0" w:firstLineChars="0"/>
        <w:jc w:val="center"/>
      </w:pPr>
      <w:r>
        <w:drawing>
          <wp:inline distT="0" distB="0" distL="0" distR="0">
            <wp:extent cx="4424045" cy="3768725"/>
            <wp:effectExtent l="0" t="0" r="0" b="3175"/>
            <wp:docPr id="4" name="图片 4" descr="F:\2022\12.大足十四五规划\大足十四五20221122\十四五规划编制11.30\龙岗棠香路网.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F:\2022\12.大足十四五规划\大足十四五20221122\十四五规划编制11.30\龙岗棠香路网.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4459440" cy="3798836"/>
                    </a:xfrm>
                    <a:prstGeom prst="rect">
                      <a:avLst/>
                    </a:prstGeom>
                    <a:noFill/>
                    <a:ln>
                      <a:noFill/>
                    </a:ln>
                  </pic:spPr>
                </pic:pic>
              </a:graphicData>
            </a:graphic>
          </wp:inline>
        </w:drawing>
      </w:r>
    </w:p>
    <w:p>
      <w:pPr>
        <w:pStyle w:val="2"/>
        <w:ind w:firstLine="0" w:firstLineChars="0"/>
        <w:jc w:val="center"/>
        <w:rPr>
          <w:rFonts w:ascii="方正兰亭纤黑简体" w:hAnsi="仿宋" w:eastAsia="方正兰亭纤黑简体" w:cs="仿宋"/>
          <w:sz w:val="21"/>
        </w:rPr>
      </w:pPr>
      <w:r>
        <w:rPr>
          <w:rFonts w:hint="eastAsia" w:ascii="方正兰亭纤黑简体" w:hAnsi="仿宋" w:eastAsia="方正兰亭纤黑简体" w:cs="仿宋"/>
          <w:sz w:val="21"/>
        </w:rPr>
        <w:t>城市中心区</w:t>
      </w:r>
      <w:r>
        <w:rPr>
          <w:rFonts w:ascii="方正兰亭纤黑简体" w:hAnsi="仿宋" w:eastAsia="方正兰亭纤黑简体" w:cs="仿宋"/>
          <w:sz w:val="21"/>
        </w:rPr>
        <w:t xml:space="preserve"> “</w:t>
      </w:r>
      <w:r>
        <w:rPr>
          <w:rFonts w:hint="eastAsia" w:ascii="方正兰亭纤黑简体" w:hAnsi="仿宋" w:eastAsia="方正兰亭纤黑简体" w:cs="仿宋"/>
          <w:sz w:val="21"/>
        </w:rPr>
        <w:t>六横</w:t>
      </w:r>
      <w:r>
        <w:rPr>
          <w:rFonts w:ascii="方正兰亭纤黑简体" w:hAnsi="仿宋" w:eastAsia="方正兰亭纤黑简体" w:cs="仿宋"/>
          <w:sz w:val="21"/>
        </w:rPr>
        <w:t>四</w:t>
      </w:r>
      <w:r>
        <w:rPr>
          <w:rFonts w:hint="eastAsia" w:ascii="方正兰亭纤黑简体" w:hAnsi="仿宋" w:eastAsia="方正兰亭纤黑简体" w:cs="仿宋"/>
          <w:sz w:val="21"/>
        </w:rPr>
        <w:t>纵</w:t>
      </w:r>
      <w:r>
        <w:rPr>
          <w:rFonts w:ascii="方正兰亭纤黑简体" w:hAnsi="仿宋" w:eastAsia="方正兰亭纤黑简体" w:cs="仿宋"/>
          <w:sz w:val="21"/>
        </w:rPr>
        <w:t>”</w:t>
      </w:r>
      <w:r>
        <w:rPr>
          <w:rFonts w:hint="eastAsia" w:ascii="方正兰亭纤黑简体" w:hAnsi="仿宋" w:eastAsia="方正兰亭纤黑简体" w:cs="仿宋"/>
          <w:sz w:val="21"/>
        </w:rPr>
        <w:t>骨架路</w:t>
      </w:r>
      <w:r>
        <w:rPr>
          <w:rFonts w:ascii="方正兰亭纤黑简体" w:hAnsi="仿宋" w:eastAsia="方正兰亭纤黑简体" w:cs="仿宋"/>
          <w:sz w:val="21"/>
        </w:rPr>
        <w:t>网</w:t>
      </w:r>
    </w:p>
    <w:p>
      <w:pPr>
        <w:pStyle w:val="2"/>
        <w:ind w:firstLine="0" w:firstLineChars="0"/>
        <w:jc w:val="center"/>
        <w:rPr>
          <w:rFonts w:ascii="方正兰亭纤黑简体" w:hAnsi="仿宋" w:eastAsia="方正兰亭纤黑简体" w:cs="仿宋"/>
          <w:sz w:val="21"/>
        </w:rPr>
      </w:pPr>
      <w:r>
        <w:rPr>
          <w:rFonts w:hint="eastAsia" w:ascii="方正兰亭纤黑简体" w:hAnsi="仿宋" w:eastAsia="方正兰亭纤黑简体" w:cs="仿宋"/>
          <w:sz w:val="21"/>
        </w:rPr>
        <w:drawing>
          <wp:inline distT="0" distB="0" distL="114300" distR="114300">
            <wp:extent cx="2940685" cy="4068445"/>
            <wp:effectExtent l="0" t="0" r="12065" b="8255"/>
            <wp:docPr id="6" name="图片 6" descr="f1bff2490278fb4f86b83f9bb7d62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f1bff2490278fb4f86b83f9bb7d62b6"/>
                    <pic:cNvPicPr>
                      <a:picLocks noChangeAspect="1"/>
                    </pic:cNvPicPr>
                  </pic:nvPicPr>
                  <pic:blipFill>
                    <a:blip r:embed="rId18"/>
                    <a:stretch>
                      <a:fillRect/>
                    </a:stretch>
                  </pic:blipFill>
                  <pic:spPr>
                    <a:xfrm>
                      <a:off x="0" y="0"/>
                      <a:ext cx="2940685" cy="4068445"/>
                    </a:xfrm>
                    <a:prstGeom prst="rect">
                      <a:avLst/>
                    </a:prstGeom>
                  </pic:spPr>
                </pic:pic>
              </a:graphicData>
            </a:graphic>
          </wp:inline>
        </w:drawing>
      </w:r>
    </w:p>
    <w:p>
      <w:pPr>
        <w:pStyle w:val="2"/>
        <w:ind w:firstLine="0" w:firstLineChars="0"/>
        <w:jc w:val="center"/>
        <w:rPr>
          <w:rFonts w:ascii="方正兰亭纤黑简体" w:hAnsi="仿宋" w:eastAsia="方正兰亭纤黑简体" w:cs="仿宋"/>
          <w:sz w:val="21"/>
        </w:rPr>
      </w:pPr>
      <w:r>
        <w:rPr>
          <w:rFonts w:hint="eastAsia" w:ascii="方正兰亭纤黑简体" w:hAnsi="仿宋" w:eastAsia="方正兰亭纤黑简体" w:cs="仿宋"/>
          <w:sz w:val="21"/>
        </w:rPr>
        <w:t>北厅-文旅服务区</w:t>
      </w:r>
      <w:r>
        <w:rPr>
          <w:rFonts w:ascii="方正兰亭纤黑简体" w:hAnsi="仿宋" w:eastAsia="方正兰亭纤黑简体" w:cs="仿宋"/>
          <w:sz w:val="21"/>
        </w:rPr>
        <w:t xml:space="preserve"> “</w:t>
      </w:r>
      <w:r>
        <w:rPr>
          <w:rFonts w:hint="eastAsia" w:ascii="方正兰亭纤黑简体" w:hAnsi="仿宋" w:eastAsia="方正兰亭纤黑简体" w:cs="仿宋"/>
          <w:sz w:val="21"/>
        </w:rPr>
        <w:t>四横两纵</w:t>
      </w:r>
      <w:r>
        <w:rPr>
          <w:rFonts w:ascii="方正兰亭纤黑简体" w:hAnsi="仿宋" w:eastAsia="方正兰亭纤黑简体" w:cs="仿宋"/>
          <w:sz w:val="21"/>
        </w:rPr>
        <w:t>”</w:t>
      </w:r>
      <w:r>
        <w:rPr>
          <w:rFonts w:hint="eastAsia" w:ascii="方正兰亭纤黑简体" w:hAnsi="仿宋" w:eastAsia="方正兰亭纤黑简体" w:cs="仿宋"/>
          <w:sz w:val="21"/>
        </w:rPr>
        <w:t>骨架路</w:t>
      </w:r>
      <w:r>
        <w:rPr>
          <w:rFonts w:ascii="方正兰亭纤黑简体" w:hAnsi="仿宋" w:eastAsia="方正兰亭纤黑简体" w:cs="仿宋"/>
          <w:sz w:val="21"/>
        </w:rPr>
        <w:t>网</w:t>
      </w:r>
    </w:p>
    <w:p>
      <w:pPr>
        <w:pStyle w:val="2"/>
        <w:ind w:firstLine="0" w:firstLineChars="0"/>
        <w:jc w:val="center"/>
        <w:rPr>
          <w:rFonts w:ascii="方正兰亭纤黑简体" w:hAnsi="仿宋" w:eastAsia="方正兰亭纤黑简体" w:cs="仿宋"/>
          <w:sz w:val="21"/>
        </w:rPr>
      </w:pPr>
      <w:r>
        <w:drawing>
          <wp:inline distT="0" distB="0" distL="0" distR="0">
            <wp:extent cx="4465320" cy="4106545"/>
            <wp:effectExtent l="0" t="0" r="0" b="8255"/>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19"/>
                    <a:stretch>
                      <a:fillRect/>
                    </a:stretch>
                  </pic:blipFill>
                  <pic:spPr>
                    <a:xfrm>
                      <a:off x="0" y="0"/>
                      <a:ext cx="4475989" cy="4116552"/>
                    </a:xfrm>
                    <a:prstGeom prst="rect">
                      <a:avLst/>
                    </a:prstGeom>
                  </pic:spPr>
                </pic:pic>
              </a:graphicData>
            </a:graphic>
          </wp:inline>
        </w:drawing>
      </w:r>
    </w:p>
    <w:p>
      <w:pPr>
        <w:pStyle w:val="2"/>
        <w:ind w:firstLine="0" w:firstLineChars="0"/>
        <w:jc w:val="center"/>
        <w:rPr>
          <w:rFonts w:ascii="方正兰亭纤黑简体" w:hAnsi="仿宋" w:eastAsia="方正兰亭纤黑简体" w:cs="仿宋"/>
          <w:sz w:val="21"/>
        </w:rPr>
      </w:pPr>
      <w:r>
        <w:rPr>
          <w:rFonts w:hint="eastAsia" w:ascii="方正兰亭纤黑简体" w:hAnsi="仿宋" w:eastAsia="方正兰亭纤黑简体" w:cs="仿宋"/>
          <w:sz w:val="21"/>
        </w:rPr>
        <w:t>龙水片区</w:t>
      </w:r>
      <w:r>
        <w:rPr>
          <w:rFonts w:ascii="方正兰亭纤黑简体" w:hAnsi="仿宋" w:eastAsia="方正兰亭纤黑简体" w:cs="仿宋"/>
          <w:sz w:val="21"/>
        </w:rPr>
        <w:t xml:space="preserve"> “</w:t>
      </w:r>
      <w:r>
        <w:rPr>
          <w:rFonts w:hint="eastAsia" w:ascii="方正兰亭纤黑简体" w:hAnsi="仿宋" w:eastAsia="方正兰亭纤黑简体" w:cs="仿宋"/>
          <w:sz w:val="21"/>
        </w:rPr>
        <w:t>三横五纵</w:t>
      </w:r>
      <w:r>
        <w:rPr>
          <w:rFonts w:ascii="方正兰亭纤黑简体" w:hAnsi="仿宋" w:eastAsia="方正兰亭纤黑简体" w:cs="仿宋"/>
          <w:sz w:val="21"/>
        </w:rPr>
        <w:t>”</w:t>
      </w:r>
      <w:r>
        <w:rPr>
          <w:rFonts w:hint="eastAsia" w:ascii="方正兰亭纤黑简体" w:hAnsi="仿宋" w:eastAsia="方正兰亭纤黑简体" w:cs="仿宋"/>
          <w:sz w:val="21"/>
        </w:rPr>
        <w:t>骨架路</w:t>
      </w:r>
      <w:r>
        <w:rPr>
          <w:rFonts w:ascii="方正兰亭纤黑简体" w:hAnsi="仿宋" w:eastAsia="方正兰亭纤黑简体" w:cs="仿宋"/>
          <w:sz w:val="21"/>
        </w:rPr>
        <w:t>网</w:t>
      </w:r>
    </w:p>
    <w:p>
      <w:pPr>
        <w:pStyle w:val="2"/>
        <w:ind w:firstLine="0" w:firstLineChars="0"/>
        <w:jc w:val="center"/>
        <w:rPr>
          <w:rFonts w:ascii="方正兰亭纤黑简体" w:hAnsi="仿宋" w:eastAsia="方正兰亭纤黑简体" w:cs="仿宋"/>
          <w:sz w:val="21"/>
        </w:rPr>
      </w:pPr>
      <w:r>
        <w:rPr>
          <w:rFonts w:ascii="方正兰亭纤黑简体" w:hAnsi="仿宋" w:eastAsia="方正兰亭纤黑简体" w:cs="仿宋"/>
          <w:sz w:val="21"/>
        </w:rPr>
        <w:drawing>
          <wp:inline distT="0" distB="0" distL="0" distR="0">
            <wp:extent cx="4507865" cy="3785870"/>
            <wp:effectExtent l="0" t="0" r="6985" b="5080"/>
            <wp:docPr id="5" name="图片 5" descr="F:\2022\12.大足十四五规划\大足十四五20221122\十四五规划编制11.30\万古路网.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F:\2022\12.大足十四五规划\大足十四五20221122\十四五规划编制11.30\万古路网.png"/>
                    <pic:cNvPicPr>
                      <a:picLocks noChangeAspect="1" noChangeArrowheads="1"/>
                    </pic:cNvPicPr>
                  </pic:nvPicPr>
                  <pic:blipFill>
                    <a:blip r:embed="rId20" cstate="print">
                      <a:extLst>
                        <a:ext uri="{28A0092B-C50C-407E-A947-70E740481C1C}">
                          <a14:useLocalDpi xmlns:a14="http://schemas.microsoft.com/office/drawing/2010/main" val="0"/>
                        </a:ext>
                      </a:extLst>
                    </a:blip>
                    <a:srcRect t="1067"/>
                    <a:stretch>
                      <a:fillRect/>
                    </a:stretch>
                  </pic:blipFill>
                  <pic:spPr>
                    <a:xfrm>
                      <a:off x="0" y="0"/>
                      <a:ext cx="4543745" cy="3815934"/>
                    </a:xfrm>
                    <a:prstGeom prst="rect">
                      <a:avLst/>
                    </a:prstGeom>
                    <a:noFill/>
                    <a:ln>
                      <a:noFill/>
                    </a:ln>
                  </pic:spPr>
                </pic:pic>
              </a:graphicData>
            </a:graphic>
          </wp:inline>
        </w:drawing>
      </w:r>
    </w:p>
    <w:p>
      <w:pPr>
        <w:pStyle w:val="2"/>
        <w:ind w:firstLine="0" w:firstLineChars="0"/>
        <w:jc w:val="center"/>
        <w:rPr>
          <w:rFonts w:ascii="方正兰亭纤黑简体" w:hAnsi="仿宋" w:eastAsia="方正兰亭纤黑简体" w:cs="仿宋"/>
          <w:sz w:val="21"/>
        </w:rPr>
      </w:pPr>
      <w:r>
        <w:rPr>
          <w:rFonts w:hint="eastAsia" w:ascii="方正兰亭纤黑简体" w:hAnsi="仿宋" w:eastAsia="方正兰亭纤黑简体" w:cs="仿宋"/>
          <w:sz w:val="21"/>
        </w:rPr>
        <w:t>万古片区</w:t>
      </w:r>
      <w:r>
        <w:rPr>
          <w:rFonts w:ascii="方正兰亭纤黑简体" w:hAnsi="仿宋" w:eastAsia="方正兰亭纤黑简体" w:cs="仿宋"/>
          <w:sz w:val="21"/>
        </w:rPr>
        <w:t>“</w:t>
      </w:r>
      <w:r>
        <w:rPr>
          <w:rFonts w:hint="eastAsia" w:ascii="方正兰亭纤黑简体" w:hAnsi="仿宋" w:eastAsia="方正兰亭纤黑简体" w:cs="仿宋"/>
          <w:sz w:val="21"/>
        </w:rPr>
        <w:t>四横三纵</w:t>
      </w:r>
      <w:r>
        <w:rPr>
          <w:rFonts w:ascii="方正兰亭纤黑简体" w:hAnsi="仿宋" w:eastAsia="方正兰亭纤黑简体" w:cs="仿宋"/>
          <w:sz w:val="21"/>
        </w:rPr>
        <w:t>”</w:t>
      </w:r>
      <w:r>
        <w:rPr>
          <w:rFonts w:hint="eastAsia" w:ascii="方正兰亭纤黑简体" w:hAnsi="仿宋" w:eastAsia="方正兰亭纤黑简体" w:cs="仿宋"/>
          <w:sz w:val="21"/>
        </w:rPr>
        <w:t xml:space="preserve"> 骨架路</w:t>
      </w:r>
      <w:r>
        <w:rPr>
          <w:rFonts w:ascii="方正兰亭纤黑简体" w:hAnsi="仿宋" w:eastAsia="方正兰亭纤黑简体" w:cs="仿宋"/>
          <w:sz w:val="21"/>
        </w:rPr>
        <w:t>网</w:t>
      </w:r>
    </w:p>
    <w:p>
      <w:pPr>
        <w:pStyle w:val="2"/>
        <w:ind w:firstLine="0" w:firstLineChars="0"/>
        <w:jc w:val="center"/>
        <w:rPr>
          <w:rFonts w:ascii="方正兰亭纤黑简体" w:hAnsi="仿宋" w:eastAsia="方正兰亭纤黑简体" w:cs="仿宋"/>
          <w:sz w:val="21"/>
        </w:rPr>
      </w:pPr>
      <w:r>
        <w:drawing>
          <wp:inline distT="0" distB="0" distL="0" distR="0">
            <wp:extent cx="4944110" cy="4134485"/>
            <wp:effectExtent l="0" t="0" r="889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21"/>
                    <a:stretch>
                      <a:fillRect/>
                    </a:stretch>
                  </pic:blipFill>
                  <pic:spPr>
                    <a:xfrm>
                      <a:off x="0" y="0"/>
                      <a:ext cx="4945863" cy="4136042"/>
                    </a:xfrm>
                    <a:prstGeom prst="rect">
                      <a:avLst/>
                    </a:prstGeom>
                  </pic:spPr>
                </pic:pic>
              </a:graphicData>
            </a:graphic>
          </wp:inline>
        </w:drawing>
      </w:r>
    </w:p>
    <w:p>
      <w:pPr>
        <w:pStyle w:val="2"/>
        <w:ind w:firstLine="0" w:firstLineChars="0"/>
        <w:jc w:val="center"/>
        <w:rPr>
          <w:rFonts w:ascii="方正兰亭纤黑简体" w:hAnsi="仿宋" w:eastAsia="方正兰亭纤黑简体" w:cs="仿宋"/>
          <w:sz w:val="21"/>
        </w:rPr>
      </w:pPr>
      <w:r>
        <w:rPr>
          <w:rFonts w:hint="eastAsia" w:ascii="方正兰亭纤黑简体" w:hAnsi="仿宋" w:eastAsia="方正兰亭纤黑简体" w:cs="仿宋"/>
          <w:sz w:val="21"/>
        </w:rPr>
        <w:t>三驱片区</w:t>
      </w:r>
      <w:r>
        <w:rPr>
          <w:rFonts w:ascii="方正兰亭纤黑简体" w:hAnsi="仿宋" w:eastAsia="方正兰亭纤黑简体" w:cs="仿宋"/>
          <w:sz w:val="21"/>
        </w:rPr>
        <w:t>“</w:t>
      </w:r>
      <w:r>
        <w:rPr>
          <w:rFonts w:hint="eastAsia" w:ascii="方正兰亭纤黑简体" w:hAnsi="仿宋" w:eastAsia="方正兰亭纤黑简体" w:cs="仿宋"/>
          <w:sz w:val="21"/>
        </w:rPr>
        <w:t>三横六纵</w:t>
      </w:r>
      <w:r>
        <w:rPr>
          <w:rFonts w:ascii="方正兰亭纤黑简体" w:hAnsi="仿宋" w:eastAsia="方正兰亭纤黑简体" w:cs="仿宋"/>
          <w:sz w:val="21"/>
        </w:rPr>
        <w:t>”</w:t>
      </w:r>
      <w:r>
        <w:rPr>
          <w:rFonts w:hint="eastAsia" w:ascii="方正兰亭纤黑简体" w:hAnsi="仿宋" w:eastAsia="方正兰亭纤黑简体" w:cs="仿宋"/>
          <w:sz w:val="21"/>
        </w:rPr>
        <w:t xml:space="preserve"> 骨架路</w:t>
      </w:r>
      <w:r>
        <w:rPr>
          <w:rFonts w:ascii="方正兰亭纤黑简体" w:hAnsi="仿宋" w:eastAsia="方正兰亭纤黑简体" w:cs="仿宋"/>
          <w:sz w:val="21"/>
        </w:rPr>
        <w:t>网</w:t>
      </w:r>
    </w:p>
    <w:p>
      <w:pPr>
        <w:adjustRightInd w:val="0"/>
        <w:snapToGrid w:val="0"/>
        <w:ind w:firstLine="560"/>
        <w:rPr>
          <w:rFonts w:ascii="方正兰亭纤黑简体" w:hAnsi="仿宋" w:eastAsia="方正兰亭纤黑简体" w:cs="仿宋"/>
          <w:sz w:val="28"/>
        </w:rPr>
      </w:pPr>
      <w:r>
        <w:rPr>
          <w:rFonts w:hint="eastAsia" w:ascii="方正兰亭纤黑简体" w:hAnsi="仿宋" w:eastAsia="方正兰亭纤黑简体" w:cs="仿宋"/>
          <w:sz w:val="28"/>
        </w:rPr>
        <w:t>2021-2025期间规划实施老城区人行道提档升级，建设天宫河公园至同心公园绿道慢行系统、清明桥路绿道及龙水湖步道等</w:t>
      </w:r>
      <w:r>
        <w:rPr>
          <w:rFonts w:ascii="方正兰亭纤黑简体" w:hAnsi="仿宋" w:eastAsia="方正兰亭纤黑简体" w:cs="仿宋"/>
          <w:sz w:val="28"/>
        </w:rPr>
        <w:t>28</w:t>
      </w:r>
      <w:r>
        <w:rPr>
          <w:rFonts w:hint="eastAsia" w:ascii="方正兰亭纤黑简体" w:hAnsi="仿宋" w:eastAsia="方正兰亭纤黑简体" w:cs="仿宋"/>
          <w:sz w:val="28"/>
        </w:rPr>
        <w:t>.4</w:t>
      </w:r>
      <w:r>
        <w:rPr>
          <w:rFonts w:ascii="方正兰亭纤黑简体" w:hAnsi="仿宋" w:eastAsia="方正兰亭纤黑简体" w:cs="仿宋"/>
          <w:sz w:val="28"/>
        </w:rPr>
        <w:t>3</w:t>
      </w:r>
      <w:r>
        <w:rPr>
          <w:rFonts w:hint="eastAsia" w:ascii="方正兰亭纤黑简体" w:hAnsi="仿宋" w:eastAsia="方正兰亭纤黑简体" w:cs="仿宋"/>
          <w:sz w:val="28"/>
        </w:rPr>
        <w:t>公里特色绿色慢行步道，串联城区主要公园绿地，提升出行体验。挖掘老旧住区的停车潜力，鼓励建设立体停车场，倡导多元化停车方式。力争完工2座人行天桥建设，储备</w:t>
      </w:r>
      <w:r>
        <w:rPr>
          <w:rFonts w:ascii="方正兰亭纤黑简体" w:hAnsi="仿宋" w:eastAsia="方正兰亭纤黑简体" w:cs="仿宋"/>
          <w:sz w:val="28"/>
        </w:rPr>
        <w:t>6</w:t>
      </w:r>
      <w:r>
        <w:rPr>
          <w:rFonts w:hint="eastAsia" w:ascii="方正兰亭纤黑简体" w:hAnsi="仿宋" w:eastAsia="方正兰亭纤黑简体" w:cs="仿宋"/>
          <w:sz w:val="28"/>
        </w:rPr>
        <w:t>座人行天桥，保障群众出行安全。</w:t>
      </w:r>
    </w:p>
    <w:p>
      <w:pPr>
        <w:adjustRightInd w:val="0"/>
        <w:snapToGrid w:val="0"/>
        <w:ind w:firstLine="562"/>
        <w:rPr>
          <w:rFonts w:ascii="方正兰亭纤黑简体" w:hAnsi="仿宋" w:eastAsia="方正兰亭纤黑简体" w:cs="仿宋"/>
          <w:sz w:val="28"/>
        </w:rPr>
      </w:pPr>
      <w:r>
        <w:rPr>
          <w:rFonts w:hint="eastAsia" w:ascii="方正兰亭纤黑简体" w:hAnsi="仿宋" w:eastAsia="方正兰亭纤黑简体" w:cs="仿宋"/>
          <w:b/>
          <w:bCs/>
          <w:sz w:val="28"/>
        </w:rPr>
        <w:t>——世界文化会客厅展示效应凸显。</w:t>
      </w:r>
      <w:r>
        <w:rPr>
          <w:rFonts w:hint="eastAsia" w:ascii="方正兰亭纤黑简体" w:hAnsi="仿宋" w:eastAsia="方正兰亭纤黑简体" w:cs="仿宋"/>
          <w:sz w:val="28"/>
        </w:rPr>
        <w:t>全力推动大足石刻文化城的建设，坚持“文旅+”，以文促旅、以旅彰文，推动文化旅游与各行业深度融合，将大足石刻文化公园打造成为巴蜀文化旅游走廊的重要引领、川渝石窟寺国家遗址公园的重要支撑、中华优秀传统文化传承的重要基地、世界文明交流互鉴的重要载体。坚持传承弘扬、文旅融合，2</w:t>
      </w:r>
      <w:r>
        <w:rPr>
          <w:rFonts w:ascii="方正兰亭纤黑简体" w:hAnsi="仿宋" w:eastAsia="方正兰亭纤黑简体" w:cs="仿宋"/>
          <w:sz w:val="28"/>
        </w:rPr>
        <w:t>021-2025</w:t>
      </w:r>
      <w:r>
        <w:rPr>
          <w:rFonts w:hint="eastAsia" w:ascii="方正兰亭纤黑简体" w:hAnsi="仿宋" w:eastAsia="方正兰亭纤黑简体" w:cs="仿宋"/>
          <w:sz w:val="28"/>
        </w:rPr>
        <w:t>期间研究储备三山连接旅游轨道线路，构建我区特色新型交通系统网络，加强文旅资源的互联互通。同时加快进行精品景区和旅游度假区基础设施的提档升级，将大足石刻等文化元素植入城市，彰显城市独特文化气质，传承弘扬石刻传统文化。</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——城市环境安全更具韧性。一</w:t>
      </w:r>
      <w:r>
        <w:rPr>
          <w:rFonts w:hint="eastAsia" w:ascii="方正兰亭纤黑简体" w:hAnsi="仿宋" w:eastAsia="方正兰亭纤黑简体" w:cs="仿宋"/>
          <w:sz w:val="28"/>
        </w:rPr>
        <w:t>是雨污水收集、处理能力进一步提升，拟建设镇街排水管网运维及整治工程、龙水新城综合管网建设工程、城市污水处理厂提标改造、清溪水务污水处理厂扩建及配套管网建设等项目，2021-2025期末，城市生活污水集中收集率达73%以上，集中处理率达98%以上。二是污泥处理处置能力得到提高，通过协同双桥经开区污泥处理处置能力，使城镇生活污泥无害化处置率在2021-2025期末基本达到100%。三是环卫设施得到完善，规划建设生活垃圾焚烧发电项目、厨余垃圾处理项目与环卫一体化项目，使各类垃圾减量化处理。五是提升生活垃圾与工业固废利用率，规划建设炉渣资源化利用项目、大件/绿化垃圾综合处理项目、一般工业固废资源化项目。</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——城市品质不断提升。</w:t>
      </w:r>
      <w:r>
        <w:rPr>
          <w:rFonts w:hint="eastAsia" w:ascii="方正兰亭纤黑简体" w:hAnsi="仿宋" w:eastAsia="方正兰亭纤黑简体" w:cs="仿宋"/>
          <w:sz w:val="28"/>
        </w:rPr>
        <w:t>城市更新工作取得阶段性进展，完成老旧街区改造</w:t>
      </w:r>
      <w:r>
        <w:rPr>
          <w:rFonts w:ascii="方正兰亭纤黑简体" w:hAnsi="仿宋" w:eastAsia="方正兰亭纤黑简体" w:cs="仿宋"/>
          <w:sz w:val="28"/>
        </w:rPr>
        <w:t>7</w:t>
      </w:r>
      <w:r>
        <w:rPr>
          <w:rFonts w:hint="eastAsia" w:ascii="方正兰亭纤黑简体" w:hAnsi="仿宋" w:eastAsia="方正兰亭纤黑简体" w:cs="仿宋"/>
          <w:sz w:val="28"/>
        </w:rPr>
        <w:t>处、公共空间改造3处，完成学校、医院、养老等公共服务设施项目</w:t>
      </w:r>
      <w:r>
        <w:rPr>
          <w:rFonts w:ascii="方正兰亭纤黑简体" w:hAnsi="仿宋" w:eastAsia="方正兰亭纤黑简体" w:cs="仿宋"/>
          <w:sz w:val="28"/>
        </w:rPr>
        <w:t>46</w:t>
      </w:r>
      <w:r>
        <w:rPr>
          <w:rFonts w:hint="eastAsia" w:ascii="方正兰亭纤黑简体" w:hAnsi="仿宋" w:eastAsia="方正兰亭纤黑简体" w:cs="仿宋"/>
          <w:sz w:val="28"/>
        </w:rPr>
        <w:t>项。“留、改、拆、建”并举，对龙中路等5个城市更新片区实施棚户区改造项目</w:t>
      </w:r>
      <w:r>
        <w:rPr>
          <w:rFonts w:ascii="方正兰亭纤黑简体" w:hAnsi="仿宋" w:eastAsia="方正兰亭纤黑简体" w:cs="仿宋"/>
          <w:sz w:val="28"/>
        </w:rPr>
        <w:t>4</w:t>
      </w:r>
      <w:r>
        <w:rPr>
          <w:rFonts w:hint="eastAsia" w:ascii="方正兰亭纤黑简体" w:hAnsi="仿宋" w:eastAsia="方正兰亭纤黑简体" w:cs="仿宋"/>
          <w:sz w:val="28"/>
        </w:rPr>
        <w:t>项。至2025年末，全区森林覆盖率达到50%，城镇建成区绿化覆盖率达到48%，生态保护红线面积比例满足国家和重庆市相关要求。城区系统推进海绵城市建设，新建项目严格管控年径流总量控制率和污染物削减率等指标，老城区以问题为导向，因地制宜实施。2021-2025期内实现建成区海绵城市达标面积比例达到45%的目标。</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——提升资源供给安全。</w:t>
      </w:r>
      <w:r>
        <w:rPr>
          <w:rFonts w:hint="eastAsia" w:ascii="方正兰亭纤黑简体" w:hAnsi="仿宋" w:eastAsia="方正兰亭纤黑简体" w:cs="仿宋"/>
          <w:sz w:val="28"/>
        </w:rPr>
        <w:t>城镇供水能力和水资源利用率进一步提升，2021-2025期间将清明桥水厂和西门水厂进行整体搬迁，实施一期规模10万吨/天。配合规划区老城更新与新城开发，不断提升资源供给能力与稳定性，2021-2025期间拟建设</w:t>
      </w:r>
      <w:r>
        <w:rPr>
          <w:rFonts w:ascii="方正兰亭纤黑简体" w:hAnsi="仿宋" w:eastAsia="方正兰亭纤黑简体" w:cs="仿宋"/>
          <w:color w:val="FF0000"/>
          <w:sz w:val="28"/>
        </w:rPr>
        <w:t>10</w:t>
      </w:r>
      <w:r>
        <w:rPr>
          <w:rFonts w:hint="eastAsia" w:ascii="方正兰亭纤黑简体" w:hAnsi="仿宋" w:eastAsia="方正兰亭纤黑简体" w:cs="仿宋"/>
          <w:sz w:val="28"/>
        </w:rPr>
        <w:t>项输变电项目，供电可靠率达到99.9548%，10千伏及以下电网综合线损率为4.5%。进一步提升城镇燃气管线运行安全，提升储备与分销能力，2021-2025期间拟实施</w:t>
      </w:r>
      <w:r>
        <w:rPr>
          <w:rFonts w:ascii="方正兰亭纤黑简体" w:hAnsi="仿宋" w:eastAsia="方正兰亭纤黑简体" w:cs="仿宋"/>
          <w:sz w:val="28"/>
        </w:rPr>
        <w:t>2</w:t>
      </w:r>
      <w:r>
        <w:rPr>
          <w:rFonts w:hint="eastAsia" w:ascii="方正兰亭纤黑简体" w:hAnsi="仿宋" w:eastAsia="方正兰亭纤黑简体" w:cs="仿宋"/>
          <w:sz w:val="28"/>
        </w:rPr>
        <w:t>项燃气管线更新改造项目与5项管线、配气站建设。</w:t>
      </w:r>
    </w:p>
    <w:p>
      <w:pPr>
        <w:pStyle w:val="26"/>
        <w:ind w:firstLine="562"/>
        <w:rPr>
          <w:rFonts w:ascii="方正兰亭纤黑简体" w:hAnsi="仿宋" w:eastAsia="方正兰亭纤黑简体" w:cs="仿宋"/>
          <w:sz w:val="28"/>
        </w:rPr>
      </w:pPr>
      <w:r>
        <w:rPr>
          <w:rFonts w:hint="eastAsia" w:ascii="方正兰亭纤黑简体" w:hAnsi="仿宋" w:eastAsia="方正兰亭纤黑简体" w:cs="仿宋"/>
          <w:b/>
          <w:bCs/>
          <w:sz w:val="28"/>
        </w:rPr>
        <w:t>——智慧化新城建服务。</w:t>
      </w:r>
      <w:r>
        <w:rPr>
          <w:rFonts w:hint="eastAsia" w:ascii="方正兰亭纤黑简体" w:hAnsi="仿宋" w:eastAsia="方正兰亭纤黑简体" w:cs="仿宋"/>
          <w:sz w:val="28"/>
        </w:rPr>
        <w:t>2021-2025期间，我区将以CIM基础平台为底座，推动物联网在城市基础设施、智慧社区、智能建造、智能城管等领域的应用，提升我区在城市基础设施方面智慧化决策、智慧化建设、智慧化管理的能力。通讯基础设施进一步普及，千兆入户数达到1.5万户、5G基站达到3000座。</w:t>
      </w:r>
    </w:p>
    <w:p>
      <w:pPr>
        <w:adjustRightInd w:val="0"/>
        <w:snapToGrid w:val="0"/>
        <w:ind w:firstLine="562"/>
        <w:rPr>
          <w:rFonts w:ascii="方正兰亭纤黑简体" w:hAnsi="仿宋" w:eastAsia="方正兰亭纤黑简体" w:cs="仿宋"/>
          <w:sz w:val="28"/>
        </w:rPr>
      </w:pPr>
      <w:r>
        <w:rPr>
          <w:rFonts w:hint="eastAsia" w:ascii="方正兰亭纤黑简体" w:hAnsi="仿宋" w:eastAsia="方正兰亭纤黑简体" w:cs="仿宋"/>
          <w:b/>
          <w:bCs/>
          <w:sz w:val="28"/>
        </w:rPr>
        <w:t>——城市安全保障更加有力。</w:t>
      </w:r>
      <w:r>
        <w:rPr>
          <w:rFonts w:hint="eastAsia" w:ascii="方正兰亭纤黑简体" w:hAnsi="仿宋" w:eastAsia="方正兰亭纤黑简体" w:cs="仿宋"/>
          <w:sz w:val="28"/>
        </w:rPr>
        <w:t>2021-2025期间，逐步提升城市内涝治理能力，消除资环学院、龙水街心花园、西一龙东还房步行街等影响生产生活秩序的易涝积水点，基本形成“源头减排、管网排放、蓄排并举、超标应急”的城市排水防涝工程体系，基本构建“安全可靠，系统韧性”的城市内涝治理体系，排水防涝能力显著提升，内涝治理工作取得明显成效，基本实现“小雨不积水、大雨不内涝”。在超出城市内涝防治标准的降雨条件下，城市生命线工程等重要市政基础设施功能不丧失，基本保障城市安全运行。</w:t>
      </w:r>
    </w:p>
    <w:p>
      <w:pPr>
        <w:adjustRightInd w:val="0"/>
        <w:snapToGrid w:val="0"/>
        <w:ind w:firstLine="560"/>
        <w:rPr>
          <w:rFonts w:ascii="方正兰亭纤黑简体" w:hAnsi="仿宋" w:eastAsia="方正兰亭纤黑简体" w:cs="仿宋"/>
          <w:sz w:val="28"/>
        </w:rPr>
      </w:pPr>
      <w:r>
        <w:rPr>
          <w:rFonts w:hint="eastAsia" w:ascii="方正兰亭纤黑简体" w:hAnsi="仿宋" w:eastAsia="方正兰亭纤黑简体" w:cs="仿宋"/>
          <w:sz w:val="28"/>
        </w:rPr>
        <w:t>展望未来，我区将在2035年实现与国际化、绿色化、智能化、人文化相适应的城市基础设施建设，成渝地区双城经济圈基础设施互联互通基本实现，有力支撑各片区之间协同发展、产业链条协调布局、资源要素合理分配，实现生态环境根本好转，推动形成人与自然和谐共生的现代化建设格局。</w:t>
      </w:r>
      <w:r>
        <w:rPr>
          <w:rFonts w:hint="eastAsia" w:ascii="方正兰亭纤黑简体" w:hAnsi="仿宋" w:eastAsia="方正兰亭纤黑简体" w:cs="仿宋"/>
          <w:sz w:val="28"/>
        </w:rPr>
        <w:br w:type="page"/>
      </w:r>
    </w:p>
    <w:p>
      <w:pPr>
        <w:adjustRightInd w:val="0"/>
        <w:snapToGrid w:val="0"/>
        <w:spacing w:line="432" w:lineRule="auto"/>
        <w:ind w:firstLine="0" w:firstLineChars="0"/>
        <w:jc w:val="center"/>
        <w:rPr>
          <w:rFonts w:ascii="方正兰亭纤黑简体" w:hAnsi="仿宋" w:eastAsia="方正兰亭纤黑简体" w:cs="仿宋"/>
          <w:bCs/>
          <w:sz w:val="28"/>
          <w:szCs w:val="28"/>
        </w:rPr>
      </w:pPr>
      <w:r>
        <w:rPr>
          <w:rFonts w:hint="eastAsia" w:ascii="方正兰亭纤黑简体" w:hAnsi="仿宋" w:eastAsia="方正兰亭纤黑简体" w:cs="仿宋"/>
          <w:bCs/>
          <w:sz w:val="28"/>
          <w:szCs w:val="28"/>
        </w:rPr>
        <w:t>专栏  2021-2025规划城市基础设施发展指标表</w:t>
      </w:r>
    </w:p>
    <w:tbl>
      <w:tblPr>
        <w:tblStyle w:val="24"/>
        <w:tblW w:w="8539" w:type="dxa"/>
        <w:jc w:val="center"/>
        <w:tblCellSpacing w:w="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1223"/>
        <w:gridCol w:w="3046"/>
        <w:gridCol w:w="1515"/>
        <w:gridCol w:w="1377"/>
        <w:gridCol w:w="13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567" w:hRule="atLeast"/>
          <w:tblCellSpacing w:w="0" w:type="dxa"/>
          <w:jc w:val="center"/>
        </w:trPr>
        <w:tc>
          <w:tcPr>
            <w:tcW w:w="1223" w:type="dxa"/>
            <w:shd w:val="clear" w:color="auto" w:fill="BDD6EE" w:themeFill="accent1" w:themeFillTint="66"/>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
                <w:bCs/>
                <w:kern w:val="0"/>
                <w:sz w:val="21"/>
                <w:szCs w:val="16"/>
              </w:rPr>
            </w:pPr>
            <w:r>
              <w:rPr>
                <w:rFonts w:hint="eastAsia" w:ascii="方正兰亭纤黑简体" w:hAnsi="仿宋" w:eastAsia="方正兰亭纤黑简体" w:cs="仿宋"/>
                <w:b/>
                <w:bCs/>
                <w:kern w:val="0"/>
                <w:sz w:val="21"/>
                <w:szCs w:val="16"/>
              </w:rPr>
              <w:t>类别</w:t>
            </w:r>
          </w:p>
        </w:tc>
        <w:tc>
          <w:tcPr>
            <w:tcW w:w="3046" w:type="dxa"/>
            <w:shd w:val="clear" w:color="auto" w:fill="BDD6EE" w:themeFill="accent1" w:themeFillTint="66"/>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
                <w:bCs/>
                <w:kern w:val="0"/>
                <w:sz w:val="21"/>
                <w:szCs w:val="16"/>
              </w:rPr>
            </w:pPr>
            <w:r>
              <w:rPr>
                <w:rFonts w:hint="eastAsia" w:ascii="方正兰亭纤黑简体" w:hAnsi="仿宋" w:eastAsia="方正兰亭纤黑简体" w:cs="仿宋"/>
                <w:b/>
                <w:bCs/>
                <w:kern w:val="0"/>
                <w:sz w:val="21"/>
                <w:szCs w:val="16"/>
              </w:rPr>
              <w:t>指标名称</w:t>
            </w:r>
          </w:p>
        </w:tc>
        <w:tc>
          <w:tcPr>
            <w:tcW w:w="1515" w:type="dxa"/>
            <w:shd w:val="clear" w:color="auto" w:fill="BDD6EE" w:themeFill="accent1" w:themeFillTint="66"/>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
                <w:bCs/>
                <w:kern w:val="0"/>
                <w:sz w:val="21"/>
                <w:szCs w:val="16"/>
              </w:rPr>
            </w:pPr>
            <w:r>
              <w:rPr>
                <w:rFonts w:hint="eastAsia" w:ascii="方正兰亭纤黑简体" w:hAnsi="仿宋" w:eastAsia="方正兰亭纤黑简体" w:cs="仿宋"/>
                <w:b/>
                <w:bCs/>
                <w:kern w:val="0"/>
                <w:sz w:val="21"/>
                <w:szCs w:val="16"/>
              </w:rPr>
              <w:t>指标属性</w:t>
            </w:r>
          </w:p>
        </w:tc>
        <w:tc>
          <w:tcPr>
            <w:tcW w:w="1377" w:type="dxa"/>
            <w:shd w:val="clear" w:color="auto" w:fill="BDD6EE" w:themeFill="accent1" w:themeFillTint="66"/>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
                <w:bCs/>
                <w:kern w:val="0"/>
                <w:sz w:val="21"/>
                <w:szCs w:val="16"/>
              </w:rPr>
            </w:pPr>
            <w:r>
              <w:rPr>
                <w:rFonts w:hint="eastAsia" w:ascii="方正兰亭纤黑简体" w:hAnsi="仿宋" w:eastAsia="方正兰亭纤黑简体" w:cs="仿宋"/>
                <w:b/>
                <w:bCs/>
                <w:kern w:val="0"/>
                <w:sz w:val="21"/>
                <w:szCs w:val="16"/>
              </w:rPr>
              <w:t>2020年底实际数据</w:t>
            </w:r>
          </w:p>
        </w:tc>
        <w:tc>
          <w:tcPr>
            <w:tcW w:w="1378" w:type="dxa"/>
            <w:shd w:val="clear" w:color="auto" w:fill="BDD6EE" w:themeFill="accent1" w:themeFillTint="66"/>
            <w:tcMar>
              <w:left w:w="108" w:type="dxa"/>
              <w:right w:w="108" w:type="dxa"/>
            </w:tcMar>
            <w:vAlign w:val="center"/>
          </w:tcPr>
          <w:p>
            <w:pPr>
              <w:pStyle w:val="20"/>
              <w:widowControl/>
              <w:spacing w:before="0" w:beforeAutospacing="0" w:after="0" w:afterAutospacing="0" w:line="240" w:lineRule="auto"/>
              <w:ind w:firstLine="0" w:firstLineChars="0"/>
              <w:jc w:val="center"/>
              <w:rPr>
                <w:rFonts w:ascii="方正兰亭纤黑简体" w:hAnsi="仿宋" w:eastAsia="方正兰亭纤黑简体" w:cs="仿宋"/>
                <w:b/>
                <w:bCs/>
                <w:kern w:val="0"/>
                <w:sz w:val="21"/>
                <w:szCs w:val="16"/>
              </w:rPr>
            </w:pPr>
            <w:r>
              <w:rPr>
                <w:rFonts w:hint="eastAsia" w:ascii="方正兰亭纤黑简体" w:hAnsi="仿宋" w:eastAsia="方正兰亭纤黑简体" w:cs="仿宋"/>
                <w:b/>
                <w:bCs/>
                <w:kern w:val="0"/>
                <w:sz w:val="21"/>
                <w:szCs w:val="16"/>
              </w:rPr>
              <w:t>2021-2025</w:t>
            </w:r>
          </w:p>
          <w:p>
            <w:pPr>
              <w:pStyle w:val="20"/>
              <w:widowControl/>
              <w:spacing w:before="0" w:beforeAutospacing="0" w:after="0" w:afterAutospacing="0" w:line="240" w:lineRule="auto"/>
              <w:ind w:firstLine="0" w:firstLineChars="0"/>
              <w:jc w:val="center"/>
              <w:rPr>
                <w:rFonts w:ascii="方正兰亭纤黑简体" w:hAnsi="仿宋" w:eastAsia="方正兰亭纤黑简体" w:cs="仿宋"/>
                <w:b/>
                <w:bCs/>
                <w:kern w:val="0"/>
                <w:sz w:val="21"/>
                <w:szCs w:val="16"/>
              </w:rPr>
            </w:pPr>
            <w:r>
              <w:rPr>
                <w:rFonts w:hint="eastAsia" w:ascii="方正兰亭纤黑简体" w:hAnsi="仿宋" w:eastAsia="方正兰亭纤黑简体" w:cs="仿宋"/>
                <w:b/>
                <w:bCs/>
                <w:kern w:val="0"/>
                <w:sz w:val="21"/>
                <w:szCs w:val="16"/>
              </w:rPr>
              <w:t>目标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blCellSpacing w:w="0" w:type="dxa"/>
          <w:jc w:val="center"/>
        </w:trPr>
        <w:tc>
          <w:tcPr>
            <w:tcW w:w="1223"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
                <w:bCs/>
                <w:kern w:val="0"/>
                <w:sz w:val="18"/>
                <w:szCs w:val="18"/>
              </w:rPr>
            </w:pPr>
            <w:r>
              <w:rPr>
                <w:rFonts w:hint="eastAsia" w:ascii="方正兰亭纤黑简体" w:hAnsi="仿宋" w:eastAsia="方正兰亭纤黑简体" w:cs="仿宋"/>
                <w:b/>
                <w:bCs/>
                <w:kern w:val="0"/>
                <w:sz w:val="18"/>
                <w:szCs w:val="18"/>
              </w:rPr>
              <w:t>城市轨道</w:t>
            </w:r>
          </w:p>
        </w:tc>
        <w:tc>
          <w:tcPr>
            <w:tcW w:w="3046"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运营里程（公里）</w:t>
            </w:r>
          </w:p>
        </w:tc>
        <w:tc>
          <w:tcPr>
            <w:tcW w:w="1515"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预期性</w:t>
            </w:r>
          </w:p>
        </w:tc>
        <w:tc>
          <w:tcPr>
            <w:tcW w:w="1377"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0</w:t>
            </w:r>
          </w:p>
        </w:tc>
        <w:tc>
          <w:tcPr>
            <w:tcW w:w="1378"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31.8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blCellSpacing w:w="0" w:type="dxa"/>
          <w:jc w:val="center"/>
        </w:trPr>
        <w:tc>
          <w:tcPr>
            <w:tcW w:w="1223" w:type="dxa"/>
            <w:vMerge w:val="restart"/>
            <w:shd w:val="clear" w:color="auto" w:fill="FFFFFF"/>
            <w:tcMar>
              <w:left w:w="108" w:type="dxa"/>
              <w:right w:w="108" w:type="dxa"/>
            </w:tcMar>
            <w:vAlign w:val="center"/>
          </w:tcPr>
          <w:p>
            <w:pPr>
              <w:spacing w:line="240" w:lineRule="auto"/>
              <w:ind w:firstLine="0" w:firstLineChars="0"/>
              <w:jc w:val="center"/>
              <w:rPr>
                <w:rFonts w:ascii="方正兰亭纤黑简体" w:hAnsi="仿宋" w:eastAsia="方正兰亭纤黑简体" w:cs="仿宋"/>
                <w:b/>
                <w:bCs/>
                <w:kern w:val="0"/>
                <w:sz w:val="18"/>
                <w:szCs w:val="18"/>
              </w:rPr>
            </w:pPr>
            <w:r>
              <w:rPr>
                <w:rFonts w:hint="eastAsia" w:ascii="方正兰亭纤黑简体" w:hAnsi="仿宋" w:eastAsia="方正兰亭纤黑简体" w:cs="仿宋"/>
                <w:b/>
                <w:bCs/>
                <w:kern w:val="0"/>
                <w:sz w:val="18"/>
                <w:szCs w:val="18"/>
              </w:rPr>
              <w:t>城市道路</w:t>
            </w:r>
          </w:p>
        </w:tc>
        <w:tc>
          <w:tcPr>
            <w:tcW w:w="3046"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城市道路通车里程（公里）</w:t>
            </w:r>
          </w:p>
        </w:tc>
        <w:tc>
          <w:tcPr>
            <w:tcW w:w="1515"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预期性</w:t>
            </w:r>
          </w:p>
        </w:tc>
        <w:tc>
          <w:tcPr>
            <w:tcW w:w="1377"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198.03</w:t>
            </w:r>
          </w:p>
        </w:tc>
        <w:tc>
          <w:tcPr>
            <w:tcW w:w="1378"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ascii="方正兰亭纤黑简体" w:hAnsi="仿宋" w:eastAsia="方正兰亭纤黑简体" w:cs="仿宋"/>
                <w:bCs/>
                <w:color w:val="FF0000"/>
                <w:kern w:val="0"/>
                <w:sz w:val="18"/>
                <w:szCs w:val="18"/>
              </w:rPr>
              <w:t>263.64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blCellSpacing w:w="0" w:type="dxa"/>
          <w:jc w:val="center"/>
        </w:trPr>
        <w:tc>
          <w:tcPr>
            <w:tcW w:w="1223" w:type="dxa"/>
            <w:vMerge w:val="continue"/>
            <w:shd w:val="clear" w:color="auto" w:fill="FFFFFF"/>
            <w:tcMar>
              <w:left w:w="108" w:type="dxa"/>
              <w:right w:w="108" w:type="dxa"/>
            </w:tcMar>
            <w:vAlign w:val="center"/>
          </w:tcPr>
          <w:p>
            <w:pPr>
              <w:spacing w:line="240" w:lineRule="auto"/>
              <w:ind w:firstLine="0" w:firstLineChars="0"/>
              <w:jc w:val="center"/>
              <w:rPr>
                <w:rFonts w:ascii="方正兰亭纤黑简体" w:hAnsi="仿宋" w:eastAsia="方正兰亭纤黑简体" w:cs="仿宋"/>
                <w:b/>
                <w:bCs/>
                <w:kern w:val="0"/>
                <w:sz w:val="18"/>
                <w:szCs w:val="18"/>
              </w:rPr>
            </w:pPr>
          </w:p>
        </w:tc>
        <w:tc>
          <w:tcPr>
            <w:tcW w:w="3046"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道路增长幅度（%）</w:t>
            </w:r>
          </w:p>
        </w:tc>
        <w:tc>
          <w:tcPr>
            <w:tcW w:w="1515"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预期性</w:t>
            </w:r>
          </w:p>
        </w:tc>
        <w:tc>
          <w:tcPr>
            <w:tcW w:w="1377"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w:t>
            </w:r>
          </w:p>
        </w:tc>
        <w:tc>
          <w:tcPr>
            <w:tcW w:w="1378"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ascii="方正兰亭纤黑简体" w:hAnsi="仿宋" w:eastAsia="方正兰亭纤黑简体" w:cs="仿宋"/>
                <w:bCs/>
                <w:kern w:val="0"/>
                <w:sz w:val="18"/>
                <w:szCs w:val="18"/>
              </w:rPr>
              <w:t>29.3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blCellSpacing w:w="0" w:type="dxa"/>
          <w:jc w:val="center"/>
        </w:trPr>
        <w:tc>
          <w:tcPr>
            <w:tcW w:w="1223" w:type="dxa"/>
            <w:vMerge w:val="restart"/>
            <w:shd w:val="clear" w:color="auto" w:fill="FFFFFF"/>
            <w:tcMar>
              <w:left w:w="108" w:type="dxa"/>
              <w:right w:w="108" w:type="dxa"/>
            </w:tcMar>
            <w:vAlign w:val="center"/>
          </w:tcPr>
          <w:p>
            <w:pPr>
              <w:spacing w:line="240" w:lineRule="auto"/>
              <w:ind w:firstLine="0" w:firstLineChars="0"/>
              <w:jc w:val="center"/>
              <w:rPr>
                <w:rFonts w:ascii="方正兰亭纤黑简体" w:hAnsi="仿宋" w:eastAsia="方正兰亭纤黑简体" w:cs="仿宋"/>
                <w:b/>
                <w:bCs/>
                <w:kern w:val="0"/>
                <w:sz w:val="18"/>
                <w:szCs w:val="18"/>
              </w:rPr>
            </w:pPr>
            <w:r>
              <w:rPr>
                <w:rFonts w:hint="eastAsia" w:ascii="方正兰亭纤黑简体" w:hAnsi="仿宋" w:eastAsia="方正兰亭纤黑简体" w:cs="仿宋"/>
                <w:b/>
                <w:bCs/>
                <w:kern w:val="0"/>
                <w:sz w:val="18"/>
                <w:szCs w:val="18"/>
              </w:rPr>
              <w:t>慢行系统</w:t>
            </w:r>
          </w:p>
        </w:tc>
        <w:tc>
          <w:tcPr>
            <w:tcW w:w="3046"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立体过街设施数量（座）</w:t>
            </w:r>
          </w:p>
        </w:tc>
        <w:tc>
          <w:tcPr>
            <w:tcW w:w="1515"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预期性</w:t>
            </w:r>
          </w:p>
        </w:tc>
        <w:tc>
          <w:tcPr>
            <w:tcW w:w="1377"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2</w:t>
            </w:r>
          </w:p>
        </w:tc>
        <w:tc>
          <w:tcPr>
            <w:tcW w:w="1378"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blCellSpacing w:w="0" w:type="dxa"/>
          <w:jc w:val="center"/>
        </w:trPr>
        <w:tc>
          <w:tcPr>
            <w:tcW w:w="1223" w:type="dxa"/>
            <w:vMerge w:val="continue"/>
            <w:shd w:val="clear" w:color="auto" w:fill="FFFFFF"/>
            <w:tcMar>
              <w:left w:w="108" w:type="dxa"/>
              <w:right w:w="108" w:type="dxa"/>
            </w:tcMar>
            <w:vAlign w:val="center"/>
          </w:tcPr>
          <w:p>
            <w:pPr>
              <w:spacing w:line="240" w:lineRule="auto"/>
              <w:ind w:firstLine="0" w:firstLineChars="0"/>
              <w:jc w:val="center"/>
              <w:rPr>
                <w:rFonts w:ascii="方正兰亭纤黑简体" w:hAnsi="仿宋" w:eastAsia="方正兰亭纤黑简体" w:cs="仿宋"/>
                <w:b/>
                <w:bCs/>
                <w:kern w:val="0"/>
                <w:sz w:val="18"/>
                <w:szCs w:val="18"/>
              </w:rPr>
            </w:pPr>
          </w:p>
        </w:tc>
        <w:tc>
          <w:tcPr>
            <w:tcW w:w="3046"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新增步道里程（公里）</w:t>
            </w:r>
          </w:p>
        </w:tc>
        <w:tc>
          <w:tcPr>
            <w:tcW w:w="1515"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预期性</w:t>
            </w:r>
          </w:p>
        </w:tc>
        <w:tc>
          <w:tcPr>
            <w:tcW w:w="1377"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18</w:t>
            </w:r>
          </w:p>
        </w:tc>
        <w:tc>
          <w:tcPr>
            <w:tcW w:w="1378"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3</w:t>
            </w:r>
            <w:r>
              <w:rPr>
                <w:rFonts w:ascii="方正兰亭纤黑简体" w:hAnsi="仿宋" w:eastAsia="方正兰亭纤黑简体" w:cs="仿宋"/>
                <w:bCs/>
                <w:kern w:val="0"/>
                <w:sz w:val="18"/>
                <w:szCs w:val="18"/>
              </w:rPr>
              <w:t>7</w:t>
            </w:r>
            <w:r>
              <w:rPr>
                <w:rFonts w:hint="eastAsia" w:ascii="方正兰亭纤黑简体" w:hAnsi="仿宋" w:eastAsia="方正兰亭纤黑简体" w:cs="仿宋"/>
                <w:bCs/>
                <w:kern w:val="0"/>
                <w:sz w:val="18"/>
                <w:szCs w:val="18"/>
              </w:rPr>
              <w:t>.03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blCellSpacing w:w="0" w:type="dxa"/>
          <w:jc w:val="center"/>
        </w:trPr>
        <w:tc>
          <w:tcPr>
            <w:tcW w:w="1223" w:type="dxa"/>
            <w:shd w:val="clear" w:color="auto" w:fill="FFFFFF"/>
            <w:tcMar>
              <w:left w:w="108" w:type="dxa"/>
              <w:right w:w="108" w:type="dxa"/>
            </w:tcMar>
            <w:vAlign w:val="center"/>
          </w:tcPr>
          <w:p>
            <w:pPr>
              <w:spacing w:line="240" w:lineRule="auto"/>
              <w:ind w:firstLine="0" w:firstLineChars="0"/>
              <w:jc w:val="center"/>
              <w:rPr>
                <w:rFonts w:ascii="方正兰亭纤黑简体" w:hAnsi="仿宋" w:eastAsia="方正兰亭纤黑简体" w:cs="仿宋"/>
                <w:b/>
                <w:bCs/>
                <w:kern w:val="0"/>
                <w:sz w:val="18"/>
                <w:szCs w:val="18"/>
              </w:rPr>
            </w:pPr>
            <w:r>
              <w:rPr>
                <w:rFonts w:hint="eastAsia" w:ascii="方正兰亭纤黑简体" w:hAnsi="仿宋" w:eastAsia="方正兰亭纤黑简体" w:cs="仿宋"/>
                <w:b/>
                <w:bCs/>
                <w:kern w:val="0"/>
                <w:sz w:val="18"/>
                <w:szCs w:val="18"/>
              </w:rPr>
              <w:t>公共停</w:t>
            </w:r>
          </w:p>
          <w:p>
            <w:pPr>
              <w:spacing w:line="240" w:lineRule="auto"/>
              <w:ind w:firstLine="0" w:firstLineChars="0"/>
              <w:jc w:val="center"/>
              <w:rPr>
                <w:rFonts w:ascii="方正兰亭纤黑简体" w:hAnsi="仿宋" w:eastAsia="方正兰亭纤黑简体" w:cs="仿宋"/>
                <w:b/>
                <w:bCs/>
                <w:kern w:val="0"/>
                <w:sz w:val="18"/>
                <w:szCs w:val="18"/>
              </w:rPr>
            </w:pPr>
            <w:r>
              <w:rPr>
                <w:rFonts w:hint="eastAsia" w:ascii="方正兰亭纤黑简体" w:hAnsi="仿宋" w:eastAsia="方正兰亭纤黑简体" w:cs="仿宋"/>
                <w:b/>
                <w:bCs/>
                <w:kern w:val="0"/>
                <w:sz w:val="18"/>
                <w:szCs w:val="18"/>
              </w:rPr>
              <w:t>车场</w:t>
            </w:r>
          </w:p>
        </w:tc>
        <w:tc>
          <w:tcPr>
            <w:tcW w:w="3046"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公共停车场泊位（个）</w:t>
            </w:r>
          </w:p>
        </w:tc>
        <w:tc>
          <w:tcPr>
            <w:tcW w:w="1515"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预期性</w:t>
            </w:r>
          </w:p>
        </w:tc>
        <w:tc>
          <w:tcPr>
            <w:tcW w:w="1377"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6636</w:t>
            </w:r>
          </w:p>
        </w:tc>
        <w:tc>
          <w:tcPr>
            <w:tcW w:w="1378"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ascii="方正兰亭纤黑简体" w:hAnsi="仿宋" w:eastAsia="方正兰亭纤黑简体" w:cs="仿宋"/>
                <w:bCs/>
                <w:kern w:val="0"/>
                <w:sz w:val="18"/>
                <w:szCs w:val="18"/>
              </w:rPr>
              <w:t>7327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blCellSpacing w:w="0" w:type="dxa"/>
          <w:jc w:val="center"/>
        </w:trPr>
        <w:tc>
          <w:tcPr>
            <w:tcW w:w="1223" w:type="dxa"/>
            <w:vMerge w:val="restart"/>
            <w:shd w:val="clear" w:color="auto" w:fill="FFFFFF"/>
            <w:tcMar>
              <w:left w:w="108" w:type="dxa"/>
              <w:right w:w="108" w:type="dxa"/>
            </w:tcMar>
            <w:vAlign w:val="center"/>
          </w:tcPr>
          <w:p>
            <w:pPr>
              <w:spacing w:line="240" w:lineRule="auto"/>
              <w:ind w:firstLine="0" w:firstLineChars="0"/>
              <w:jc w:val="center"/>
              <w:rPr>
                <w:rFonts w:ascii="方正兰亭纤黑简体" w:hAnsi="仿宋" w:eastAsia="方正兰亭纤黑简体" w:cs="仿宋"/>
                <w:b/>
                <w:bCs/>
                <w:kern w:val="0"/>
                <w:sz w:val="18"/>
                <w:szCs w:val="18"/>
              </w:rPr>
            </w:pPr>
            <w:r>
              <w:rPr>
                <w:rFonts w:hint="eastAsia" w:ascii="方正兰亭纤黑简体" w:hAnsi="仿宋" w:eastAsia="方正兰亭纤黑简体" w:cs="仿宋"/>
                <w:b/>
                <w:bCs/>
                <w:kern w:val="0"/>
                <w:sz w:val="18"/>
                <w:szCs w:val="18"/>
              </w:rPr>
              <w:t>市政环卫设施</w:t>
            </w:r>
          </w:p>
        </w:tc>
        <w:tc>
          <w:tcPr>
            <w:tcW w:w="3046"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城市规划区内供水普及率（%）</w:t>
            </w:r>
          </w:p>
        </w:tc>
        <w:tc>
          <w:tcPr>
            <w:tcW w:w="1515"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预期性</w:t>
            </w:r>
          </w:p>
        </w:tc>
        <w:tc>
          <w:tcPr>
            <w:tcW w:w="1377"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w:t>
            </w:r>
          </w:p>
        </w:tc>
        <w:tc>
          <w:tcPr>
            <w:tcW w:w="1378"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blCellSpacing w:w="0" w:type="dxa"/>
          <w:jc w:val="center"/>
        </w:trPr>
        <w:tc>
          <w:tcPr>
            <w:tcW w:w="1223" w:type="dxa"/>
            <w:vMerge w:val="continue"/>
            <w:shd w:val="clear" w:color="auto" w:fill="FFFFFF"/>
            <w:tcMar>
              <w:left w:w="108" w:type="dxa"/>
              <w:right w:w="108" w:type="dxa"/>
            </w:tcMar>
            <w:vAlign w:val="center"/>
          </w:tcPr>
          <w:p>
            <w:pPr>
              <w:spacing w:line="240" w:lineRule="auto"/>
              <w:ind w:firstLine="0" w:firstLineChars="0"/>
              <w:jc w:val="center"/>
              <w:rPr>
                <w:rFonts w:ascii="方正兰亭纤黑简体" w:hAnsi="仿宋" w:eastAsia="方正兰亭纤黑简体" w:cs="仿宋"/>
                <w:b/>
                <w:bCs/>
                <w:kern w:val="0"/>
                <w:sz w:val="18"/>
                <w:szCs w:val="18"/>
              </w:rPr>
            </w:pPr>
          </w:p>
        </w:tc>
        <w:tc>
          <w:tcPr>
            <w:tcW w:w="3046"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rPr>
            </w:pPr>
            <w:r>
              <w:rPr>
                <w:rFonts w:hint="eastAsia" w:ascii="方正兰亭纤黑简体" w:hAnsi="仿宋" w:eastAsia="方正兰亭纤黑简体" w:cs="仿宋"/>
                <w:bCs/>
                <w:kern w:val="0"/>
                <w:sz w:val="18"/>
                <w:szCs w:val="18"/>
              </w:rPr>
              <w:t>供水管网漏损率（%）</w:t>
            </w:r>
          </w:p>
        </w:tc>
        <w:tc>
          <w:tcPr>
            <w:tcW w:w="1515"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预期性</w:t>
            </w:r>
          </w:p>
        </w:tc>
        <w:tc>
          <w:tcPr>
            <w:tcW w:w="1377"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w:t>
            </w:r>
          </w:p>
        </w:tc>
        <w:tc>
          <w:tcPr>
            <w:tcW w:w="1378"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blCellSpacing w:w="0" w:type="dxa"/>
          <w:jc w:val="center"/>
        </w:trPr>
        <w:tc>
          <w:tcPr>
            <w:tcW w:w="1223" w:type="dxa"/>
            <w:vMerge w:val="continue"/>
            <w:shd w:val="clear" w:color="auto" w:fill="FFFFFF"/>
            <w:tcMar>
              <w:left w:w="108" w:type="dxa"/>
              <w:right w:w="108" w:type="dxa"/>
            </w:tcMar>
            <w:vAlign w:val="center"/>
          </w:tcPr>
          <w:p>
            <w:pPr>
              <w:spacing w:line="240" w:lineRule="auto"/>
              <w:ind w:firstLine="0" w:firstLineChars="0"/>
              <w:jc w:val="center"/>
              <w:rPr>
                <w:rFonts w:ascii="方正兰亭纤黑简体" w:hAnsi="仿宋" w:eastAsia="方正兰亭纤黑简体" w:cs="仿宋"/>
                <w:b/>
                <w:bCs/>
                <w:kern w:val="0"/>
                <w:sz w:val="18"/>
                <w:szCs w:val="18"/>
              </w:rPr>
            </w:pPr>
          </w:p>
        </w:tc>
        <w:tc>
          <w:tcPr>
            <w:tcW w:w="3046"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城市生活污水集中收集率（%）</w:t>
            </w:r>
          </w:p>
        </w:tc>
        <w:tc>
          <w:tcPr>
            <w:tcW w:w="1515"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约束性</w:t>
            </w:r>
          </w:p>
        </w:tc>
        <w:tc>
          <w:tcPr>
            <w:tcW w:w="1377"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w:t>
            </w:r>
          </w:p>
        </w:tc>
        <w:tc>
          <w:tcPr>
            <w:tcW w:w="1378"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73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blCellSpacing w:w="0" w:type="dxa"/>
          <w:jc w:val="center"/>
        </w:trPr>
        <w:tc>
          <w:tcPr>
            <w:tcW w:w="1223" w:type="dxa"/>
            <w:vMerge w:val="continue"/>
            <w:shd w:val="clear" w:color="auto" w:fill="FFFFFF"/>
            <w:tcMar>
              <w:left w:w="108" w:type="dxa"/>
              <w:right w:w="108" w:type="dxa"/>
            </w:tcMar>
            <w:vAlign w:val="center"/>
          </w:tcPr>
          <w:p>
            <w:pPr>
              <w:spacing w:line="240" w:lineRule="auto"/>
              <w:ind w:firstLine="0" w:firstLineChars="0"/>
              <w:jc w:val="center"/>
              <w:rPr>
                <w:rFonts w:ascii="方正兰亭纤黑简体" w:hAnsi="仿宋" w:eastAsia="方正兰亭纤黑简体" w:cs="仿宋"/>
                <w:b/>
                <w:bCs/>
                <w:kern w:val="0"/>
                <w:sz w:val="18"/>
                <w:szCs w:val="18"/>
              </w:rPr>
            </w:pPr>
          </w:p>
        </w:tc>
        <w:tc>
          <w:tcPr>
            <w:tcW w:w="3046"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城市生活污水处理率（%）</w:t>
            </w:r>
          </w:p>
        </w:tc>
        <w:tc>
          <w:tcPr>
            <w:tcW w:w="1515"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约束性</w:t>
            </w:r>
          </w:p>
        </w:tc>
        <w:tc>
          <w:tcPr>
            <w:tcW w:w="1377"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＞95</w:t>
            </w:r>
          </w:p>
        </w:tc>
        <w:tc>
          <w:tcPr>
            <w:tcW w:w="1378"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blCellSpacing w:w="0" w:type="dxa"/>
          <w:jc w:val="center"/>
        </w:trPr>
        <w:tc>
          <w:tcPr>
            <w:tcW w:w="1223" w:type="dxa"/>
            <w:vMerge w:val="continue"/>
            <w:shd w:val="clear" w:color="auto" w:fill="FFFFFF"/>
            <w:tcMar>
              <w:left w:w="108" w:type="dxa"/>
              <w:right w:w="108" w:type="dxa"/>
            </w:tcMar>
            <w:vAlign w:val="center"/>
          </w:tcPr>
          <w:p>
            <w:pPr>
              <w:spacing w:line="240" w:lineRule="auto"/>
              <w:ind w:firstLine="0" w:firstLineChars="0"/>
              <w:jc w:val="center"/>
              <w:rPr>
                <w:rFonts w:ascii="方正兰亭纤黑简体" w:hAnsi="仿宋" w:eastAsia="方正兰亭纤黑简体" w:cs="仿宋"/>
                <w:b/>
                <w:bCs/>
                <w:kern w:val="0"/>
                <w:sz w:val="18"/>
                <w:szCs w:val="18"/>
              </w:rPr>
            </w:pPr>
          </w:p>
        </w:tc>
        <w:tc>
          <w:tcPr>
            <w:tcW w:w="3046"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污泥无害化处置率（%）</w:t>
            </w:r>
          </w:p>
        </w:tc>
        <w:tc>
          <w:tcPr>
            <w:tcW w:w="1515"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约束性</w:t>
            </w:r>
          </w:p>
        </w:tc>
        <w:tc>
          <w:tcPr>
            <w:tcW w:w="1377"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＞90</w:t>
            </w:r>
          </w:p>
        </w:tc>
        <w:tc>
          <w:tcPr>
            <w:tcW w:w="1378"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blCellSpacing w:w="0" w:type="dxa"/>
          <w:jc w:val="center"/>
        </w:trPr>
        <w:tc>
          <w:tcPr>
            <w:tcW w:w="1223" w:type="dxa"/>
            <w:vMerge w:val="restart"/>
            <w:shd w:val="clear" w:color="auto" w:fill="FFFFFF"/>
            <w:tcMar>
              <w:left w:w="108" w:type="dxa"/>
              <w:right w:w="108" w:type="dxa"/>
            </w:tcMar>
            <w:vAlign w:val="center"/>
          </w:tcPr>
          <w:p>
            <w:pPr>
              <w:spacing w:line="240" w:lineRule="auto"/>
              <w:ind w:firstLine="0" w:firstLineChars="0"/>
              <w:jc w:val="center"/>
              <w:rPr>
                <w:rFonts w:ascii="方正兰亭纤黑简体" w:hAnsi="仿宋" w:eastAsia="方正兰亭纤黑简体" w:cs="仿宋"/>
                <w:b/>
                <w:bCs/>
                <w:kern w:val="0"/>
                <w:sz w:val="18"/>
                <w:szCs w:val="18"/>
              </w:rPr>
            </w:pPr>
            <w:r>
              <w:rPr>
                <w:rFonts w:hint="eastAsia" w:ascii="方正兰亭纤黑简体" w:hAnsi="仿宋" w:eastAsia="方正兰亭纤黑简体" w:cs="仿宋"/>
                <w:b/>
                <w:bCs/>
                <w:kern w:val="0"/>
                <w:sz w:val="18"/>
                <w:szCs w:val="18"/>
              </w:rPr>
              <w:t>城市品质与生活环境</w:t>
            </w:r>
          </w:p>
        </w:tc>
        <w:tc>
          <w:tcPr>
            <w:tcW w:w="3046"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新建海绵城市占城市建成区比例（%）</w:t>
            </w:r>
          </w:p>
        </w:tc>
        <w:tc>
          <w:tcPr>
            <w:tcW w:w="1515"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约束性</w:t>
            </w:r>
          </w:p>
        </w:tc>
        <w:tc>
          <w:tcPr>
            <w:tcW w:w="1377"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20</w:t>
            </w:r>
          </w:p>
        </w:tc>
        <w:tc>
          <w:tcPr>
            <w:tcW w:w="1378"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blCellSpacing w:w="0" w:type="dxa"/>
          <w:jc w:val="center"/>
        </w:trPr>
        <w:tc>
          <w:tcPr>
            <w:tcW w:w="1223" w:type="dxa"/>
            <w:vMerge w:val="continue"/>
            <w:shd w:val="clear" w:color="auto" w:fill="FFFFFF"/>
            <w:tcMar>
              <w:left w:w="108" w:type="dxa"/>
              <w:right w:w="108" w:type="dxa"/>
            </w:tcMar>
            <w:vAlign w:val="center"/>
          </w:tcPr>
          <w:p>
            <w:pPr>
              <w:spacing w:line="240" w:lineRule="auto"/>
              <w:ind w:firstLine="0" w:firstLineChars="0"/>
              <w:jc w:val="center"/>
              <w:rPr>
                <w:rFonts w:ascii="方正兰亭纤黑简体" w:hAnsi="仿宋" w:eastAsia="方正兰亭纤黑简体" w:cs="仿宋"/>
                <w:b/>
                <w:bCs/>
                <w:kern w:val="0"/>
                <w:sz w:val="18"/>
                <w:szCs w:val="18"/>
              </w:rPr>
            </w:pPr>
          </w:p>
        </w:tc>
        <w:tc>
          <w:tcPr>
            <w:tcW w:w="3046"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地表水考核断面水质达标率（%）</w:t>
            </w:r>
          </w:p>
        </w:tc>
        <w:tc>
          <w:tcPr>
            <w:tcW w:w="1515"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约束性</w:t>
            </w:r>
          </w:p>
        </w:tc>
        <w:tc>
          <w:tcPr>
            <w:tcW w:w="1377"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100</w:t>
            </w:r>
          </w:p>
        </w:tc>
        <w:tc>
          <w:tcPr>
            <w:tcW w:w="1378"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blCellSpacing w:w="0" w:type="dxa"/>
          <w:jc w:val="center"/>
        </w:trPr>
        <w:tc>
          <w:tcPr>
            <w:tcW w:w="1223" w:type="dxa"/>
            <w:vMerge w:val="continue"/>
            <w:shd w:val="clear" w:color="auto" w:fill="FFFFFF"/>
            <w:tcMar>
              <w:left w:w="108" w:type="dxa"/>
              <w:right w:w="108" w:type="dxa"/>
            </w:tcMar>
            <w:vAlign w:val="center"/>
          </w:tcPr>
          <w:p>
            <w:pPr>
              <w:spacing w:line="240" w:lineRule="auto"/>
              <w:ind w:firstLine="0" w:firstLineChars="0"/>
              <w:jc w:val="center"/>
              <w:rPr>
                <w:rFonts w:ascii="方正兰亭纤黑简体" w:hAnsi="仿宋" w:eastAsia="方正兰亭纤黑简体" w:cs="仿宋"/>
                <w:b/>
                <w:bCs/>
                <w:kern w:val="0"/>
                <w:sz w:val="18"/>
                <w:szCs w:val="18"/>
              </w:rPr>
            </w:pPr>
          </w:p>
        </w:tc>
        <w:tc>
          <w:tcPr>
            <w:tcW w:w="3046"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城镇建成区绿化覆盖率（%）</w:t>
            </w:r>
          </w:p>
        </w:tc>
        <w:tc>
          <w:tcPr>
            <w:tcW w:w="1515"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预期性</w:t>
            </w:r>
          </w:p>
        </w:tc>
        <w:tc>
          <w:tcPr>
            <w:tcW w:w="1377"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47.04</w:t>
            </w:r>
          </w:p>
        </w:tc>
        <w:tc>
          <w:tcPr>
            <w:tcW w:w="1378"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blCellSpacing w:w="0" w:type="dxa"/>
          <w:jc w:val="center"/>
        </w:trPr>
        <w:tc>
          <w:tcPr>
            <w:tcW w:w="1223" w:type="dxa"/>
            <w:vMerge w:val="continue"/>
            <w:shd w:val="clear" w:color="auto" w:fill="FFFFFF"/>
            <w:tcMar>
              <w:left w:w="108" w:type="dxa"/>
              <w:right w:w="108" w:type="dxa"/>
            </w:tcMar>
            <w:vAlign w:val="center"/>
          </w:tcPr>
          <w:p>
            <w:pPr>
              <w:spacing w:line="240" w:lineRule="auto"/>
              <w:ind w:firstLine="0" w:firstLineChars="0"/>
              <w:jc w:val="center"/>
              <w:rPr>
                <w:rFonts w:ascii="方正兰亭纤黑简体" w:hAnsi="仿宋" w:eastAsia="方正兰亭纤黑简体" w:cs="仿宋"/>
                <w:b/>
                <w:bCs/>
                <w:kern w:val="0"/>
                <w:sz w:val="18"/>
                <w:szCs w:val="18"/>
              </w:rPr>
            </w:pPr>
          </w:p>
        </w:tc>
        <w:tc>
          <w:tcPr>
            <w:tcW w:w="3046"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老旧小区改造面积（万平方米）</w:t>
            </w:r>
          </w:p>
        </w:tc>
        <w:tc>
          <w:tcPr>
            <w:tcW w:w="1515"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预期性</w:t>
            </w:r>
          </w:p>
        </w:tc>
        <w:tc>
          <w:tcPr>
            <w:tcW w:w="1377"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99.13</w:t>
            </w:r>
          </w:p>
        </w:tc>
        <w:tc>
          <w:tcPr>
            <w:tcW w:w="1378"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478.44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blCellSpacing w:w="0" w:type="dxa"/>
          <w:jc w:val="center"/>
        </w:trPr>
        <w:tc>
          <w:tcPr>
            <w:tcW w:w="1223" w:type="dxa"/>
            <w:vMerge w:val="restart"/>
            <w:shd w:val="clear" w:color="auto" w:fill="FFFFFF"/>
            <w:tcMar>
              <w:left w:w="108" w:type="dxa"/>
              <w:right w:w="108" w:type="dxa"/>
            </w:tcMar>
            <w:vAlign w:val="center"/>
          </w:tcPr>
          <w:p>
            <w:pPr>
              <w:spacing w:line="240" w:lineRule="auto"/>
              <w:ind w:firstLine="0" w:firstLineChars="0"/>
              <w:jc w:val="center"/>
              <w:rPr>
                <w:rFonts w:ascii="方正兰亭纤黑简体" w:hAnsi="仿宋" w:eastAsia="方正兰亭纤黑简体" w:cs="仿宋"/>
                <w:b/>
                <w:bCs/>
                <w:kern w:val="0"/>
                <w:sz w:val="18"/>
                <w:szCs w:val="18"/>
              </w:rPr>
            </w:pPr>
            <w:r>
              <w:rPr>
                <w:rFonts w:hint="eastAsia" w:ascii="方正兰亭纤黑简体" w:hAnsi="仿宋" w:eastAsia="方正兰亭纤黑简体" w:cs="仿宋"/>
                <w:b/>
                <w:bCs/>
                <w:kern w:val="0"/>
                <w:sz w:val="18"/>
                <w:szCs w:val="18"/>
              </w:rPr>
              <w:t>城市能源安全</w:t>
            </w:r>
          </w:p>
        </w:tc>
        <w:tc>
          <w:tcPr>
            <w:tcW w:w="3046" w:type="dxa"/>
            <w:shd w:val="clear" w:color="auto" w:fill="FFFFFF"/>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配电网供电可靠率（%），</w:t>
            </w:r>
          </w:p>
        </w:tc>
        <w:tc>
          <w:tcPr>
            <w:tcW w:w="1515"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预期性</w:t>
            </w:r>
          </w:p>
        </w:tc>
        <w:tc>
          <w:tcPr>
            <w:tcW w:w="1377" w:type="dxa"/>
            <w:shd w:val="clear" w:color="auto" w:fill="FFFFFF"/>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99.901</w:t>
            </w:r>
          </w:p>
        </w:tc>
        <w:tc>
          <w:tcPr>
            <w:tcW w:w="1378" w:type="dxa"/>
            <w:shd w:val="clear" w:color="auto" w:fill="FFFFFF"/>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99.9548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blCellSpacing w:w="0" w:type="dxa"/>
          <w:jc w:val="center"/>
        </w:trPr>
        <w:tc>
          <w:tcPr>
            <w:tcW w:w="1223" w:type="dxa"/>
            <w:vMerge w:val="continue"/>
            <w:shd w:val="clear" w:color="auto" w:fill="FFFFFF"/>
            <w:tcMar>
              <w:left w:w="108" w:type="dxa"/>
              <w:right w:w="108" w:type="dxa"/>
            </w:tcMar>
            <w:vAlign w:val="center"/>
          </w:tcPr>
          <w:p>
            <w:pPr>
              <w:spacing w:line="240" w:lineRule="auto"/>
              <w:ind w:firstLine="0" w:firstLineChars="0"/>
              <w:jc w:val="center"/>
              <w:rPr>
                <w:rFonts w:ascii="方正兰亭纤黑简体" w:hAnsi="仿宋" w:eastAsia="方正兰亭纤黑简体" w:cs="仿宋"/>
                <w:b/>
                <w:bCs/>
                <w:kern w:val="0"/>
                <w:sz w:val="18"/>
                <w:szCs w:val="18"/>
              </w:rPr>
            </w:pPr>
          </w:p>
        </w:tc>
        <w:tc>
          <w:tcPr>
            <w:tcW w:w="3046" w:type="dxa"/>
            <w:shd w:val="clear" w:color="auto" w:fill="FFFFFF"/>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变电容量增长幅度（%）</w:t>
            </w:r>
          </w:p>
        </w:tc>
        <w:tc>
          <w:tcPr>
            <w:tcW w:w="1515"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预期性</w:t>
            </w:r>
          </w:p>
        </w:tc>
        <w:tc>
          <w:tcPr>
            <w:tcW w:w="1377" w:type="dxa"/>
            <w:shd w:val="clear" w:color="auto" w:fill="FFFFFF"/>
            <w:tcMar>
              <w:left w:w="108" w:type="dxa"/>
              <w:right w:w="108" w:type="dxa"/>
            </w:tcMar>
            <w:vAlign w:val="center"/>
          </w:tcPr>
          <w:p>
            <w:pPr>
              <w:pStyle w:val="20"/>
              <w:widowControl/>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20.34%</w:t>
            </w:r>
          </w:p>
        </w:tc>
        <w:tc>
          <w:tcPr>
            <w:tcW w:w="1378"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36.67%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blCellSpacing w:w="0" w:type="dxa"/>
          <w:jc w:val="center"/>
        </w:trPr>
        <w:tc>
          <w:tcPr>
            <w:tcW w:w="1223" w:type="dxa"/>
            <w:vMerge w:val="restart"/>
            <w:shd w:val="clear" w:color="auto" w:fill="FFFFFF"/>
            <w:tcMar>
              <w:left w:w="108" w:type="dxa"/>
              <w:right w:w="108" w:type="dxa"/>
            </w:tcMar>
            <w:vAlign w:val="center"/>
          </w:tcPr>
          <w:p>
            <w:pPr>
              <w:spacing w:line="240" w:lineRule="auto"/>
              <w:ind w:firstLine="0" w:firstLineChars="0"/>
              <w:jc w:val="center"/>
              <w:rPr>
                <w:rFonts w:ascii="方正兰亭纤黑简体" w:hAnsi="仿宋" w:eastAsia="方正兰亭纤黑简体" w:cs="仿宋"/>
                <w:b/>
                <w:bCs/>
                <w:kern w:val="0"/>
                <w:sz w:val="18"/>
                <w:szCs w:val="18"/>
              </w:rPr>
            </w:pPr>
            <w:r>
              <w:rPr>
                <w:rFonts w:hint="eastAsia" w:ascii="方正兰亭纤黑简体" w:hAnsi="仿宋" w:eastAsia="方正兰亭纤黑简体" w:cs="仿宋"/>
                <w:b/>
                <w:bCs/>
                <w:kern w:val="0"/>
                <w:sz w:val="18"/>
                <w:szCs w:val="18"/>
              </w:rPr>
              <w:t>新基建</w:t>
            </w:r>
          </w:p>
          <w:p>
            <w:pPr>
              <w:spacing w:line="240" w:lineRule="auto"/>
              <w:ind w:firstLine="0" w:firstLineChars="0"/>
              <w:jc w:val="center"/>
              <w:rPr>
                <w:rFonts w:ascii="方正兰亭纤黑简体" w:hAnsi="仿宋" w:eastAsia="方正兰亭纤黑简体" w:cs="仿宋"/>
                <w:b/>
                <w:bCs/>
                <w:kern w:val="0"/>
                <w:sz w:val="18"/>
                <w:szCs w:val="18"/>
              </w:rPr>
            </w:pPr>
            <w:r>
              <w:rPr>
                <w:rFonts w:hint="eastAsia" w:ascii="方正兰亭纤黑简体" w:hAnsi="仿宋" w:eastAsia="方正兰亭纤黑简体" w:cs="仿宋"/>
                <w:b/>
                <w:bCs/>
                <w:kern w:val="0"/>
                <w:sz w:val="18"/>
                <w:szCs w:val="18"/>
              </w:rPr>
              <w:t>设施</w:t>
            </w:r>
          </w:p>
        </w:tc>
        <w:tc>
          <w:tcPr>
            <w:tcW w:w="3046"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千兆以上宽带用户数（户）</w:t>
            </w:r>
          </w:p>
        </w:tc>
        <w:tc>
          <w:tcPr>
            <w:tcW w:w="1515"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预期性</w:t>
            </w:r>
          </w:p>
        </w:tc>
        <w:tc>
          <w:tcPr>
            <w:tcW w:w="1377"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1200</w:t>
            </w:r>
          </w:p>
        </w:tc>
        <w:tc>
          <w:tcPr>
            <w:tcW w:w="1378"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15000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blCellSpacing w:w="0" w:type="dxa"/>
          <w:jc w:val="center"/>
        </w:trPr>
        <w:tc>
          <w:tcPr>
            <w:tcW w:w="1223" w:type="dxa"/>
            <w:vMerge w:val="continue"/>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
                <w:bCs/>
                <w:kern w:val="0"/>
                <w:sz w:val="18"/>
                <w:szCs w:val="18"/>
              </w:rPr>
            </w:pPr>
          </w:p>
        </w:tc>
        <w:tc>
          <w:tcPr>
            <w:tcW w:w="3046"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5G基站数（个）</w:t>
            </w:r>
          </w:p>
        </w:tc>
        <w:tc>
          <w:tcPr>
            <w:tcW w:w="1515"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预期性</w:t>
            </w:r>
          </w:p>
        </w:tc>
        <w:tc>
          <w:tcPr>
            <w:tcW w:w="1377"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1047</w:t>
            </w:r>
          </w:p>
        </w:tc>
        <w:tc>
          <w:tcPr>
            <w:tcW w:w="1378"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ascii="方正兰亭纤黑简体" w:hAnsi="仿宋" w:eastAsia="方正兰亭纤黑简体" w:cs="仿宋"/>
                <w:bCs/>
                <w:kern w:val="0"/>
                <w:sz w:val="18"/>
                <w:szCs w:val="18"/>
              </w:rPr>
              <w:t>3650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blCellSpacing w:w="0" w:type="dxa"/>
          <w:jc w:val="center"/>
        </w:trPr>
        <w:tc>
          <w:tcPr>
            <w:tcW w:w="1223" w:type="dxa"/>
            <w:vMerge w:val="restart"/>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
                <w:bCs/>
                <w:kern w:val="0"/>
                <w:sz w:val="18"/>
                <w:szCs w:val="18"/>
              </w:rPr>
            </w:pPr>
            <w:r>
              <w:rPr>
                <w:rFonts w:hint="eastAsia" w:ascii="方正兰亭纤黑简体" w:hAnsi="仿宋" w:eastAsia="方正兰亭纤黑简体" w:cs="仿宋"/>
                <w:b/>
                <w:bCs/>
                <w:kern w:val="0"/>
                <w:sz w:val="18"/>
                <w:szCs w:val="18"/>
              </w:rPr>
              <w:t>城市应急防洪减灾</w:t>
            </w:r>
          </w:p>
        </w:tc>
        <w:tc>
          <w:tcPr>
            <w:tcW w:w="3046"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城区人口人均防护面积（平方米）</w:t>
            </w:r>
          </w:p>
        </w:tc>
        <w:tc>
          <w:tcPr>
            <w:tcW w:w="1515"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约束性</w:t>
            </w:r>
          </w:p>
        </w:tc>
        <w:tc>
          <w:tcPr>
            <w:tcW w:w="1377"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w:t>
            </w:r>
          </w:p>
        </w:tc>
        <w:tc>
          <w:tcPr>
            <w:tcW w:w="1378"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blCellSpacing w:w="0" w:type="dxa"/>
          <w:jc w:val="center"/>
        </w:trPr>
        <w:tc>
          <w:tcPr>
            <w:tcW w:w="1223" w:type="dxa"/>
            <w:vMerge w:val="continue"/>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p>
        </w:tc>
        <w:tc>
          <w:tcPr>
            <w:tcW w:w="3046"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市政消火栓建有率（%）</w:t>
            </w:r>
          </w:p>
        </w:tc>
        <w:tc>
          <w:tcPr>
            <w:tcW w:w="1515"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预期性</w:t>
            </w:r>
          </w:p>
        </w:tc>
        <w:tc>
          <w:tcPr>
            <w:tcW w:w="1377"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100</w:t>
            </w:r>
          </w:p>
        </w:tc>
        <w:tc>
          <w:tcPr>
            <w:tcW w:w="1378"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blCellSpacing w:w="0" w:type="dxa"/>
          <w:jc w:val="center"/>
        </w:trPr>
        <w:tc>
          <w:tcPr>
            <w:tcW w:w="1223" w:type="dxa"/>
            <w:vMerge w:val="continue"/>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p>
        </w:tc>
        <w:tc>
          <w:tcPr>
            <w:tcW w:w="3046"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市政消火栓完好率（%）</w:t>
            </w:r>
          </w:p>
        </w:tc>
        <w:tc>
          <w:tcPr>
            <w:tcW w:w="1515"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预期性</w:t>
            </w:r>
          </w:p>
        </w:tc>
        <w:tc>
          <w:tcPr>
            <w:tcW w:w="1377"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98</w:t>
            </w:r>
          </w:p>
        </w:tc>
        <w:tc>
          <w:tcPr>
            <w:tcW w:w="1378"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trHeight w:val="454" w:hRule="atLeast"/>
          <w:tblCellSpacing w:w="0" w:type="dxa"/>
          <w:jc w:val="center"/>
        </w:trPr>
        <w:tc>
          <w:tcPr>
            <w:tcW w:w="1223" w:type="dxa"/>
            <w:vMerge w:val="continue"/>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p>
        </w:tc>
        <w:tc>
          <w:tcPr>
            <w:tcW w:w="3046"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5级以上江河堤防达标率（%）</w:t>
            </w:r>
          </w:p>
        </w:tc>
        <w:tc>
          <w:tcPr>
            <w:tcW w:w="1515"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预期性</w:t>
            </w:r>
          </w:p>
        </w:tc>
        <w:tc>
          <w:tcPr>
            <w:tcW w:w="1377"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86</w:t>
            </w:r>
          </w:p>
        </w:tc>
        <w:tc>
          <w:tcPr>
            <w:tcW w:w="1378" w:type="dxa"/>
            <w:shd w:val="clear" w:color="auto" w:fill="FFFFFF"/>
            <w:tcMar>
              <w:left w:w="108" w:type="dxa"/>
              <w:right w:w="108" w:type="dxa"/>
            </w:tcMar>
            <w:vAlign w:val="center"/>
          </w:tcPr>
          <w:p>
            <w:pPr>
              <w:pStyle w:val="20"/>
              <w:widowControl/>
              <w:adjustRightInd w:val="0"/>
              <w:spacing w:line="240" w:lineRule="auto"/>
              <w:ind w:firstLine="0" w:firstLineChars="0"/>
              <w:jc w:val="center"/>
              <w:rPr>
                <w:rFonts w:ascii="方正兰亭纤黑简体" w:hAnsi="仿宋" w:eastAsia="方正兰亭纤黑简体" w:cs="仿宋"/>
                <w:bCs/>
                <w:kern w:val="0"/>
                <w:sz w:val="18"/>
                <w:szCs w:val="18"/>
              </w:rPr>
            </w:pPr>
            <w:r>
              <w:rPr>
                <w:rFonts w:hint="eastAsia" w:ascii="方正兰亭纤黑简体" w:hAnsi="仿宋" w:eastAsia="方正兰亭纤黑简体" w:cs="仿宋"/>
                <w:bCs/>
                <w:kern w:val="0"/>
                <w:sz w:val="18"/>
                <w:szCs w:val="18"/>
              </w:rPr>
              <w:t>89</w:t>
            </w:r>
          </w:p>
        </w:tc>
      </w:tr>
    </w:tbl>
    <w:p>
      <w:pPr>
        <w:ind w:firstLine="640"/>
        <w:rPr>
          <w:rFonts w:ascii="方正兰亭纤黑简体" w:hAnsi="仿宋" w:eastAsia="方正兰亭纤黑简体" w:cs="仿宋"/>
        </w:rPr>
      </w:pPr>
      <w:r>
        <w:rPr>
          <w:rFonts w:hint="eastAsia" w:ascii="方正兰亭纤黑简体" w:hAnsi="仿宋" w:eastAsia="方正兰亭纤黑简体" w:cs="仿宋"/>
        </w:rPr>
        <w:br w:type="page"/>
      </w:r>
    </w:p>
    <w:p>
      <w:pPr>
        <w:pStyle w:val="4"/>
        <w:ind w:left="0"/>
        <w:rPr>
          <w:rFonts w:ascii="方正兰亭纤黑简体" w:hAnsi="仿宋" w:eastAsia="方正兰亭纤黑简体" w:cs="仿宋"/>
          <w:b/>
          <w:bCs w:val="0"/>
          <w:sz w:val="28"/>
          <w:szCs w:val="24"/>
        </w:rPr>
      </w:pPr>
      <w:bookmarkStart w:id="75" w:name="_Toc109981078"/>
      <w:bookmarkStart w:id="76" w:name="_Toc32443"/>
      <w:r>
        <w:rPr>
          <w:rFonts w:hint="eastAsia" w:ascii="方正兰亭纤黑简体" w:hAnsi="仿宋" w:eastAsia="方正兰亭纤黑简体" w:cs="仿宋"/>
          <w:b/>
          <w:bCs w:val="0"/>
          <w:sz w:val="28"/>
          <w:szCs w:val="24"/>
        </w:rPr>
        <w:t>建强成渝桥头堡，做靓石刻文化城</w:t>
      </w:r>
      <w:bookmarkEnd w:id="75"/>
      <w:bookmarkEnd w:id="76"/>
    </w:p>
    <w:p>
      <w:pPr>
        <w:adjustRightInd w:val="0"/>
        <w:snapToGrid w:val="0"/>
        <w:spacing w:line="594" w:lineRule="exact"/>
        <w:ind w:firstLine="560"/>
        <w:rPr>
          <w:rFonts w:ascii="方正兰亭纤黑简体" w:hAnsi="仿宋" w:eastAsia="方正兰亭纤黑简体" w:cs="仿宋"/>
          <w:sz w:val="28"/>
        </w:rPr>
      </w:pPr>
      <w:r>
        <w:rPr>
          <w:rFonts w:hint="eastAsia" w:ascii="方正兰亭纤黑简体" w:hAnsi="仿宋" w:eastAsia="方正兰亭纤黑简体" w:cs="仿宋"/>
          <w:sz w:val="28"/>
        </w:rPr>
        <w:t>随着西部大开发、推动长江经济带发展、成渝地区双城经济圈建设等重大国家战略和共建“一带一路”倡议的深入实施，尤其是双高铁时代全面来临、交通能级显著提升，处于成渝相向发展战略腹地和重庆主城都市区桥头堡的大足，正立于崛起跨越的新潮头，迎来大有可为的新阶段。提振“精气神”，打好“文旅牌”，建强桥头堡，在现代化建设新征程中铸就大足新辉煌。以建设高质量基础设施体系为目标，统筹城市基础设施存量和增量、传统和新型，夯实基础，优化结构，完善体系，提质增效，为经济社会全面发展提供基础支撑。</w:t>
      </w:r>
    </w:p>
    <w:p>
      <w:pPr>
        <w:pStyle w:val="5"/>
        <w:ind w:left="0"/>
        <w:rPr>
          <w:rFonts w:ascii="方正兰亭纤黑简体" w:hAnsi="仿宋" w:eastAsia="方正兰亭纤黑简体" w:cs="仿宋"/>
          <w:b/>
          <w:bCs w:val="0"/>
        </w:rPr>
      </w:pPr>
      <w:bookmarkStart w:id="77" w:name="_Toc17274"/>
      <w:bookmarkStart w:id="78" w:name="_Toc109981079"/>
      <w:r>
        <w:rPr>
          <w:rFonts w:hint="eastAsia" w:ascii="方正兰亭纤黑简体" w:hAnsi="仿宋" w:eastAsia="方正兰亭纤黑简体" w:cs="仿宋"/>
          <w:b/>
          <w:bCs w:val="0"/>
        </w:rPr>
        <w:t>构建开放合作新格局</w:t>
      </w:r>
      <w:bookmarkEnd w:id="77"/>
      <w:bookmarkEnd w:id="78"/>
    </w:p>
    <w:p>
      <w:pPr>
        <w:adjustRightInd w:val="0"/>
        <w:snapToGrid w:val="0"/>
        <w:spacing w:line="594" w:lineRule="exact"/>
        <w:ind w:firstLine="560"/>
        <w:rPr>
          <w:rFonts w:ascii="方正兰亭纤黑简体" w:hAnsi="仿宋" w:eastAsia="方正兰亭纤黑简体" w:cs="仿宋"/>
          <w:sz w:val="28"/>
        </w:rPr>
      </w:pPr>
      <w:r>
        <w:rPr>
          <w:rFonts w:hint="eastAsia" w:ascii="方正兰亭纤黑简体" w:hAnsi="仿宋" w:eastAsia="方正兰亭纤黑简体" w:cs="仿宋"/>
          <w:sz w:val="28"/>
        </w:rPr>
        <w:t>大足作为主城都市区“桥头堡”城市，是双城经济圈建设的“先手棋”和“排头兵”，区域一体化发展的“重头戏”和“示范区”，唱好“双城记”、共建经济圈、当好桥头堡，集中精力办好自己的事情，齐心协力办好合作的事情，在协同发展中实现互利共赢。</w:t>
      </w:r>
    </w:p>
    <w:p>
      <w:pPr>
        <w:pStyle w:val="2"/>
        <w:ind w:firstLine="560"/>
        <w:rPr>
          <w:rFonts w:ascii="方正兰亭纤黑简体" w:hAnsi="仿宋" w:eastAsia="方正兰亭纤黑简体" w:cs="仿宋"/>
          <w:sz w:val="28"/>
        </w:rPr>
      </w:pPr>
      <w:r>
        <w:rPr>
          <w:rFonts w:hint="eastAsia" w:ascii="方正兰亭纤黑简体" w:hAnsi="仿宋" w:eastAsia="方正兰亭纤黑简体" w:cs="仿宋"/>
          <w:sz w:val="28"/>
        </w:rPr>
        <w:t>加快提升“双城经济圈”互联互通水平。积极推动基础设施一体化规划、建设、运营，打通内外循环，优化供给方式，加快完善“生活圈”“通勤圈”，推动交通运输从适应型向引领型转变。依托成渝中线高铁，打通贯穿大足中部、南部的综合交通走廊，实现“桥头堡”城市与重庆中心城区和成都之间一小时通勤。推动重庆至自贡至乐山城际（渝自</w:t>
      </w:r>
      <w:r>
        <w:rPr>
          <w:rFonts w:ascii="方正兰亭纤黑简体" w:hAnsi="仿宋" w:eastAsia="方正兰亭纤黑简体" w:cs="仿宋"/>
          <w:sz w:val="28"/>
        </w:rPr>
        <w:t>城际</w:t>
      </w:r>
      <w:r>
        <w:rPr>
          <w:rFonts w:hint="eastAsia" w:ascii="方正兰亭纤黑简体" w:hAnsi="仿宋" w:eastAsia="方正兰亭纤黑简体" w:cs="仿宋"/>
          <w:sz w:val="28"/>
        </w:rPr>
        <w:t>）、汉中至南充至潼南至铜梁至大足至荣昌至泸州铁路（南大泸铁路）规划建设，加强与资阳、南充、遂宁、内江、泸州等毗邻地区及与永川、合川等支点城市间互联互通，拓展大足“一小时经济圈”，建成区域性综合交通枢纽。以主城都市区同城化为目标，统筹推进市域（郊）铁路璧山至大足（C3线）、市域（郊）铁路合大线（C8线）,并积极推动建设中心城区至大足融城快速通道。</w:t>
      </w:r>
    </w:p>
    <w:p>
      <w:pPr>
        <w:pStyle w:val="2"/>
        <w:ind w:firstLine="560"/>
        <w:rPr>
          <w:rFonts w:ascii="方正兰亭纤黑简体" w:hAnsi="仿宋" w:eastAsia="方正兰亭纤黑简体" w:cs="仿宋"/>
          <w:sz w:val="28"/>
        </w:rPr>
      </w:pPr>
      <w:r>
        <w:rPr>
          <w:rFonts w:hint="eastAsia" w:ascii="方正兰亭纤黑简体" w:hAnsi="仿宋" w:eastAsia="方正兰亭纤黑简体" w:cs="仿宋"/>
          <w:sz w:val="28"/>
        </w:rPr>
        <w:t>大力完善城市交通设施建设。围绕老马路、老街巷等存量道路资源，实施微更新、微循环、微改造，持续推进未贯通道路建设，以“小手术”服务“大民生”，打造“马路上的老城区”。着力完善片区次支路网，结合各片区开发建设情况，采用“分片区、因地施策”的原则，加快片区次支路网建设。加快完善立体过街设施建设；全面提速公共停车场建设，进一步缓解城区“停车难”问题。</w:t>
      </w:r>
    </w:p>
    <w:p>
      <w:pPr>
        <w:pStyle w:val="5"/>
        <w:ind w:left="0"/>
        <w:rPr>
          <w:rFonts w:ascii="方正兰亭纤黑简体" w:hAnsi="仿宋" w:eastAsia="方正兰亭纤黑简体" w:cs="仿宋"/>
          <w:b/>
          <w:bCs w:val="0"/>
        </w:rPr>
      </w:pPr>
      <w:bookmarkStart w:id="79" w:name="_Toc109981080"/>
      <w:bookmarkStart w:id="80" w:name="_Toc4341"/>
      <w:r>
        <w:rPr>
          <w:rFonts w:hint="eastAsia" w:ascii="方正兰亭纤黑简体" w:hAnsi="仿宋" w:eastAsia="方正兰亭纤黑简体" w:cs="仿宋"/>
          <w:b/>
          <w:bCs w:val="0"/>
        </w:rPr>
        <w:t>做靓大足石刻文化</w:t>
      </w:r>
      <w:bookmarkEnd w:id="79"/>
      <w:r>
        <w:rPr>
          <w:rFonts w:hint="eastAsia" w:ascii="方正兰亭纤黑简体" w:hAnsi="仿宋" w:eastAsia="方正兰亭纤黑简体" w:cs="仿宋"/>
          <w:b/>
          <w:bCs w:val="0"/>
        </w:rPr>
        <w:t>城</w:t>
      </w:r>
      <w:bookmarkEnd w:id="80"/>
    </w:p>
    <w:p>
      <w:pPr>
        <w:pStyle w:val="2"/>
        <w:ind w:firstLine="560"/>
        <w:rPr>
          <w:rFonts w:ascii="方正兰亭纤黑简体" w:hAnsi="仿宋" w:eastAsia="方正兰亭纤黑简体" w:cs="仿宋"/>
          <w:sz w:val="28"/>
        </w:rPr>
      </w:pPr>
      <w:r>
        <w:rPr>
          <w:rFonts w:hint="eastAsia" w:ascii="方正兰亭纤黑简体" w:hAnsi="仿宋" w:eastAsia="方正兰亭纤黑简体" w:cs="仿宋"/>
          <w:sz w:val="28"/>
        </w:rPr>
        <w:t>充分发挥文化资源优势，把保护好研究好利用好大足石刻作为谋划推进大足发展的首要战略，让拥有千年历史的文化瑰宝活在当下、服务当代，让更多游客在大足留“足”。擦亮大足石刻金字名片，坚持高点定位，对标国际一流，加快打造国际知名旅游地，全力做靓近悦远来、享誉世界的文化会客厅，建设成为国际文旅名城。</w:t>
      </w:r>
    </w:p>
    <w:p>
      <w:pPr>
        <w:pStyle w:val="2"/>
        <w:ind w:firstLine="560"/>
        <w:rPr>
          <w:rFonts w:ascii="方正兰亭纤黑简体" w:hAnsi="仿宋" w:eastAsia="方正兰亭纤黑简体" w:cs="仿宋"/>
          <w:sz w:val="28"/>
        </w:rPr>
      </w:pPr>
      <w:r>
        <w:rPr>
          <w:rFonts w:hint="eastAsia" w:ascii="方正兰亭纤黑简体" w:hAnsi="仿宋" w:eastAsia="方正兰亭纤黑简体" w:cs="仿宋"/>
          <w:sz w:val="28"/>
        </w:rPr>
        <w:t>充分发挥石刻文化优势，全力建设大足石刻文化公园城市。坚持传承弘扬、文旅融合，把一方山水保护好，把一脉文化传承好，回眸千年、展望百年，建立大足石刻文化传承体系，全力建设大足石刻文化公园城市。以高铁大足石刻站为基点，充分利用高铁优势，集聚发展高铁经济，建设站城一体、产城景文融合发展的“未来城市封面”——北厅-文旅服务区。</w:t>
      </w:r>
    </w:p>
    <w:p>
      <w:pPr>
        <w:pStyle w:val="2"/>
        <w:ind w:firstLine="560"/>
        <w:rPr>
          <w:rFonts w:ascii="方正兰亭纤黑简体" w:hAnsi="仿宋" w:eastAsia="方正兰亭纤黑简体" w:cs="仿宋"/>
          <w:sz w:val="28"/>
        </w:rPr>
      </w:pPr>
      <w:r>
        <w:rPr>
          <w:rFonts w:hint="eastAsia" w:ascii="方正兰亭纤黑简体" w:hAnsi="仿宋" w:eastAsia="方正兰亭纤黑简体" w:cs="仿宋"/>
          <w:sz w:val="28"/>
        </w:rPr>
        <w:t>助力文旅景区提档升级，加强文旅资源互通互联。高标准建设一体化建设旅游综合体，高品质打造生态康养圣地，高起点打造古建筑博览园，促进文旅融合民宿配套发展。同时依托高铁站、宝顶石刻优势资源，打造轨道上的旅游观光线路，实现宝顶山、北山、南山联动；强化旅游集散通道，构建轨道交通串联景区；推动景区间快速联系道路的建设。</w:t>
      </w:r>
    </w:p>
    <w:p>
      <w:pPr>
        <w:pStyle w:val="2"/>
        <w:ind w:firstLine="560"/>
        <w:rPr>
          <w:rFonts w:ascii="方正兰亭纤黑简体" w:hAnsi="仿宋" w:eastAsia="方正兰亭纤黑简体" w:cs="仿宋"/>
          <w:sz w:val="28"/>
        </w:rPr>
      </w:pPr>
      <w:r>
        <w:rPr>
          <w:rFonts w:hint="eastAsia" w:ascii="方正兰亭纤黑简体" w:hAnsi="仿宋" w:eastAsia="方正兰亭纤黑简体" w:cs="仿宋"/>
          <w:sz w:val="28"/>
        </w:rPr>
        <w:t>加大文化植入城市力度，传承弘扬石刻传统文化。深入挖掘阐发大足石刻中蕴含的中华优秀传统文化，保护大足区自然生态环境，服务群众生活，同时通过突显大足文化特色，以美为媒、以石为魂，将大足石刻等文化元素植入城市，彰显城市独特文化气质。精心打造一批主题公园，完成一批公园、道路项目的景观改造、文化植入。打造城市名片，建设大足区文化公园城市。</w:t>
      </w:r>
    </w:p>
    <w:p>
      <w:pPr>
        <w:pStyle w:val="5"/>
        <w:ind w:left="0"/>
        <w:rPr>
          <w:rFonts w:ascii="方正兰亭纤黑简体" w:hAnsi="仿宋" w:eastAsia="方正兰亭纤黑简体" w:cs="仿宋"/>
          <w:b/>
          <w:bCs w:val="0"/>
        </w:rPr>
      </w:pPr>
      <w:bookmarkStart w:id="81" w:name="_Toc21006"/>
      <w:bookmarkStart w:id="82" w:name="_Toc109981081"/>
      <w:r>
        <w:rPr>
          <w:rFonts w:hint="eastAsia" w:ascii="方正兰亭纤黑简体" w:hAnsi="仿宋" w:eastAsia="方正兰亭纤黑简体" w:cs="仿宋"/>
          <w:b/>
          <w:bCs w:val="0"/>
        </w:rPr>
        <w:t>打造“大丰大足”幸福之城</w:t>
      </w:r>
      <w:bookmarkEnd w:id="81"/>
      <w:bookmarkEnd w:id="82"/>
    </w:p>
    <w:p>
      <w:pPr>
        <w:pStyle w:val="2"/>
        <w:ind w:firstLine="560"/>
        <w:rPr>
          <w:rFonts w:ascii="方正兰亭纤黑简体" w:hAnsi="仿宋" w:eastAsia="方正兰亭纤黑简体" w:cs="仿宋"/>
          <w:sz w:val="28"/>
        </w:rPr>
      </w:pPr>
      <w:r>
        <w:rPr>
          <w:rFonts w:hint="eastAsia" w:ascii="方正兰亭纤黑简体" w:hAnsi="仿宋" w:eastAsia="方正兰亭纤黑简体" w:cs="仿宋"/>
          <w:sz w:val="28"/>
        </w:rPr>
        <w:t>统筹规划、建设、管理三大环节，下足绣花功夫，持续提升城市空间品质，让城市既有“高度”又有“温度”。科学规划引领，完善城市基础设施，全面提升城市服务功能和居民便利化水平，着力构建生产生活生态空间相宜、自然经济社会人文相融的城市生态系统，谱写大足高品质生活的新篇章，奋力建设富裕文明和谐美丽幸福新大足。</w:t>
      </w:r>
    </w:p>
    <w:p>
      <w:pPr>
        <w:pStyle w:val="2"/>
        <w:ind w:firstLine="560"/>
        <w:rPr>
          <w:rFonts w:ascii="方正兰亭纤黑简体" w:hAnsi="仿宋" w:eastAsia="方正兰亭纤黑简体" w:cs="仿宋"/>
          <w:sz w:val="28"/>
        </w:rPr>
      </w:pPr>
      <w:r>
        <w:rPr>
          <w:rFonts w:hint="eastAsia" w:ascii="方正兰亭纤黑简体" w:hAnsi="仿宋" w:eastAsia="方正兰亭纤黑简体" w:cs="仿宋"/>
          <w:sz w:val="28"/>
        </w:rPr>
        <w:t>持续抓好城市有机更新，因地制宜实施老旧小区“微改造”“留改拆”“投改管”，传承历史文化，留住老城记忆。推进老旧小区改造提升和社区公共服务提升，全面加快垃圾分类及处置设施建设，保障城市生态环境质量和居民生活品质。</w:t>
      </w:r>
    </w:p>
    <w:p>
      <w:pPr>
        <w:pStyle w:val="2"/>
        <w:ind w:firstLine="560"/>
        <w:rPr>
          <w:rFonts w:ascii="方正兰亭纤黑简体" w:hAnsi="仿宋" w:eastAsia="方正兰亭纤黑简体" w:cs="仿宋"/>
          <w:sz w:val="28"/>
        </w:rPr>
      </w:pPr>
      <w:r>
        <w:rPr>
          <w:rFonts w:hint="eastAsia" w:ascii="方正兰亭纤黑简体" w:hAnsi="仿宋" w:eastAsia="方正兰亭纤黑简体" w:cs="仿宋"/>
          <w:sz w:val="28"/>
        </w:rPr>
        <w:t>提高水资源集约利用安全水平，全面落实海绵城市建设理念和标准，推进城市污水处理提质增效，巩固城市水体治理成效。</w:t>
      </w:r>
    </w:p>
    <w:p>
      <w:pPr>
        <w:pStyle w:val="2"/>
        <w:ind w:firstLine="560"/>
        <w:rPr>
          <w:rFonts w:ascii="方正兰亭纤黑简体" w:hAnsi="仿宋" w:eastAsia="方正兰亭纤黑简体" w:cs="仿宋"/>
          <w:sz w:val="28"/>
        </w:rPr>
      </w:pPr>
      <w:r>
        <w:rPr>
          <w:rFonts w:hint="eastAsia" w:ascii="方正兰亭纤黑简体" w:hAnsi="仿宋" w:eastAsia="方正兰亭纤黑简体" w:cs="仿宋"/>
          <w:sz w:val="28"/>
        </w:rPr>
        <w:t>针对城市基础设施存在的问题，系统提升城市供水、燃气、供电、照明等基础设施供给能力和服务质量。加强供水设施建设与改造，推行城市供水全过程风险管控，提升用户龙头水安全保障水平。加强天然气基础设施建设，推进天然气高效利用，提高城市管道天然气普及率。开展城市配电网升级改造，提升电缆化水平，提高电网可靠性和供电质量。全面提升和完善城市公共空间功能性照明设施，提高城市照明精细化、标准化、智慧化管理水平。</w:t>
      </w:r>
    </w:p>
    <w:p>
      <w:pPr>
        <w:pStyle w:val="2"/>
        <w:ind w:firstLine="560"/>
        <w:rPr>
          <w:rFonts w:ascii="方正兰亭纤黑简体" w:hAnsi="仿宋" w:eastAsia="方正兰亭纤黑简体" w:cs="仿宋"/>
          <w:sz w:val="28"/>
        </w:rPr>
      </w:pPr>
      <w:r>
        <w:rPr>
          <w:rFonts w:hint="eastAsia" w:ascii="方正兰亭纤黑简体" w:hAnsi="仿宋" w:eastAsia="方正兰亭纤黑简体" w:cs="仿宋"/>
          <w:sz w:val="28"/>
        </w:rPr>
        <w:t>强化基础设施各领域前瞻性、引领性技术研发和创新，加强关键共性技术、前沿引领技术、现代工程技术、颠覆性技术突破和转化应用，实现科技创新驱动，提高设施运行效率，全面支撑城市发展。强化“全周期管理”意识，着力打造智慧城市，让城市更聪明、更健康、更安全。</w:t>
      </w:r>
    </w:p>
    <w:p>
      <w:pPr>
        <w:pStyle w:val="2"/>
        <w:ind w:firstLine="560"/>
        <w:rPr>
          <w:rFonts w:ascii="方正兰亭纤黑简体" w:hAnsi="仿宋" w:eastAsia="方正兰亭纤黑简体" w:cs="仿宋"/>
          <w:sz w:val="28"/>
        </w:rPr>
      </w:pPr>
      <w:r>
        <w:rPr>
          <w:rFonts w:hint="eastAsia" w:ascii="方正兰亭纤黑简体" w:hAnsi="仿宋" w:eastAsia="方正兰亭纤黑简体" w:cs="仿宋"/>
          <w:sz w:val="28"/>
        </w:rPr>
        <w:t>构建“源头减排、雨水蓄排、排涝除险”的城市排水防涝体系，增强城市防洪排涝能力。全面提升各类城市基础设施的防灾、减灾、抗灾、救灾能力。</w:t>
      </w:r>
    </w:p>
    <w:p>
      <w:pPr>
        <w:ind w:firstLine="560"/>
        <w:rPr>
          <w:rFonts w:ascii="方正兰亭纤黑简体" w:hAnsi="仿宋" w:eastAsia="方正兰亭纤黑简体" w:cs="仿宋"/>
          <w:sz w:val="28"/>
        </w:rPr>
      </w:pPr>
      <w:r>
        <w:rPr>
          <w:rFonts w:hint="eastAsia" w:ascii="方正兰亭纤黑简体" w:hAnsi="仿宋" w:eastAsia="方正兰亭纤黑简体" w:cs="仿宋"/>
          <w:sz w:val="28"/>
        </w:rPr>
        <w:br w:type="page"/>
      </w:r>
    </w:p>
    <w:p>
      <w:pPr>
        <w:pStyle w:val="4"/>
        <w:adjustRightInd w:val="0"/>
        <w:snapToGrid w:val="0"/>
        <w:spacing w:line="432" w:lineRule="auto"/>
        <w:ind w:left="0"/>
        <w:rPr>
          <w:rFonts w:ascii="方正兰亭粗黑简体" w:hAnsi="仿宋" w:eastAsia="方正兰亭粗黑简体" w:cs="仿宋"/>
          <w:b/>
        </w:rPr>
      </w:pPr>
      <w:bookmarkStart w:id="83" w:name="_Toc23574"/>
      <w:r>
        <w:rPr>
          <w:rFonts w:hint="eastAsia" w:ascii="方正兰亭粗黑简体" w:hAnsi="仿宋" w:eastAsia="方正兰亭粗黑简体" w:cs="仿宋"/>
          <w:b/>
        </w:rPr>
        <w:t>推进综合交通发展，提升城市运转效率</w:t>
      </w:r>
      <w:bookmarkEnd w:id="22"/>
      <w:bookmarkEnd w:id="23"/>
      <w:bookmarkEnd w:id="24"/>
      <w:bookmarkEnd w:id="83"/>
    </w:p>
    <w:p>
      <w:pPr>
        <w:widowControl/>
        <w:ind w:firstLine="560"/>
        <w:jc w:val="left"/>
        <w:rPr>
          <w:rFonts w:ascii="方正兰亭纤黑简体" w:hAnsi="仿宋" w:eastAsia="方正兰亭纤黑简体" w:cs="仿宋"/>
          <w:sz w:val="28"/>
        </w:rPr>
      </w:pPr>
      <w:r>
        <w:rPr>
          <w:rFonts w:hint="eastAsia" w:ascii="方正兰亭纤黑简体" w:hAnsi="仿宋" w:eastAsia="方正兰亭纤黑简体" w:cs="仿宋"/>
          <w:sz w:val="28"/>
        </w:rPr>
        <w:t>构建以“慢行+公交”为主导、小汽车为补充的绿色城市交通模式，加快推进城市轨道交通落地建设，提高公共交通出行占比；不断完善城市路网结构，以健全道路交通体系为目的，提升道路便捷畅达性；以多种交通运输方式高效衔接转换为重点，建立便捷人性的接驳方式。</w:t>
      </w:r>
    </w:p>
    <w:p>
      <w:pPr>
        <w:pStyle w:val="5"/>
        <w:ind w:left="0"/>
        <w:rPr>
          <w:rFonts w:ascii="方正兰亭纤黑简体" w:hAnsi="仿宋" w:eastAsia="方正兰亭纤黑简体" w:cs="仿宋"/>
          <w:b/>
          <w:bCs w:val="0"/>
        </w:rPr>
      </w:pPr>
      <w:bookmarkStart w:id="84" w:name="_Toc5307"/>
      <w:bookmarkStart w:id="85" w:name="_Toc74834054"/>
      <w:bookmarkStart w:id="86" w:name="_Toc14388"/>
      <w:bookmarkStart w:id="87" w:name="_Toc74907891"/>
      <w:bookmarkStart w:id="88" w:name="_Toc27574"/>
      <w:bookmarkStart w:id="89" w:name="_Toc12275"/>
      <w:bookmarkStart w:id="90" w:name="_Toc76401709"/>
      <w:r>
        <w:rPr>
          <w:rFonts w:hint="eastAsia" w:ascii="方正兰亭纤黑简体" w:hAnsi="仿宋" w:eastAsia="方正兰亭纤黑简体" w:cs="仿宋"/>
          <w:b/>
          <w:bCs w:val="0"/>
        </w:rPr>
        <w:t>建设多层级融合的区域轨道交通体系</w:t>
      </w:r>
      <w:bookmarkEnd w:id="84"/>
      <w:bookmarkEnd w:id="85"/>
      <w:bookmarkEnd w:id="86"/>
      <w:bookmarkEnd w:id="87"/>
      <w:bookmarkEnd w:id="88"/>
      <w:bookmarkEnd w:id="89"/>
      <w:bookmarkEnd w:id="90"/>
    </w:p>
    <w:p>
      <w:pPr>
        <w:adjustRightInd w:val="0"/>
        <w:snapToGrid w:val="0"/>
        <w:ind w:firstLine="560"/>
        <w:rPr>
          <w:rFonts w:ascii="方正兰亭纤黑简体" w:hAnsi="仿宋" w:eastAsia="方正兰亭纤黑简体" w:cs="仿宋"/>
          <w:sz w:val="28"/>
        </w:rPr>
      </w:pPr>
      <w:r>
        <w:rPr>
          <w:rFonts w:hint="eastAsia" w:ascii="方正兰亭纤黑简体" w:hAnsi="仿宋" w:eastAsia="方正兰亭纤黑简体" w:cs="仿宋"/>
          <w:sz w:val="28"/>
        </w:rPr>
        <w:t>加快推动四网融合发展，形成以3条干线铁路（成渝高铁、成渝中线高铁、成渝铁路）、2条城际铁路（重庆至自贡至乐山城际（渝自</w:t>
      </w:r>
      <w:r>
        <w:rPr>
          <w:rFonts w:ascii="方正兰亭纤黑简体" w:hAnsi="仿宋" w:eastAsia="方正兰亭纤黑简体" w:cs="仿宋"/>
          <w:sz w:val="28"/>
        </w:rPr>
        <w:t>城际</w:t>
      </w:r>
      <w:r>
        <w:rPr>
          <w:rFonts w:hint="eastAsia" w:ascii="方正兰亭纤黑简体" w:hAnsi="仿宋" w:eastAsia="方正兰亭纤黑简体" w:cs="仿宋"/>
          <w:sz w:val="28"/>
        </w:rPr>
        <w:t>）、汉中至南充至潼南至铜梁至大足至荣昌至泸州铁路（南大泸铁路））、3条市域（郊）铁路（大足线〔C3〕、合大线〔C8〕、永〔大〕荣线〔C4〕）、1条轨道交通（大足区南北向</w:t>
      </w:r>
      <w:r>
        <w:rPr>
          <w:rFonts w:ascii="方正兰亭纤黑简体" w:hAnsi="仿宋" w:eastAsia="方正兰亭纤黑简体" w:cs="仿宋"/>
          <w:sz w:val="28"/>
        </w:rPr>
        <w:t>低运量轨道交通</w:t>
      </w:r>
      <w:r>
        <w:rPr>
          <w:rFonts w:hint="eastAsia" w:ascii="方正兰亭纤黑简体" w:hAnsi="仿宋" w:eastAsia="方正兰亭纤黑简体" w:cs="仿宋"/>
          <w:sz w:val="28"/>
        </w:rPr>
        <w:t>）为主的多向出足大通道，满足多层次、多样化、个性化的交通需求。</w:t>
      </w:r>
    </w:p>
    <w:p>
      <w:pPr>
        <w:adjustRightInd w:val="0"/>
        <w:snapToGrid w:val="0"/>
        <w:ind w:firstLine="562"/>
        <w:rPr>
          <w:rFonts w:ascii="方正兰亭纤黑简体" w:hAnsi="仿宋" w:eastAsia="方正兰亭纤黑简体" w:cs="仿宋"/>
          <w:sz w:val="28"/>
        </w:rPr>
      </w:pPr>
      <w:r>
        <w:rPr>
          <w:rFonts w:hint="eastAsia" w:ascii="方正兰亭纤黑简体" w:hAnsi="仿宋" w:eastAsia="方正兰亭纤黑简体" w:cs="仿宋"/>
          <w:b/>
          <w:bCs/>
          <w:sz w:val="28"/>
        </w:rPr>
        <w:t>助力干线铁路开工建设。</w:t>
      </w:r>
      <w:r>
        <w:rPr>
          <w:rFonts w:hint="eastAsia" w:ascii="方正兰亭纤黑简体" w:hAnsi="仿宋" w:eastAsia="方正兰亭纤黑简体" w:cs="仿宋"/>
          <w:sz w:val="28"/>
        </w:rPr>
        <w:t>配合推进成渝中线高铁建设，打造成渝间直达客流主通道，力争2021-2025期间建成通车，与既有成渝客专、成渝铁路、成渝高速和渝蓉高速，共同形成2条成渝之间最便捷的综合交通走廊，支撑成渝地区双城交通一体化建设，实现成渝地区双核“1小时通达”，提升大足在成渝地区双城经济圈中的核心竞争力，奋力实现“融入主城、对接成都”目标。配合推进成渝铁路扩能改造，优先利用成渝铁路富余能力开行市域（郊）列车，有效缓解成渝铁路通行能力不足问题，提升通勤化水平。</w:t>
      </w:r>
    </w:p>
    <w:p>
      <w:pPr>
        <w:widowControl/>
        <w:ind w:firstLine="562"/>
        <w:jc w:val="left"/>
        <w:rPr>
          <w:rFonts w:ascii="方正兰亭纤黑简体" w:hAnsi="仿宋" w:eastAsia="方正兰亭纤黑简体" w:cs="仿宋"/>
          <w:b/>
          <w:bCs/>
          <w:sz w:val="28"/>
        </w:rPr>
      </w:pPr>
      <w:r>
        <w:rPr>
          <w:rFonts w:hint="eastAsia" w:ascii="方正兰亭纤黑简体" w:hAnsi="仿宋" w:eastAsia="方正兰亭纤黑简体" w:cs="仿宋"/>
          <w:b/>
          <w:bCs/>
          <w:sz w:val="28"/>
        </w:rPr>
        <w:t>稳步推进城际铁路建设。</w:t>
      </w:r>
      <w:r>
        <w:rPr>
          <w:rFonts w:hint="eastAsia" w:ascii="方正兰亭纤黑简体" w:hAnsi="仿宋" w:eastAsia="方正兰亭纤黑简体" w:cs="仿宋"/>
          <w:bCs/>
          <w:sz w:val="28"/>
        </w:rPr>
        <w:t>积极开展汉中至南充至潼南至铜梁至大足至荣昌至泸州铁路（南大泸</w:t>
      </w:r>
      <w:r>
        <w:rPr>
          <w:rFonts w:ascii="方正兰亭纤黑简体" w:hAnsi="仿宋" w:eastAsia="方正兰亭纤黑简体" w:cs="仿宋"/>
          <w:bCs/>
          <w:sz w:val="28"/>
        </w:rPr>
        <w:t>铁路</w:t>
      </w:r>
      <w:r>
        <w:rPr>
          <w:rFonts w:hint="eastAsia" w:ascii="方正兰亭纤黑简体" w:hAnsi="仿宋" w:eastAsia="方正兰亭纤黑简体" w:cs="仿宋"/>
          <w:bCs/>
          <w:sz w:val="28"/>
        </w:rPr>
        <w:t>）前期工作，该铁路北接关中城市群，南接滇中城市群、贯穿成渝地区腹地，填补区域南北向高铁空白，全面支撑大足深度融入成渝地区双城经济圈战略，打通出海大通道，连接海上丝绸之路。有序推进重庆至自贡至乐山城际前期工作，争取重庆至自贡至乐山城际（渝自</w:t>
      </w:r>
      <w:r>
        <w:rPr>
          <w:rFonts w:ascii="方正兰亭纤黑简体" w:hAnsi="仿宋" w:eastAsia="方正兰亭纤黑简体" w:cs="仿宋"/>
          <w:bCs/>
          <w:sz w:val="28"/>
        </w:rPr>
        <w:t>城际</w:t>
      </w:r>
      <w:r>
        <w:rPr>
          <w:rFonts w:hint="eastAsia" w:ascii="方正兰亭纤黑简体" w:hAnsi="仿宋" w:eastAsia="方正兰亭纤黑简体" w:cs="仿宋"/>
          <w:bCs/>
          <w:sz w:val="28"/>
        </w:rPr>
        <w:t>）经过大足，加强大足与川东北、川南地区密切联系，支撑重庆实现环渝临近地级市高铁或城际铁路全覆盖，加强对周边城市的辐射带动。</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持续推进市域（郊）铁路建设。</w:t>
      </w:r>
      <w:r>
        <w:rPr>
          <w:rFonts w:hint="eastAsia" w:ascii="方正兰亭纤黑简体" w:hAnsi="仿宋" w:eastAsia="方正兰亭纤黑简体" w:cs="仿宋"/>
          <w:bCs/>
          <w:sz w:val="28"/>
        </w:rPr>
        <w:t>配合推进市域（郊）铁路大足线（</w:t>
      </w:r>
      <w:r>
        <w:rPr>
          <w:rFonts w:ascii="方正兰亭纤黑简体" w:hAnsi="仿宋" w:eastAsia="方正兰亭纤黑简体" w:cs="仿宋"/>
          <w:bCs/>
          <w:sz w:val="28"/>
        </w:rPr>
        <w:t>C3</w:t>
      </w:r>
      <w:r>
        <w:rPr>
          <w:rFonts w:hint="eastAsia" w:ascii="方正兰亭纤黑简体" w:hAnsi="仿宋" w:eastAsia="方正兰亭纤黑简体" w:cs="仿宋"/>
          <w:bCs/>
          <w:sz w:val="28"/>
        </w:rPr>
        <w:t>）开工建设，远期谋划延伸至内江、安岳。积极推进市域（郊）铁路永（大）荣线（</w:t>
      </w:r>
      <w:r>
        <w:rPr>
          <w:rFonts w:ascii="方正兰亭纤黑简体" w:hAnsi="仿宋" w:eastAsia="方正兰亭纤黑简体" w:cs="仿宋"/>
          <w:bCs/>
          <w:sz w:val="28"/>
        </w:rPr>
        <w:t>C4</w:t>
      </w:r>
      <w:r>
        <w:rPr>
          <w:rFonts w:hint="eastAsia" w:ascii="方正兰亭纤黑简体" w:hAnsi="仿宋" w:eastAsia="方正兰亭纤黑简体" w:cs="仿宋"/>
          <w:bCs/>
          <w:sz w:val="28"/>
        </w:rPr>
        <w:t>）、市域（郊）铁路合大线（</w:t>
      </w:r>
      <w:r>
        <w:rPr>
          <w:rFonts w:ascii="方正兰亭纤黑简体" w:hAnsi="仿宋" w:eastAsia="方正兰亭纤黑简体" w:cs="仿宋"/>
          <w:bCs/>
          <w:sz w:val="28"/>
        </w:rPr>
        <w:t>C8</w:t>
      </w:r>
      <w:r>
        <w:rPr>
          <w:rFonts w:hint="eastAsia" w:ascii="方正兰亭纤黑简体" w:hAnsi="仿宋" w:eastAsia="方正兰亭纤黑简体" w:cs="仿宋"/>
          <w:bCs/>
          <w:sz w:val="28"/>
        </w:rPr>
        <w:t>）开展前期工作，并研究谋划大足文创园支线，加快实现大足与中心城区以及各城市之间的直联直通。</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研究谋划城市轨道交通建设。</w:t>
      </w:r>
      <w:r>
        <w:rPr>
          <w:rFonts w:hint="eastAsia" w:ascii="方正兰亭纤黑简体" w:hAnsi="仿宋" w:eastAsia="方正兰亭纤黑简体" w:cs="仿宋"/>
          <w:sz w:val="28"/>
        </w:rPr>
        <w:t>研究储备大足区南北向</w:t>
      </w:r>
      <w:r>
        <w:rPr>
          <w:rFonts w:ascii="方正兰亭纤黑简体" w:hAnsi="仿宋" w:eastAsia="方正兰亭纤黑简体" w:cs="仿宋"/>
          <w:sz w:val="28"/>
        </w:rPr>
        <w:t>低运量</w:t>
      </w:r>
      <w:r>
        <w:rPr>
          <w:rFonts w:hint="eastAsia" w:ascii="方正兰亭纤黑简体" w:hAnsi="仿宋" w:eastAsia="方正兰亭纤黑简体" w:cs="仿宋"/>
          <w:sz w:val="28"/>
        </w:rPr>
        <w:t>轨道交通，有效串联石刻景区、高铁站点、大足城区、龙水湖度假区、大足工业园区和双桥经开区，强化我区优质旅游资源、交通资源、产业资源衔接，助力我区纵向发展通道建设。</w:t>
      </w:r>
    </w:p>
    <w:p>
      <w:pPr>
        <w:pStyle w:val="40"/>
        <w:ind w:firstLine="643"/>
        <w:rPr>
          <w:rFonts w:ascii="方正兰亭纤黑简体" w:hAnsi="仿宋" w:eastAsia="方正兰亭纤黑简体" w:cs="仿宋"/>
        </w:rPr>
      </w:pPr>
      <w:r>
        <w:rPr>
          <w:rFonts w:hint="eastAsia" w:ascii="方正兰亭纤黑简体" w:hAnsi="仿宋" w:eastAsia="方正兰亭纤黑简体" w:cs="仿宋"/>
          <w:b/>
          <w:kern w:val="2"/>
          <w:szCs w:val="24"/>
        </w:rPr>
        <w:t>储备站点建设及沿线开发方案。</w:t>
      </w:r>
      <w:r>
        <w:rPr>
          <w:rFonts w:hint="eastAsia" w:ascii="方正兰亭纤黑简体" w:hAnsi="仿宋" w:eastAsia="方正兰亭纤黑简体" w:cs="仿宋"/>
          <w:kern w:val="2"/>
          <w:szCs w:val="24"/>
        </w:rPr>
        <w:t>结合我区空间规划与铁路、轨道规划，提前谋划大足石刻高铁站与市域（郊）铁路璧山至大足（</w:t>
      </w:r>
      <w:r>
        <w:rPr>
          <w:rFonts w:ascii="方正兰亭纤黑简体" w:hAnsi="仿宋" w:eastAsia="方正兰亭纤黑简体" w:cs="仿宋"/>
          <w:kern w:val="2"/>
          <w:szCs w:val="24"/>
        </w:rPr>
        <w:t>C3</w:t>
      </w:r>
      <w:r>
        <w:rPr>
          <w:rFonts w:hint="eastAsia" w:ascii="方正兰亭纤黑简体" w:hAnsi="仿宋" w:eastAsia="方正兰亭纤黑简体" w:cs="仿宋"/>
          <w:kern w:val="2"/>
          <w:szCs w:val="24"/>
        </w:rPr>
        <w:t>线）中心城区内站点建设及沿线综合开发整治。研究储备大足</w:t>
      </w:r>
      <w:r>
        <w:rPr>
          <w:rFonts w:ascii="方正兰亭纤黑简体" w:hAnsi="仿宋" w:eastAsia="方正兰亭纤黑简体" w:cs="仿宋"/>
          <w:kern w:val="2"/>
          <w:szCs w:val="24"/>
        </w:rPr>
        <w:t>石刻综合枢纽站站前广场建设、C3</w:t>
      </w:r>
      <w:r>
        <w:rPr>
          <w:rFonts w:hint="eastAsia" w:ascii="方正兰亭纤黑简体" w:hAnsi="仿宋" w:eastAsia="方正兰亭纤黑简体" w:cs="仿宋"/>
          <w:kern w:val="2"/>
          <w:szCs w:val="24"/>
        </w:rPr>
        <w:t>线</w:t>
      </w:r>
      <w:r>
        <w:rPr>
          <w:rFonts w:ascii="方正兰亭纤黑简体" w:hAnsi="仿宋" w:eastAsia="方正兰亭纤黑简体" w:cs="仿宋"/>
          <w:kern w:val="2"/>
          <w:szCs w:val="24"/>
        </w:rPr>
        <w:t>站点建设、C3</w:t>
      </w:r>
      <w:r>
        <w:rPr>
          <w:rFonts w:hint="eastAsia" w:ascii="方正兰亭纤黑简体" w:hAnsi="仿宋" w:eastAsia="方正兰亭纤黑简体" w:cs="仿宋"/>
          <w:kern w:val="2"/>
          <w:szCs w:val="24"/>
        </w:rPr>
        <w:t>线沿线</w:t>
      </w:r>
      <w:r>
        <w:rPr>
          <w:rFonts w:ascii="方正兰亭纤黑简体" w:hAnsi="仿宋" w:eastAsia="方正兰亭纤黑简体" w:cs="仿宋"/>
          <w:kern w:val="2"/>
          <w:szCs w:val="24"/>
        </w:rPr>
        <w:t>综合开发整治</w:t>
      </w:r>
      <w:r>
        <w:rPr>
          <w:rFonts w:hint="eastAsia" w:ascii="方正兰亭纤黑简体" w:hAnsi="仿宋" w:eastAsia="方正兰亭纤黑简体" w:cs="仿宋"/>
          <w:kern w:val="2"/>
          <w:szCs w:val="24"/>
        </w:rPr>
        <w:t>，</w:t>
      </w:r>
      <w:r>
        <w:rPr>
          <w:rFonts w:ascii="方正兰亭纤黑简体" w:hAnsi="仿宋" w:eastAsia="方正兰亭纤黑简体" w:cs="仿宋"/>
          <w:kern w:val="2"/>
          <w:szCs w:val="24"/>
        </w:rPr>
        <w:t>充分发挥</w:t>
      </w:r>
      <w:r>
        <w:rPr>
          <w:rFonts w:hint="eastAsia" w:ascii="方正兰亭纤黑简体" w:hAnsi="仿宋" w:eastAsia="方正兰亭纤黑简体" w:cs="仿宋"/>
          <w:kern w:val="2"/>
          <w:szCs w:val="24"/>
        </w:rPr>
        <w:t>轨道</w:t>
      </w:r>
      <w:r>
        <w:rPr>
          <w:rFonts w:ascii="方正兰亭纤黑简体" w:hAnsi="仿宋" w:eastAsia="方正兰亭纤黑简体" w:cs="仿宋"/>
          <w:kern w:val="2"/>
          <w:szCs w:val="24"/>
        </w:rPr>
        <w:t>线路对城市发展的</w:t>
      </w:r>
      <w:r>
        <w:rPr>
          <w:rFonts w:hint="eastAsia" w:ascii="方正兰亭纤黑简体" w:hAnsi="仿宋" w:eastAsia="方正兰亭纤黑简体" w:cs="仿宋"/>
          <w:kern w:val="2"/>
          <w:szCs w:val="24"/>
        </w:rPr>
        <w:t>带动</w:t>
      </w:r>
      <w:r>
        <w:rPr>
          <w:rFonts w:ascii="方正兰亭纤黑简体" w:hAnsi="仿宋" w:eastAsia="方正兰亭纤黑简体" w:cs="仿宋"/>
          <w:kern w:val="2"/>
          <w:szCs w:val="24"/>
        </w:rPr>
        <w:t>引领作用。</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谋划站点慢行与接驳方案。</w:t>
      </w:r>
      <w:r>
        <w:rPr>
          <w:rFonts w:hint="eastAsia" w:ascii="方正兰亭纤黑简体" w:hAnsi="仿宋" w:eastAsia="方正兰亭纤黑简体" w:cs="仿宋"/>
          <w:sz w:val="28"/>
        </w:rPr>
        <w:t>结合我区空间规划与铁路、轨道规划，提前谋划大足石刻高铁站与市域（郊）铁路璧山至大足（C3线）中心城区内站点慢行与接驳系统。对站点半径500米范围内慢行设施进行系统性梳理排查，解决慢行流线不畅、标识指引不明、环境体验不佳等问题，建设便捷、舒适的慢行体系。结合公交系统、非机动车系统，设置安全、高效的换乘公交站点与非机动车泊位，同时设置即停即走站点进一步提升转换效率。积极推动站点周边公共停车场建设，积极探索“P+R”（停车+换乘）模式在我区落地开花。站点慢行与接驳系统力争与C3线建设实现“同步规划、同步实施、同步使用”，提升C3线聚集能力，进一步缓解城市整体拥堵情况，提升我区与主城都市区融合度。</w:t>
      </w:r>
    </w:p>
    <w:p>
      <w:pPr>
        <w:adjustRightInd w:val="0"/>
        <w:snapToGrid w:val="0"/>
        <w:spacing w:line="408" w:lineRule="auto"/>
        <w:ind w:firstLine="0" w:firstLineChars="0"/>
        <w:jc w:val="center"/>
        <w:rPr>
          <w:rFonts w:ascii="方正兰亭纤黑简体" w:hAnsi="仿宋" w:eastAsia="方正兰亭纤黑简体" w:cs="仿宋"/>
          <w:b/>
          <w:sz w:val="28"/>
          <w:szCs w:val="28"/>
        </w:rPr>
      </w:pPr>
      <w:r>
        <w:rPr>
          <w:rFonts w:hint="eastAsia" w:ascii="方正兰亭纤黑简体" w:hAnsi="仿宋" w:eastAsia="方正兰亭纤黑简体" w:cs="仿宋"/>
          <w:b/>
          <w:sz w:val="28"/>
          <w:szCs w:val="28"/>
        </w:rPr>
        <w:t>专栏1  轨道系统建设、</w:t>
      </w:r>
      <w:r>
        <w:rPr>
          <w:rFonts w:hint="eastAsia" w:ascii="方正兰亭纤黑简体" w:hAnsi="仿宋" w:eastAsia="方正兰亭纤黑简体" w:cs="仿宋"/>
          <w:sz w:val="28"/>
        </w:rPr>
        <w:t>研究储备</w:t>
      </w:r>
      <w:r>
        <w:rPr>
          <w:rFonts w:hint="eastAsia" w:ascii="方正兰亭纤黑简体" w:hAnsi="仿宋" w:eastAsia="方正兰亭纤黑简体" w:cs="仿宋"/>
          <w:b/>
          <w:sz w:val="28"/>
          <w:szCs w:val="28"/>
        </w:rPr>
        <w:t>重点项目</w:t>
      </w:r>
    </w:p>
    <w:tbl>
      <w:tblPr>
        <w:tblStyle w:val="24"/>
        <w:tblW w:w="829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trHeight w:val="274" w:hRule="atLeast"/>
          <w:jc w:val="center"/>
        </w:trPr>
        <w:tc>
          <w:tcPr>
            <w:tcW w:w="8296" w:type="dxa"/>
          </w:tcPr>
          <w:p>
            <w:pPr>
              <w:adjustRightInd w:val="0"/>
              <w:snapToGrid w:val="0"/>
              <w:spacing w:line="432" w:lineRule="auto"/>
              <w:ind w:firstLine="366" w:firstLineChars="152"/>
              <w:rPr>
                <w:rFonts w:ascii="方正兰亭纤黑简体" w:hAnsi="仿宋" w:eastAsia="方正兰亭纤黑简体" w:cs="仿宋"/>
                <w:sz w:val="24"/>
              </w:rPr>
            </w:pPr>
            <w:r>
              <w:rPr>
                <w:rFonts w:hint="eastAsia" w:ascii="方正兰亭纤黑简体" w:hAnsi="仿宋" w:eastAsia="方正兰亭纤黑简体" w:cs="仿宋"/>
                <w:b/>
                <w:bCs/>
                <w:sz w:val="24"/>
              </w:rPr>
              <w:t>干线铁路：</w:t>
            </w:r>
            <w:r>
              <w:rPr>
                <w:rFonts w:hint="eastAsia" w:ascii="方正兰亭纤黑简体" w:hAnsi="仿宋" w:eastAsia="方正兰亭纤黑简体" w:cs="仿宋"/>
                <w:sz w:val="24"/>
              </w:rPr>
              <w:t>开工建设成渝中线高铁、配合推进成渝铁路扩能改造。</w:t>
            </w:r>
          </w:p>
          <w:p>
            <w:pPr>
              <w:adjustRightInd w:val="0"/>
              <w:snapToGrid w:val="0"/>
              <w:spacing w:line="432" w:lineRule="auto"/>
              <w:ind w:firstLine="366" w:firstLineChars="152"/>
              <w:rPr>
                <w:rFonts w:ascii="方正兰亭纤黑简体" w:hAnsi="仿宋" w:eastAsia="方正兰亭纤黑简体" w:cs="仿宋"/>
                <w:sz w:val="24"/>
              </w:rPr>
            </w:pPr>
            <w:r>
              <w:rPr>
                <w:rFonts w:hint="eastAsia" w:ascii="方正兰亭纤黑简体" w:hAnsi="仿宋" w:eastAsia="方正兰亭纤黑简体" w:cs="仿宋"/>
                <w:b/>
                <w:bCs/>
                <w:sz w:val="24"/>
              </w:rPr>
              <w:t>城际铁路：</w:t>
            </w:r>
            <w:r>
              <w:rPr>
                <w:rFonts w:hint="eastAsia" w:ascii="方正兰亭纤黑简体" w:hAnsi="仿宋" w:eastAsia="方正兰亭纤黑简体" w:cs="仿宋"/>
                <w:sz w:val="24"/>
              </w:rPr>
              <w:t>推进汉中至南充至潼南至铜梁至大足至荣昌至泸州铁路、重庆至自贡至乐山城际前期工作。</w:t>
            </w:r>
          </w:p>
          <w:p>
            <w:pPr>
              <w:adjustRightInd w:val="0"/>
              <w:snapToGrid w:val="0"/>
              <w:spacing w:line="432" w:lineRule="auto"/>
              <w:ind w:firstLine="366" w:firstLineChars="152"/>
              <w:rPr>
                <w:rFonts w:ascii="方正兰亭纤黑简体" w:hAnsi="仿宋" w:eastAsia="方正兰亭纤黑简体" w:cs="仿宋"/>
                <w:sz w:val="24"/>
              </w:rPr>
            </w:pPr>
            <w:r>
              <w:rPr>
                <w:rFonts w:hint="eastAsia" w:ascii="方正兰亭纤黑简体" w:hAnsi="仿宋" w:eastAsia="方正兰亭纤黑简体" w:cs="仿宋"/>
                <w:b/>
                <w:bCs/>
                <w:sz w:val="24"/>
              </w:rPr>
              <w:t>市域铁路：</w:t>
            </w:r>
            <w:r>
              <w:rPr>
                <w:rFonts w:hint="eastAsia" w:ascii="方正兰亭纤黑简体" w:hAnsi="仿宋" w:eastAsia="方正兰亭纤黑简体" w:cs="仿宋"/>
                <w:sz w:val="24"/>
              </w:rPr>
              <w:t>推进市域（郊）铁路大足线（C3）开工建设、推进市域（郊）铁路永（大）荣线（C4）、市域（郊）铁路合大线（C8）开展前期工作。</w:t>
            </w:r>
          </w:p>
          <w:p>
            <w:pPr>
              <w:adjustRightInd w:val="0"/>
              <w:snapToGrid w:val="0"/>
              <w:spacing w:line="432" w:lineRule="auto"/>
              <w:ind w:firstLine="366" w:firstLineChars="152"/>
              <w:rPr>
                <w:rFonts w:ascii="方正兰亭纤黑简体" w:hAnsi="仿宋" w:eastAsia="方正兰亭纤黑简体" w:cs="仿宋"/>
                <w:sz w:val="24"/>
              </w:rPr>
            </w:pPr>
            <w:r>
              <w:rPr>
                <w:rFonts w:hint="eastAsia" w:ascii="方正兰亭纤黑简体" w:hAnsi="仿宋" w:eastAsia="方正兰亭纤黑简体" w:cs="仿宋"/>
                <w:b/>
                <w:bCs/>
                <w:sz w:val="24"/>
              </w:rPr>
              <w:t>城市轨道：</w:t>
            </w:r>
            <w:r>
              <w:rPr>
                <w:rFonts w:hint="eastAsia" w:ascii="方正兰亭纤黑简体" w:hAnsi="仿宋" w:eastAsia="方正兰亭纤黑简体" w:cs="仿宋"/>
                <w:sz w:val="24"/>
              </w:rPr>
              <w:t>规划研究大足区南北向</w:t>
            </w:r>
            <w:r>
              <w:rPr>
                <w:rFonts w:ascii="方正兰亭纤黑简体" w:hAnsi="仿宋" w:eastAsia="方正兰亭纤黑简体" w:cs="仿宋"/>
                <w:sz w:val="24"/>
              </w:rPr>
              <w:t>低运量轨道交通</w:t>
            </w:r>
            <w:r>
              <w:rPr>
                <w:rFonts w:hint="eastAsia" w:ascii="方正兰亭纤黑简体" w:hAnsi="仿宋" w:eastAsia="方正兰亭纤黑简体" w:cs="仿宋"/>
                <w:sz w:val="24"/>
              </w:rPr>
              <w:t>；</w:t>
            </w:r>
          </w:p>
          <w:p>
            <w:pPr>
              <w:pStyle w:val="40"/>
              <w:ind w:firstLine="366" w:firstLineChars="152"/>
              <w:rPr>
                <w:rFonts w:ascii="方正兰亭纤黑简体" w:hAnsi="仿宋" w:eastAsia="方正兰亭纤黑简体" w:cs="仿宋"/>
                <w:b/>
                <w:bCs/>
                <w:sz w:val="24"/>
              </w:rPr>
            </w:pPr>
            <w:r>
              <w:rPr>
                <w:rFonts w:hint="eastAsia" w:ascii="方正兰亭纤黑简体" w:hAnsi="仿宋" w:eastAsia="方正兰亭纤黑简体" w:cs="仿宋"/>
                <w:b/>
                <w:bCs/>
                <w:kern w:val="2"/>
                <w:sz w:val="24"/>
                <w:szCs w:val="24"/>
              </w:rPr>
              <w:t>站点建设及沿线开发：</w:t>
            </w:r>
            <w:r>
              <w:rPr>
                <w:rFonts w:hint="eastAsia" w:ascii="方正兰亭纤黑简体" w:hAnsi="仿宋" w:eastAsia="方正兰亭纤黑简体" w:cs="仿宋"/>
                <w:bCs/>
                <w:kern w:val="2"/>
                <w:sz w:val="24"/>
                <w:szCs w:val="24"/>
              </w:rPr>
              <w:t>开工</w:t>
            </w:r>
            <w:r>
              <w:rPr>
                <w:rFonts w:ascii="方正兰亭纤黑简体" w:hAnsi="仿宋" w:eastAsia="方正兰亭纤黑简体" w:cs="仿宋"/>
                <w:bCs/>
                <w:kern w:val="2"/>
                <w:sz w:val="24"/>
                <w:szCs w:val="24"/>
              </w:rPr>
              <w:t>建设石刻文化城核心区综合整治，研究储备</w:t>
            </w:r>
            <w:r>
              <w:rPr>
                <w:rFonts w:hint="eastAsia" w:ascii="方正兰亭纤黑简体" w:hAnsi="仿宋" w:eastAsia="方正兰亭纤黑简体" w:cs="仿宋"/>
                <w:bCs/>
                <w:kern w:val="2"/>
                <w:sz w:val="24"/>
                <w:szCs w:val="24"/>
              </w:rPr>
              <w:t>C</w:t>
            </w:r>
            <w:r>
              <w:rPr>
                <w:rFonts w:ascii="方正兰亭纤黑简体" w:hAnsi="仿宋" w:eastAsia="方正兰亭纤黑简体" w:cs="仿宋"/>
                <w:bCs/>
                <w:kern w:val="2"/>
                <w:sz w:val="24"/>
                <w:szCs w:val="24"/>
              </w:rPr>
              <w:t>3线站点建设</w:t>
            </w:r>
            <w:r>
              <w:rPr>
                <w:rFonts w:hint="eastAsia" w:ascii="方正兰亭纤黑简体" w:hAnsi="仿宋" w:eastAsia="方正兰亭纤黑简体" w:cs="仿宋"/>
                <w:bCs/>
                <w:kern w:val="2"/>
                <w:sz w:val="24"/>
                <w:szCs w:val="24"/>
              </w:rPr>
              <w:t>、</w:t>
            </w:r>
            <w:r>
              <w:rPr>
                <w:rFonts w:ascii="方正兰亭纤黑简体" w:hAnsi="仿宋" w:eastAsia="方正兰亭纤黑简体" w:cs="仿宋"/>
                <w:bCs/>
                <w:kern w:val="2"/>
                <w:sz w:val="24"/>
                <w:szCs w:val="24"/>
              </w:rPr>
              <w:t>C3</w:t>
            </w:r>
            <w:r>
              <w:rPr>
                <w:rFonts w:hint="eastAsia" w:ascii="方正兰亭纤黑简体" w:hAnsi="仿宋" w:eastAsia="方正兰亭纤黑简体" w:cs="仿宋"/>
                <w:bCs/>
                <w:kern w:val="2"/>
                <w:sz w:val="24"/>
                <w:szCs w:val="24"/>
              </w:rPr>
              <w:t>线</w:t>
            </w:r>
            <w:r>
              <w:rPr>
                <w:rFonts w:ascii="方正兰亭纤黑简体" w:hAnsi="仿宋" w:eastAsia="方正兰亭纤黑简体" w:cs="仿宋"/>
                <w:bCs/>
                <w:kern w:val="2"/>
                <w:sz w:val="24"/>
                <w:szCs w:val="24"/>
              </w:rPr>
              <w:t>沿线综合开发整治</w:t>
            </w:r>
            <w:r>
              <w:rPr>
                <w:rFonts w:hint="eastAsia" w:ascii="方正兰亭纤黑简体" w:hAnsi="仿宋" w:eastAsia="方正兰亭纤黑简体" w:cs="仿宋"/>
                <w:bCs/>
                <w:kern w:val="2"/>
                <w:sz w:val="24"/>
                <w:szCs w:val="24"/>
              </w:rPr>
              <w:t>等；</w:t>
            </w:r>
          </w:p>
          <w:p>
            <w:pPr>
              <w:adjustRightInd w:val="0"/>
              <w:snapToGrid w:val="0"/>
              <w:spacing w:line="432" w:lineRule="auto"/>
              <w:ind w:firstLine="366" w:firstLineChars="152"/>
              <w:rPr>
                <w:rFonts w:ascii="方正兰亭纤黑简体" w:hAnsi="仿宋" w:eastAsia="方正兰亭纤黑简体" w:cs="仿宋"/>
              </w:rPr>
            </w:pPr>
            <w:r>
              <w:rPr>
                <w:rFonts w:hint="eastAsia" w:ascii="方正兰亭纤黑简体" w:hAnsi="仿宋" w:eastAsia="方正兰亭纤黑简体" w:cs="仿宋"/>
                <w:b/>
                <w:bCs/>
                <w:sz w:val="24"/>
              </w:rPr>
              <w:t>站点慢行与接驳：</w:t>
            </w:r>
            <w:r>
              <w:rPr>
                <w:rFonts w:hint="eastAsia" w:ascii="方正兰亭纤黑简体" w:hAnsi="仿宋" w:eastAsia="方正兰亭纤黑简体" w:cs="仿宋"/>
                <w:bCs/>
                <w:sz w:val="24"/>
              </w:rPr>
              <w:t>研究储备</w:t>
            </w:r>
            <w:r>
              <w:rPr>
                <w:rFonts w:hint="eastAsia" w:ascii="方正兰亭纤黑简体" w:hAnsi="仿宋" w:eastAsia="方正兰亭纤黑简体" w:cs="仿宋"/>
                <w:sz w:val="24"/>
              </w:rPr>
              <w:t>大足石刻高铁站/C3线香国公园站/大足东站站点慢行与接驳研究，C</w:t>
            </w:r>
            <w:r>
              <w:rPr>
                <w:rFonts w:ascii="方正兰亭纤黑简体" w:hAnsi="仿宋" w:eastAsia="方正兰亭纤黑简体" w:cs="仿宋"/>
                <w:sz w:val="24"/>
              </w:rPr>
              <w:t>3</w:t>
            </w:r>
            <w:r>
              <w:rPr>
                <w:rFonts w:hint="eastAsia" w:ascii="方正兰亭纤黑简体" w:hAnsi="仿宋" w:eastAsia="方正兰亭纤黑简体" w:cs="仿宋"/>
                <w:sz w:val="24"/>
              </w:rPr>
              <w:t>线</w:t>
            </w:r>
            <w:r>
              <w:rPr>
                <w:rFonts w:ascii="方正兰亭纤黑简体" w:hAnsi="仿宋" w:eastAsia="方正兰亭纤黑简体" w:cs="仿宋"/>
                <w:sz w:val="24"/>
              </w:rPr>
              <w:t>香国公园站</w:t>
            </w:r>
            <w:r>
              <w:rPr>
                <w:rFonts w:hint="eastAsia" w:ascii="方正兰亭纤黑简体" w:hAnsi="仿宋" w:eastAsia="方正兰亭纤黑简体" w:cs="仿宋"/>
                <w:sz w:val="24"/>
              </w:rPr>
              <w:t xml:space="preserve">/大足东站“P+R”设施。                                       </w:t>
            </w:r>
          </w:p>
        </w:tc>
      </w:tr>
    </w:tbl>
    <w:p>
      <w:pPr>
        <w:pStyle w:val="5"/>
        <w:ind w:left="0"/>
        <w:rPr>
          <w:rFonts w:ascii="方正兰亭纤黑简体" w:hAnsi="仿宋" w:eastAsia="方正兰亭纤黑简体" w:cs="仿宋"/>
          <w:b/>
          <w:bCs w:val="0"/>
        </w:rPr>
      </w:pPr>
      <w:bookmarkStart w:id="91" w:name="_Toc30412"/>
      <w:bookmarkStart w:id="92" w:name="_Toc2464"/>
      <w:bookmarkStart w:id="93" w:name="_Toc20132"/>
      <w:bookmarkStart w:id="94" w:name="_Toc8816"/>
      <w:bookmarkStart w:id="95" w:name="_Toc16043"/>
      <w:r>
        <w:rPr>
          <w:rFonts w:hint="eastAsia" w:ascii="方正兰亭纤黑简体" w:hAnsi="仿宋" w:eastAsia="方正兰亭纤黑简体" w:cs="仿宋"/>
          <w:b/>
          <w:bCs w:val="0"/>
        </w:rPr>
        <w:t>大力完善城市道路网络</w:t>
      </w:r>
      <w:bookmarkEnd w:id="91"/>
      <w:bookmarkEnd w:id="92"/>
      <w:bookmarkEnd w:id="93"/>
      <w:bookmarkEnd w:id="94"/>
      <w:bookmarkEnd w:id="95"/>
    </w:p>
    <w:p>
      <w:pPr>
        <w:widowControl/>
        <w:ind w:firstLine="560"/>
        <w:jc w:val="left"/>
        <w:rPr>
          <w:rFonts w:ascii="方正兰亭纤黑简体" w:hAnsi="仿宋" w:eastAsia="方正兰亭纤黑简体" w:cs="仿宋"/>
          <w:sz w:val="28"/>
        </w:rPr>
      </w:pPr>
      <w:r>
        <w:rPr>
          <w:rFonts w:hint="eastAsia" w:ascii="方正兰亭纤黑简体" w:hAnsi="仿宋" w:eastAsia="方正兰亭纤黑简体" w:cs="仿宋"/>
          <w:sz w:val="28"/>
        </w:rPr>
        <w:t>在“外联”和“内畅”上下功夫，加大对外联系通道和城市骨架道路建设，完善核心区城市次支路网，加快大通道建设，提高道路交通互联互通水平，构建级配合理的道路网络，将我区建成为渝西川东重要交通枢纽。2021-2025期间我区</w:t>
      </w:r>
      <w:r>
        <w:rPr>
          <w:rFonts w:hint="eastAsia" w:ascii="方正兰亭纤黑简体" w:hAnsi="仿宋" w:eastAsia="方正兰亭纤黑简体" w:cs="仿宋"/>
          <w:sz w:val="28"/>
          <w:szCs w:val="28"/>
        </w:rPr>
        <w:t>新增城市道路约66.73公里，改建城市道路约</w:t>
      </w:r>
      <w:r>
        <w:rPr>
          <w:rFonts w:ascii="方正兰亭纤黑简体" w:hAnsi="仿宋" w:eastAsia="方正兰亭纤黑简体" w:cs="仿宋"/>
          <w:sz w:val="28"/>
          <w:szCs w:val="28"/>
        </w:rPr>
        <w:t>17.38</w:t>
      </w:r>
      <w:r>
        <w:rPr>
          <w:rFonts w:hint="eastAsia" w:ascii="方正兰亭纤黑简体" w:hAnsi="仿宋" w:eastAsia="方正兰亭纤黑简体" w:cs="仿宋"/>
          <w:sz w:val="28"/>
          <w:szCs w:val="28"/>
        </w:rPr>
        <w:t>公里，通车总里程达到约</w:t>
      </w:r>
      <w:r>
        <w:rPr>
          <w:rFonts w:ascii="方正兰亭纤黑简体" w:hAnsi="仿宋" w:eastAsia="方正兰亭纤黑简体" w:cs="仿宋"/>
          <w:sz w:val="28"/>
          <w:szCs w:val="28"/>
        </w:rPr>
        <w:t>263.64</w:t>
      </w:r>
      <w:r>
        <w:rPr>
          <w:rFonts w:hint="eastAsia" w:ascii="方正兰亭纤黑简体" w:hAnsi="仿宋" w:eastAsia="方正兰亭纤黑简体" w:cs="仿宋"/>
          <w:sz w:val="28"/>
          <w:szCs w:val="28"/>
        </w:rPr>
        <w:t>公里，新</w:t>
      </w:r>
      <w:r>
        <w:rPr>
          <w:rFonts w:ascii="方正兰亭纤黑简体" w:hAnsi="仿宋" w:eastAsia="方正兰亭纤黑简体" w:cs="仿宋"/>
          <w:sz w:val="28"/>
          <w:szCs w:val="28"/>
        </w:rPr>
        <w:t>开工项目约24.5</w:t>
      </w:r>
      <w:r>
        <w:rPr>
          <w:rFonts w:hint="eastAsia" w:ascii="方正兰亭纤黑简体" w:hAnsi="仿宋" w:eastAsia="方正兰亭纤黑简体" w:cs="仿宋"/>
          <w:sz w:val="28"/>
          <w:szCs w:val="28"/>
        </w:rPr>
        <w:t>公里</w:t>
      </w:r>
      <w:r>
        <w:rPr>
          <w:rFonts w:ascii="方正兰亭纤黑简体" w:hAnsi="仿宋" w:eastAsia="方正兰亭纤黑简体" w:cs="仿宋"/>
          <w:sz w:val="28"/>
          <w:szCs w:val="28"/>
        </w:rPr>
        <w:t>，</w:t>
      </w:r>
      <w:r>
        <w:rPr>
          <w:rFonts w:hint="eastAsia" w:ascii="方正兰亭纤黑简体" w:hAnsi="仿宋" w:eastAsia="方正兰亭纤黑简体" w:cs="仿宋"/>
          <w:sz w:val="28"/>
          <w:szCs w:val="28"/>
        </w:rPr>
        <w:t>储备项目约92.</w:t>
      </w:r>
      <w:r>
        <w:rPr>
          <w:rFonts w:ascii="方正兰亭纤黑简体" w:hAnsi="仿宋" w:eastAsia="方正兰亭纤黑简体" w:cs="仿宋"/>
          <w:sz w:val="28"/>
          <w:szCs w:val="28"/>
        </w:rPr>
        <w:t>1</w:t>
      </w:r>
      <w:r>
        <w:rPr>
          <w:rFonts w:hint="eastAsia" w:ascii="方正兰亭纤黑简体" w:hAnsi="仿宋" w:eastAsia="方正兰亭纤黑简体" w:cs="仿宋"/>
          <w:sz w:val="28"/>
          <w:szCs w:val="28"/>
        </w:rPr>
        <w:t>公里。</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推进都市区快速融城通道。</w:t>
      </w:r>
      <w:r>
        <w:rPr>
          <w:rFonts w:hint="eastAsia" w:ascii="方正兰亭纤黑简体" w:hAnsi="仿宋" w:eastAsia="方正兰亭纤黑简体" w:cs="仿宋"/>
          <w:sz w:val="28"/>
        </w:rPr>
        <w:t>促进“桥头堡”城市与重庆中心城区交通联系，加强我区城区与沿线产业和重点镇的联系，规划构建快速道路系统，降低货运物流成本，形成立体道路网络体系。</w:t>
      </w:r>
      <w:r>
        <w:rPr>
          <w:rFonts w:hint="eastAsia" w:ascii="方正兰亭纤黑简体" w:hAnsi="仿宋" w:eastAsia="方正兰亭纤黑简体" w:cs="仿宋"/>
          <w:sz w:val="28"/>
          <w:lang w:eastAsia="zh-CN"/>
        </w:rPr>
        <w:t>“十四五”</w:t>
      </w:r>
      <w:r>
        <w:rPr>
          <w:rFonts w:hint="eastAsia" w:ascii="方正兰亭纤黑简体" w:hAnsi="仿宋" w:eastAsia="方正兰亭纤黑简体" w:cs="仿宋"/>
          <w:sz w:val="28"/>
        </w:rPr>
        <w:t>期间拟建设中心城区-大足融城快速通道，东起于快速路璧山区双龙大道，沿线串联璧山北部城区，铜梁南部片区、永川北部片区，终点衔接大足区城区，全长约33.2公里（大足段长约9.7公里），促进大足与主城中心城区同城化发展。</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新建区域联系通道。</w:t>
      </w:r>
      <w:r>
        <w:rPr>
          <w:rFonts w:hint="eastAsia" w:ascii="方正兰亭纤黑简体" w:hAnsi="仿宋" w:eastAsia="方正兰亭纤黑简体" w:cs="仿宋"/>
          <w:sz w:val="28"/>
        </w:rPr>
        <w:t>为适度扩大城市规模、优化城市布局，有效推动成渝双城经济圈建设及主城都市区融合发展，强化大足中心城市区与中敖、三驱、万古等3个新兴发展区域衔接，加快推进大足作为桥头堡城市与中心城区城市道路的互联互通，构建“一环三射”的快速通道体系。2021-2025期间建设宝顶山景区至北山景区快速通道（S302渡槽至龙岗新建工程），围绕大足石刻景区，加快宝顶、北山、南山三山联动发展，支撑建设大足石刻文化公园新城。建设</w:t>
      </w:r>
      <w:r>
        <w:rPr>
          <w:rFonts w:ascii="方正兰亭纤黑简体" w:hAnsi="仿宋" w:eastAsia="方正兰亭纤黑简体" w:cs="仿宋"/>
          <w:sz w:val="28"/>
        </w:rPr>
        <w:t>完成</w:t>
      </w:r>
      <w:r>
        <w:rPr>
          <w:rFonts w:hint="eastAsia" w:ascii="方正兰亭纤黑简体" w:hAnsi="仿宋" w:eastAsia="方正兰亭纤黑简体" w:cs="仿宋"/>
          <w:sz w:val="28"/>
        </w:rPr>
        <w:t>大足城区至中敖快速通道（G246大足城区至中敖改建工程），</w:t>
      </w:r>
      <w:r>
        <w:rPr>
          <w:rFonts w:ascii="方正兰亭纤黑简体" w:hAnsi="仿宋" w:eastAsia="方正兰亭纤黑简体" w:cs="仿宋"/>
          <w:sz w:val="28"/>
        </w:rPr>
        <w:t>研究储备</w:t>
      </w:r>
      <w:r>
        <w:rPr>
          <w:rFonts w:hint="eastAsia" w:ascii="方正兰亭纤黑简体" w:hAnsi="仿宋" w:eastAsia="方正兰亭纤黑简体" w:cs="仿宋"/>
          <w:sz w:val="28"/>
        </w:rPr>
        <w:t>城区至文创园快速通道、城区至高新区快速通道，为未来我区中心城区与各重点发展区域构建道路交通强联系奠定坚实基础。</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加快城市骨架道路完善与扩能。</w:t>
      </w:r>
      <w:r>
        <w:rPr>
          <w:rFonts w:hint="eastAsia" w:ascii="方正兰亭纤黑简体" w:hAnsi="仿宋" w:eastAsia="方正兰亭纤黑简体" w:cs="仿宋"/>
          <w:sz w:val="28"/>
        </w:rPr>
        <w:t>着力完善城市骨架路网结构，城市中心区形成“六横四纵”的骨架路网、北厅-文旅服务区形成</w:t>
      </w:r>
      <w:r>
        <w:rPr>
          <w:rFonts w:ascii="方正兰亭纤黑简体" w:hAnsi="仿宋" w:eastAsia="方正兰亭纤黑简体" w:cs="仿宋"/>
          <w:sz w:val="28"/>
        </w:rPr>
        <w:t>“</w:t>
      </w:r>
      <w:r>
        <w:rPr>
          <w:rFonts w:hint="eastAsia" w:ascii="方正兰亭纤黑简体" w:hAnsi="仿宋" w:eastAsia="方正兰亭纤黑简体" w:cs="仿宋"/>
          <w:sz w:val="28"/>
        </w:rPr>
        <w:t>六</w:t>
      </w:r>
      <w:r>
        <w:rPr>
          <w:rFonts w:ascii="方正兰亭纤黑简体" w:hAnsi="仿宋" w:eastAsia="方正兰亭纤黑简体" w:cs="仿宋"/>
          <w:sz w:val="28"/>
        </w:rPr>
        <w:t>横两</w:t>
      </w:r>
      <w:r>
        <w:rPr>
          <w:rFonts w:hint="eastAsia" w:ascii="方正兰亭纤黑简体" w:hAnsi="仿宋" w:eastAsia="方正兰亭纤黑简体" w:cs="仿宋"/>
          <w:sz w:val="28"/>
        </w:rPr>
        <w:t>纵</w:t>
      </w:r>
      <w:r>
        <w:rPr>
          <w:rFonts w:ascii="方正兰亭纤黑简体" w:hAnsi="仿宋" w:eastAsia="方正兰亭纤黑简体" w:cs="仿宋"/>
          <w:sz w:val="28"/>
        </w:rPr>
        <w:t>”</w:t>
      </w:r>
      <w:r>
        <w:rPr>
          <w:rFonts w:hint="eastAsia" w:ascii="方正兰亭纤黑简体" w:hAnsi="仿宋" w:eastAsia="方正兰亭纤黑简体" w:cs="仿宋"/>
          <w:sz w:val="28"/>
        </w:rPr>
        <w:t>骨架路网</w:t>
      </w:r>
      <w:r>
        <w:rPr>
          <w:rFonts w:ascii="方正兰亭纤黑简体" w:hAnsi="仿宋" w:eastAsia="方正兰亭纤黑简体" w:cs="仿宋"/>
          <w:sz w:val="28"/>
        </w:rPr>
        <w:t>、</w:t>
      </w:r>
      <w:r>
        <w:rPr>
          <w:rFonts w:hint="eastAsia" w:ascii="方正兰亭纤黑简体" w:hAnsi="仿宋" w:eastAsia="方正兰亭纤黑简体" w:cs="仿宋"/>
          <w:sz w:val="28"/>
        </w:rPr>
        <w:t>龙水片区形成“三横五纵”骨架路网、万古片区形成“四横三纵”骨架路网、三驱片区形成“三横六纵”骨架路网加快规划路网建设，缓解中心城区内部交通压力；紧跟大足石刻文化</w:t>
      </w:r>
      <w:r>
        <w:rPr>
          <w:rFonts w:ascii="方正兰亭纤黑简体" w:hAnsi="仿宋" w:eastAsia="方正兰亭纤黑简体" w:cs="仿宋"/>
          <w:sz w:val="28"/>
        </w:rPr>
        <w:t>公园新城核心区</w:t>
      </w:r>
      <w:r>
        <w:rPr>
          <w:rFonts w:hint="eastAsia" w:ascii="方正兰亭纤黑简体" w:hAnsi="仿宋" w:eastAsia="方正兰亭纤黑简体" w:cs="仿宋"/>
          <w:sz w:val="28"/>
        </w:rPr>
        <w:t>城市设计调整情况，做好骨干道路网络规划与建设安排。</w:t>
      </w:r>
    </w:p>
    <w:p>
      <w:pPr>
        <w:pStyle w:val="2"/>
        <w:ind w:firstLine="0" w:firstLineChars="0"/>
        <w:jc w:val="center"/>
      </w:pPr>
      <w:r>
        <w:drawing>
          <wp:inline distT="0" distB="0" distL="0" distR="0">
            <wp:extent cx="4025900" cy="3110865"/>
            <wp:effectExtent l="0" t="0" r="0" b="0"/>
            <wp:docPr id="16" name="图片 16" descr="F:\2022\12.大足十四五规划\大足十四五20221122\十四五规划编制11.30\龙岗棠香路网.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F:\2022\12.大足十四五规划\大足十四五20221122\十四五规划编制11.30\龙岗棠香路网.png"/>
                    <pic:cNvPicPr>
                      <a:picLocks noChangeAspect="1" noChangeArrowheads="1"/>
                    </pic:cNvPicPr>
                  </pic:nvPicPr>
                  <pic:blipFill>
                    <a:blip r:embed="rId22" cstate="print">
                      <a:extLst>
                        <a:ext uri="{28A0092B-C50C-407E-A947-70E740481C1C}">
                          <a14:useLocalDpi xmlns:a14="http://schemas.microsoft.com/office/drawing/2010/main" val="0"/>
                        </a:ext>
                      </a:extLst>
                    </a:blip>
                    <a:srcRect t="4226" b="5055"/>
                    <a:stretch>
                      <a:fillRect/>
                    </a:stretch>
                  </pic:blipFill>
                  <pic:spPr>
                    <a:xfrm>
                      <a:off x="0" y="0"/>
                      <a:ext cx="4068913" cy="3144457"/>
                    </a:xfrm>
                    <a:prstGeom prst="rect">
                      <a:avLst/>
                    </a:prstGeom>
                    <a:noFill/>
                    <a:ln>
                      <a:noFill/>
                    </a:ln>
                  </pic:spPr>
                </pic:pic>
              </a:graphicData>
            </a:graphic>
          </wp:inline>
        </w:drawing>
      </w:r>
    </w:p>
    <w:p>
      <w:pPr>
        <w:pStyle w:val="2"/>
        <w:ind w:firstLine="0" w:firstLineChars="0"/>
        <w:jc w:val="center"/>
        <w:rPr>
          <w:rFonts w:ascii="方正兰亭纤黑简体" w:hAnsi="仿宋" w:eastAsia="方正兰亭纤黑简体" w:cs="仿宋"/>
          <w:sz w:val="21"/>
        </w:rPr>
      </w:pPr>
      <w:r>
        <w:rPr>
          <w:rFonts w:hint="eastAsia" w:ascii="方正兰亭纤黑简体" w:hAnsi="仿宋" w:eastAsia="方正兰亭纤黑简体" w:cs="仿宋"/>
          <w:sz w:val="21"/>
        </w:rPr>
        <w:t>城市中心区</w:t>
      </w:r>
      <w:r>
        <w:rPr>
          <w:rFonts w:ascii="方正兰亭纤黑简体" w:hAnsi="仿宋" w:eastAsia="方正兰亭纤黑简体" w:cs="仿宋"/>
          <w:sz w:val="21"/>
        </w:rPr>
        <w:t xml:space="preserve"> “</w:t>
      </w:r>
      <w:r>
        <w:rPr>
          <w:rFonts w:hint="eastAsia" w:ascii="方正兰亭纤黑简体" w:hAnsi="仿宋" w:eastAsia="方正兰亭纤黑简体" w:cs="仿宋"/>
          <w:sz w:val="21"/>
        </w:rPr>
        <w:t>六横</w:t>
      </w:r>
      <w:r>
        <w:rPr>
          <w:rFonts w:ascii="方正兰亭纤黑简体" w:hAnsi="仿宋" w:eastAsia="方正兰亭纤黑简体" w:cs="仿宋"/>
          <w:sz w:val="21"/>
        </w:rPr>
        <w:t>四</w:t>
      </w:r>
      <w:r>
        <w:rPr>
          <w:rFonts w:hint="eastAsia" w:ascii="方正兰亭纤黑简体" w:hAnsi="仿宋" w:eastAsia="方正兰亭纤黑简体" w:cs="仿宋"/>
          <w:sz w:val="21"/>
        </w:rPr>
        <w:t>纵</w:t>
      </w:r>
      <w:r>
        <w:rPr>
          <w:rFonts w:ascii="方正兰亭纤黑简体" w:hAnsi="仿宋" w:eastAsia="方正兰亭纤黑简体" w:cs="仿宋"/>
          <w:sz w:val="21"/>
        </w:rPr>
        <w:t>”</w:t>
      </w:r>
      <w:r>
        <w:rPr>
          <w:rFonts w:hint="eastAsia" w:ascii="方正兰亭纤黑简体" w:hAnsi="仿宋" w:eastAsia="方正兰亭纤黑简体" w:cs="仿宋"/>
          <w:sz w:val="21"/>
        </w:rPr>
        <w:t>骨架路</w:t>
      </w:r>
      <w:r>
        <w:rPr>
          <w:rFonts w:ascii="方正兰亭纤黑简体" w:hAnsi="仿宋" w:eastAsia="方正兰亭纤黑简体" w:cs="仿宋"/>
          <w:sz w:val="21"/>
        </w:rPr>
        <w:t>网</w:t>
      </w:r>
    </w:p>
    <w:p>
      <w:pPr>
        <w:pStyle w:val="2"/>
        <w:ind w:firstLine="0" w:firstLineChars="0"/>
        <w:jc w:val="center"/>
        <w:rPr>
          <w:rFonts w:ascii="方正兰亭纤黑简体" w:hAnsi="仿宋" w:eastAsia="方正兰亭纤黑简体" w:cs="仿宋"/>
          <w:sz w:val="21"/>
        </w:rPr>
      </w:pPr>
      <w:r>
        <w:rPr>
          <w:rFonts w:hint="eastAsia" w:ascii="方正兰亭纤黑简体" w:hAnsi="仿宋" w:eastAsia="方正兰亭纤黑简体" w:cs="仿宋"/>
          <w:sz w:val="21"/>
        </w:rPr>
        <w:drawing>
          <wp:inline distT="0" distB="0" distL="114300" distR="114300">
            <wp:extent cx="2940685" cy="3830320"/>
            <wp:effectExtent l="0" t="0" r="12065" b="17780"/>
            <wp:docPr id="8" name="图片 8" descr="f1bff2490278fb4f86b83f9bb7d62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f1bff2490278fb4f86b83f9bb7d62b6"/>
                    <pic:cNvPicPr>
                      <a:picLocks noChangeAspect="1"/>
                    </pic:cNvPicPr>
                  </pic:nvPicPr>
                  <pic:blipFill>
                    <a:blip r:embed="rId18"/>
                    <a:srcRect t="5853"/>
                    <a:stretch>
                      <a:fillRect/>
                    </a:stretch>
                  </pic:blipFill>
                  <pic:spPr>
                    <a:xfrm>
                      <a:off x="0" y="0"/>
                      <a:ext cx="2940685" cy="3830320"/>
                    </a:xfrm>
                    <a:prstGeom prst="rect">
                      <a:avLst/>
                    </a:prstGeom>
                  </pic:spPr>
                </pic:pic>
              </a:graphicData>
            </a:graphic>
          </wp:inline>
        </w:drawing>
      </w:r>
    </w:p>
    <w:p>
      <w:pPr>
        <w:pStyle w:val="2"/>
        <w:ind w:firstLine="0" w:firstLineChars="0"/>
        <w:jc w:val="center"/>
        <w:rPr>
          <w:rFonts w:ascii="方正兰亭纤黑简体" w:hAnsi="仿宋" w:eastAsia="方正兰亭纤黑简体" w:cs="仿宋"/>
          <w:sz w:val="21"/>
        </w:rPr>
      </w:pPr>
      <w:r>
        <w:rPr>
          <w:rFonts w:hint="eastAsia" w:ascii="方正兰亭纤黑简体" w:hAnsi="仿宋" w:eastAsia="方正兰亭纤黑简体" w:cs="仿宋"/>
          <w:sz w:val="21"/>
        </w:rPr>
        <w:t>北厅-文旅服务区</w:t>
      </w:r>
      <w:r>
        <w:rPr>
          <w:rFonts w:ascii="方正兰亭纤黑简体" w:hAnsi="仿宋" w:eastAsia="方正兰亭纤黑简体" w:cs="仿宋"/>
          <w:sz w:val="21"/>
        </w:rPr>
        <w:t xml:space="preserve"> “</w:t>
      </w:r>
      <w:r>
        <w:rPr>
          <w:rFonts w:hint="eastAsia" w:ascii="方正兰亭纤黑简体" w:hAnsi="仿宋" w:eastAsia="方正兰亭纤黑简体" w:cs="仿宋"/>
          <w:sz w:val="21"/>
        </w:rPr>
        <w:t>四横两纵</w:t>
      </w:r>
      <w:r>
        <w:rPr>
          <w:rFonts w:ascii="方正兰亭纤黑简体" w:hAnsi="仿宋" w:eastAsia="方正兰亭纤黑简体" w:cs="仿宋"/>
          <w:sz w:val="21"/>
        </w:rPr>
        <w:t>”</w:t>
      </w:r>
      <w:r>
        <w:rPr>
          <w:rFonts w:hint="eastAsia" w:ascii="方正兰亭纤黑简体" w:hAnsi="仿宋" w:eastAsia="方正兰亭纤黑简体" w:cs="仿宋"/>
          <w:sz w:val="21"/>
        </w:rPr>
        <w:t>骨架路网</w:t>
      </w:r>
    </w:p>
    <w:p>
      <w:pPr>
        <w:pStyle w:val="2"/>
        <w:ind w:firstLine="0" w:firstLineChars="0"/>
        <w:jc w:val="center"/>
        <w:rPr>
          <w:rFonts w:ascii="方正兰亭纤黑简体" w:hAnsi="仿宋" w:eastAsia="方正兰亭纤黑简体" w:cs="仿宋"/>
          <w:sz w:val="21"/>
        </w:rPr>
      </w:pPr>
      <w:r>
        <w:drawing>
          <wp:inline distT="0" distB="0" distL="0" distR="0">
            <wp:extent cx="3987165" cy="3668395"/>
            <wp:effectExtent l="0" t="0" r="0" b="825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3"/>
                    <a:stretch>
                      <a:fillRect/>
                    </a:stretch>
                  </pic:blipFill>
                  <pic:spPr>
                    <a:xfrm>
                      <a:off x="0" y="0"/>
                      <a:ext cx="3993692" cy="3674427"/>
                    </a:xfrm>
                    <a:prstGeom prst="rect">
                      <a:avLst/>
                    </a:prstGeom>
                  </pic:spPr>
                </pic:pic>
              </a:graphicData>
            </a:graphic>
          </wp:inline>
        </w:drawing>
      </w:r>
    </w:p>
    <w:p>
      <w:pPr>
        <w:pStyle w:val="2"/>
        <w:ind w:firstLine="0" w:firstLineChars="0"/>
        <w:jc w:val="center"/>
        <w:rPr>
          <w:rFonts w:ascii="方正兰亭纤黑简体" w:hAnsi="仿宋" w:eastAsia="方正兰亭纤黑简体" w:cs="仿宋"/>
          <w:sz w:val="21"/>
        </w:rPr>
      </w:pPr>
      <w:r>
        <w:rPr>
          <w:rFonts w:hint="eastAsia" w:ascii="方正兰亭纤黑简体" w:hAnsi="仿宋" w:eastAsia="方正兰亭纤黑简体" w:cs="仿宋"/>
          <w:sz w:val="21"/>
        </w:rPr>
        <w:t>龙水片区</w:t>
      </w:r>
      <w:r>
        <w:rPr>
          <w:rFonts w:ascii="方正兰亭纤黑简体" w:hAnsi="仿宋" w:eastAsia="方正兰亭纤黑简体" w:cs="仿宋"/>
          <w:sz w:val="21"/>
        </w:rPr>
        <w:t xml:space="preserve"> “</w:t>
      </w:r>
      <w:r>
        <w:rPr>
          <w:rFonts w:hint="eastAsia" w:ascii="方正兰亭纤黑简体" w:hAnsi="仿宋" w:eastAsia="方正兰亭纤黑简体" w:cs="仿宋"/>
          <w:sz w:val="21"/>
        </w:rPr>
        <w:t>三横五纵</w:t>
      </w:r>
      <w:r>
        <w:rPr>
          <w:rFonts w:ascii="方正兰亭纤黑简体" w:hAnsi="仿宋" w:eastAsia="方正兰亭纤黑简体" w:cs="仿宋"/>
          <w:sz w:val="21"/>
        </w:rPr>
        <w:t>”</w:t>
      </w:r>
      <w:r>
        <w:rPr>
          <w:rFonts w:hint="eastAsia" w:ascii="方正兰亭纤黑简体" w:hAnsi="仿宋" w:eastAsia="方正兰亭纤黑简体" w:cs="仿宋"/>
          <w:sz w:val="21"/>
        </w:rPr>
        <w:t>骨架路网</w:t>
      </w:r>
    </w:p>
    <w:p>
      <w:pPr>
        <w:pStyle w:val="2"/>
        <w:ind w:firstLine="0" w:firstLineChars="0"/>
        <w:jc w:val="center"/>
        <w:rPr>
          <w:rFonts w:ascii="方正兰亭纤黑简体" w:hAnsi="仿宋" w:eastAsia="方正兰亭纤黑简体" w:cs="仿宋"/>
          <w:sz w:val="21"/>
        </w:rPr>
      </w:pPr>
      <w:r>
        <w:rPr>
          <w:rFonts w:ascii="方正兰亭纤黑简体" w:hAnsi="仿宋" w:eastAsia="方正兰亭纤黑简体" w:cs="仿宋"/>
          <w:sz w:val="21"/>
        </w:rPr>
        <w:drawing>
          <wp:inline distT="0" distB="0" distL="0" distR="0">
            <wp:extent cx="4450715" cy="3737610"/>
            <wp:effectExtent l="0" t="0" r="6985" b="0"/>
            <wp:docPr id="19" name="图片 19" descr="F:\2022\12.大足十四五规划\大足十四五20221122\十四五规划编制11.30\万古路网.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F:\2022\12.大足十四五规划\大足十四五20221122\十四五规划编制11.30\万古路网.png"/>
                    <pic:cNvPicPr>
                      <a:picLocks noChangeAspect="1" noChangeArrowheads="1"/>
                    </pic:cNvPicPr>
                  </pic:nvPicPr>
                  <pic:blipFill>
                    <a:blip r:embed="rId24" cstate="print">
                      <a:extLst>
                        <a:ext uri="{28A0092B-C50C-407E-A947-70E740481C1C}">
                          <a14:useLocalDpi xmlns:a14="http://schemas.microsoft.com/office/drawing/2010/main" val="0"/>
                        </a:ext>
                      </a:extLst>
                    </a:blip>
                    <a:srcRect t="1067"/>
                    <a:stretch>
                      <a:fillRect/>
                    </a:stretch>
                  </pic:blipFill>
                  <pic:spPr>
                    <a:xfrm>
                      <a:off x="0" y="0"/>
                      <a:ext cx="4486977" cy="3768259"/>
                    </a:xfrm>
                    <a:prstGeom prst="rect">
                      <a:avLst/>
                    </a:prstGeom>
                    <a:noFill/>
                    <a:ln>
                      <a:noFill/>
                    </a:ln>
                  </pic:spPr>
                </pic:pic>
              </a:graphicData>
            </a:graphic>
          </wp:inline>
        </w:drawing>
      </w:r>
    </w:p>
    <w:p>
      <w:pPr>
        <w:pStyle w:val="2"/>
        <w:ind w:firstLine="0" w:firstLineChars="0"/>
        <w:jc w:val="center"/>
        <w:rPr>
          <w:rFonts w:ascii="方正兰亭纤黑简体" w:hAnsi="仿宋" w:eastAsia="方正兰亭纤黑简体" w:cs="仿宋"/>
          <w:sz w:val="21"/>
        </w:rPr>
      </w:pPr>
      <w:r>
        <w:rPr>
          <w:rFonts w:hint="eastAsia" w:ascii="方正兰亭纤黑简体" w:hAnsi="仿宋" w:eastAsia="方正兰亭纤黑简体" w:cs="仿宋"/>
          <w:sz w:val="21"/>
        </w:rPr>
        <w:t>万古片区</w:t>
      </w:r>
      <w:r>
        <w:rPr>
          <w:rFonts w:ascii="方正兰亭纤黑简体" w:hAnsi="仿宋" w:eastAsia="方正兰亭纤黑简体" w:cs="仿宋"/>
          <w:sz w:val="21"/>
        </w:rPr>
        <w:t>“</w:t>
      </w:r>
      <w:r>
        <w:rPr>
          <w:rFonts w:hint="eastAsia" w:ascii="方正兰亭纤黑简体" w:hAnsi="仿宋" w:eastAsia="方正兰亭纤黑简体" w:cs="仿宋"/>
          <w:sz w:val="21"/>
        </w:rPr>
        <w:t>四横三纵</w:t>
      </w:r>
      <w:r>
        <w:rPr>
          <w:rFonts w:ascii="方正兰亭纤黑简体" w:hAnsi="仿宋" w:eastAsia="方正兰亭纤黑简体" w:cs="仿宋"/>
          <w:sz w:val="21"/>
        </w:rPr>
        <w:t>”</w:t>
      </w:r>
      <w:r>
        <w:rPr>
          <w:rFonts w:hint="eastAsia" w:ascii="方正兰亭纤黑简体" w:hAnsi="仿宋" w:eastAsia="方正兰亭纤黑简体" w:cs="仿宋"/>
          <w:sz w:val="21"/>
        </w:rPr>
        <w:t>骨架路网</w:t>
      </w:r>
    </w:p>
    <w:p>
      <w:pPr>
        <w:pStyle w:val="2"/>
        <w:ind w:firstLine="0" w:firstLineChars="0"/>
        <w:jc w:val="center"/>
        <w:rPr>
          <w:rFonts w:ascii="方正兰亭纤黑简体" w:hAnsi="仿宋" w:eastAsia="方正兰亭纤黑简体" w:cs="仿宋"/>
          <w:sz w:val="21"/>
        </w:rPr>
      </w:pPr>
      <w:r>
        <w:drawing>
          <wp:inline distT="0" distB="0" distL="0" distR="0">
            <wp:extent cx="4370070" cy="3705860"/>
            <wp:effectExtent l="0" t="0" r="0" b="889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25"/>
                    <a:stretch>
                      <a:fillRect/>
                    </a:stretch>
                  </pic:blipFill>
                  <pic:spPr>
                    <a:xfrm>
                      <a:off x="0" y="0"/>
                      <a:ext cx="4381321" cy="3715631"/>
                    </a:xfrm>
                    <a:prstGeom prst="rect">
                      <a:avLst/>
                    </a:prstGeom>
                  </pic:spPr>
                </pic:pic>
              </a:graphicData>
            </a:graphic>
          </wp:inline>
        </w:drawing>
      </w:r>
    </w:p>
    <w:p>
      <w:pPr>
        <w:pStyle w:val="2"/>
        <w:ind w:firstLine="0" w:firstLineChars="0"/>
        <w:jc w:val="center"/>
        <w:rPr>
          <w:rFonts w:ascii="方正兰亭纤黑简体" w:hAnsi="仿宋" w:eastAsia="方正兰亭纤黑简体" w:cs="仿宋"/>
          <w:sz w:val="21"/>
        </w:rPr>
      </w:pPr>
      <w:r>
        <w:rPr>
          <w:rFonts w:hint="eastAsia" w:ascii="方正兰亭纤黑简体" w:hAnsi="仿宋" w:eastAsia="方正兰亭纤黑简体" w:cs="仿宋"/>
          <w:sz w:val="21"/>
        </w:rPr>
        <w:t>三驱片区</w:t>
      </w:r>
      <w:r>
        <w:rPr>
          <w:rFonts w:ascii="方正兰亭纤黑简体" w:hAnsi="仿宋" w:eastAsia="方正兰亭纤黑简体" w:cs="仿宋"/>
          <w:sz w:val="21"/>
        </w:rPr>
        <w:t>“</w:t>
      </w:r>
      <w:r>
        <w:rPr>
          <w:rFonts w:hint="eastAsia" w:ascii="方正兰亭纤黑简体" w:hAnsi="仿宋" w:eastAsia="方正兰亭纤黑简体" w:cs="仿宋"/>
          <w:sz w:val="21"/>
        </w:rPr>
        <w:t>三横六纵</w:t>
      </w:r>
      <w:r>
        <w:rPr>
          <w:rFonts w:ascii="方正兰亭纤黑简体" w:hAnsi="仿宋" w:eastAsia="方正兰亭纤黑简体" w:cs="仿宋"/>
          <w:sz w:val="21"/>
        </w:rPr>
        <w:t>”</w:t>
      </w:r>
      <w:r>
        <w:rPr>
          <w:rFonts w:hint="eastAsia" w:ascii="方正兰亭纤黑简体" w:hAnsi="仿宋" w:eastAsia="方正兰亭纤黑简体" w:cs="仿宋"/>
          <w:sz w:val="21"/>
        </w:rPr>
        <w:t>骨架路网</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大力完善片区次支路网。</w:t>
      </w:r>
      <w:r>
        <w:rPr>
          <w:rFonts w:hint="eastAsia" w:ascii="方正兰亭纤黑简体" w:hAnsi="仿宋" w:eastAsia="方正兰亭纤黑简体" w:cs="仿宋"/>
          <w:sz w:val="28"/>
        </w:rPr>
        <w:t>按照“窄马路、密路网”的城市路网布局理念，加密次支路网，拓宽瓶颈路，增强路网可达性，构建“马路上的老城区”。2021-2025期间我区拟建设大足石刻文化城石窟寺保护利用国际交流基地配套设施路网建设、天宫河片区开发道路项目、高新区</w:t>
      </w:r>
      <w:r>
        <w:rPr>
          <w:rFonts w:ascii="方正兰亭纤黑简体" w:hAnsi="仿宋" w:eastAsia="方正兰亭纤黑简体" w:cs="仿宋"/>
          <w:sz w:val="28"/>
        </w:rPr>
        <w:t>市政道路建设、</w:t>
      </w:r>
      <w:r>
        <w:rPr>
          <w:rFonts w:hint="eastAsia" w:ascii="方正兰亭纤黑简体" w:hAnsi="仿宋" w:eastAsia="方正兰亭纤黑简体" w:cs="仿宋"/>
          <w:sz w:val="28"/>
        </w:rPr>
        <w:t>大足工业园区东部片区开发及配套基础设施工程(一期)、大足石刻文创园附属设施建设二期项目等</w:t>
      </w:r>
      <w:r>
        <w:rPr>
          <w:rFonts w:ascii="方正兰亭纤黑简体" w:hAnsi="仿宋" w:eastAsia="方正兰亭纤黑简体" w:cs="仿宋"/>
          <w:sz w:val="28"/>
        </w:rPr>
        <w:t>，</w:t>
      </w:r>
      <w:r>
        <w:rPr>
          <w:rFonts w:hint="eastAsia" w:ascii="方正兰亭纤黑简体" w:hAnsi="仿宋" w:eastAsia="方正兰亭纤黑简体" w:cs="仿宋"/>
          <w:sz w:val="28"/>
        </w:rPr>
        <w:t>拟</w:t>
      </w:r>
      <w:r>
        <w:rPr>
          <w:rFonts w:ascii="方正兰亭纤黑简体" w:hAnsi="仿宋" w:eastAsia="方正兰亭纤黑简体" w:cs="仿宋"/>
          <w:sz w:val="28"/>
        </w:rPr>
        <w:t>新开工</w:t>
      </w:r>
      <w:r>
        <w:rPr>
          <w:rFonts w:hint="eastAsia" w:ascii="方正兰亭纤黑简体" w:hAnsi="仿宋" w:eastAsia="方正兰亭纤黑简体" w:cs="仿宋"/>
          <w:sz w:val="28"/>
        </w:rPr>
        <w:t>北厅次支路网、海棠新城南部片区城市道路建设、天宫河片区开发环境建设项目（天宫河博览园二期）等；研究储备大足石刻文创园三期附属设施项目、棠香街道东部新城水峰片区土地整治等区域次支路网，配合新区土地开发。结合C3线建设时序，拟研究储备香国公园站、大足东站周边路网，充分发挥大运量交通区域带动作用，助力大足实现</w:t>
      </w:r>
      <w:r>
        <w:rPr>
          <w:rFonts w:ascii="方正兰亭纤黑简体" w:hAnsi="仿宋" w:eastAsia="方正兰亭纤黑简体" w:cs="仿宋"/>
          <w:sz w:val="28"/>
        </w:rPr>
        <w:t>“</w:t>
      </w:r>
      <w:r>
        <w:rPr>
          <w:rFonts w:hint="eastAsia" w:ascii="方正兰亭纤黑简体" w:hAnsi="仿宋" w:eastAsia="方正兰亭纤黑简体" w:cs="仿宋"/>
          <w:sz w:val="28"/>
        </w:rPr>
        <w:t>轨道融城</w:t>
      </w:r>
      <w:r>
        <w:rPr>
          <w:rFonts w:ascii="方正兰亭纤黑简体" w:hAnsi="仿宋" w:eastAsia="方正兰亭纤黑简体" w:cs="仿宋"/>
          <w:sz w:val="28"/>
        </w:rPr>
        <w:t>”</w:t>
      </w:r>
      <w:r>
        <w:rPr>
          <w:rFonts w:hint="eastAsia" w:ascii="方正兰亭纤黑简体" w:hAnsi="仿宋" w:eastAsia="方正兰亭纤黑简体" w:cs="仿宋"/>
          <w:sz w:val="28"/>
        </w:rPr>
        <w:t>。</w:t>
      </w:r>
      <w:r>
        <w:rPr>
          <w:rFonts w:ascii="方正兰亭纤黑简体" w:hAnsi="仿宋" w:eastAsia="方正兰亭纤黑简体" w:cs="仿宋"/>
          <w:sz w:val="28"/>
        </w:rPr>
        <w:t xml:space="preserve"> </w:t>
      </w:r>
    </w:p>
    <w:p>
      <w:pPr>
        <w:pStyle w:val="2"/>
        <w:ind w:firstLine="562"/>
        <w:rPr>
          <w:rFonts w:ascii="方正兰亭纤黑简体" w:hAnsi="仿宋" w:eastAsia="方正兰亭纤黑简体" w:cs="仿宋"/>
          <w:sz w:val="28"/>
        </w:rPr>
      </w:pPr>
      <w:r>
        <w:rPr>
          <w:rFonts w:hint="eastAsia" w:ascii="方正兰亭纤黑简体" w:hAnsi="仿宋" w:eastAsia="方正兰亭纤黑简体" w:cs="仿宋"/>
          <w:b/>
          <w:bCs/>
          <w:sz w:val="28"/>
        </w:rPr>
        <w:t>推进文化融合特色</w:t>
      </w:r>
      <w:r>
        <w:rPr>
          <w:rFonts w:ascii="方正兰亭纤黑简体" w:hAnsi="仿宋" w:eastAsia="方正兰亭纤黑简体" w:cs="仿宋"/>
          <w:b/>
          <w:bCs/>
          <w:sz w:val="28"/>
        </w:rPr>
        <w:t>风貌</w:t>
      </w:r>
      <w:r>
        <w:rPr>
          <w:rFonts w:hint="eastAsia" w:ascii="方正兰亭纤黑简体" w:hAnsi="仿宋" w:eastAsia="方正兰亭纤黑简体" w:cs="仿宋"/>
          <w:b/>
          <w:bCs/>
          <w:sz w:val="28"/>
        </w:rPr>
        <w:t>道路建设。</w:t>
      </w:r>
      <w:r>
        <w:rPr>
          <w:rFonts w:hint="eastAsia" w:ascii="方正兰亭纤黑简体" w:hAnsi="仿宋" w:eastAsia="方正兰亭纤黑简体" w:cs="仿宋"/>
          <w:sz w:val="28"/>
        </w:rPr>
        <w:t>设计大足专属文化IP，塑造大足特色风貌</w:t>
      </w:r>
      <w:r>
        <w:rPr>
          <w:rFonts w:ascii="方正兰亭纤黑简体" w:hAnsi="仿宋" w:eastAsia="方正兰亭纤黑简体" w:cs="仿宋"/>
          <w:sz w:val="28"/>
        </w:rPr>
        <w:t>，</w:t>
      </w:r>
      <w:r>
        <w:rPr>
          <w:rFonts w:hint="eastAsia" w:ascii="方正兰亭纤黑简体" w:hAnsi="仿宋" w:eastAsia="方正兰亭纤黑简体" w:cs="仿宋"/>
          <w:sz w:val="28"/>
        </w:rPr>
        <w:t>融入到市政道路建设中。2021-2025期间我区拟新开工北厅</w:t>
      </w:r>
      <w:r>
        <w:rPr>
          <w:rFonts w:ascii="方正兰亭纤黑简体" w:hAnsi="仿宋" w:eastAsia="方正兰亭纤黑简体" w:cs="仿宋"/>
          <w:sz w:val="28"/>
        </w:rPr>
        <w:t>次支</w:t>
      </w:r>
      <w:r>
        <w:rPr>
          <w:rFonts w:hint="eastAsia" w:ascii="方正兰亭纤黑简体" w:hAnsi="仿宋" w:eastAsia="方正兰亭纤黑简体" w:cs="仿宋"/>
          <w:sz w:val="28"/>
        </w:rPr>
        <w:t>路网，构建通达顺畅的交通转换体系与区域服务体系，融入大足石刻文化元素，与高铁站景观融为一体，让游客到站既入景，形成我区又一文旅名片。为配合香国公园北扩，建立石窟寺保护利用国际交流基地，进一步扩充我区文旅基础设施，拟建设石窟寺保护利用国际交流基地区域路网约</w:t>
      </w:r>
      <w:r>
        <w:rPr>
          <w:rFonts w:ascii="方正兰亭纤黑简体" w:hAnsi="仿宋" w:eastAsia="方正兰亭纤黑简体" w:cs="仿宋"/>
          <w:sz w:val="28"/>
        </w:rPr>
        <w:t>3.71</w:t>
      </w:r>
      <w:r>
        <w:rPr>
          <w:rFonts w:hint="eastAsia" w:ascii="方正兰亭纤黑简体" w:hAnsi="仿宋" w:eastAsia="方正兰亭纤黑简体" w:cs="仿宋"/>
          <w:sz w:val="28"/>
        </w:rPr>
        <w:t>公里道路配合区域开发。</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强化路网更新</w:t>
      </w:r>
      <w:r>
        <w:rPr>
          <w:rFonts w:ascii="方正兰亭纤黑简体" w:hAnsi="仿宋" w:eastAsia="方正兰亭纤黑简体" w:cs="仿宋"/>
          <w:b/>
          <w:bCs/>
          <w:sz w:val="28"/>
        </w:rPr>
        <w:t>和</w:t>
      </w:r>
      <w:r>
        <w:rPr>
          <w:rFonts w:hint="eastAsia" w:ascii="方正兰亭纤黑简体" w:hAnsi="仿宋" w:eastAsia="方正兰亭纤黑简体" w:cs="仿宋"/>
          <w:b/>
          <w:bCs/>
          <w:sz w:val="28"/>
        </w:rPr>
        <w:t>提升改造。</w:t>
      </w:r>
      <w:r>
        <w:rPr>
          <w:rFonts w:hint="eastAsia" w:ascii="方正兰亭纤黑简体" w:hAnsi="仿宋" w:eastAsia="方正兰亭纤黑简体" w:cs="仿宋"/>
          <w:sz w:val="28"/>
        </w:rPr>
        <w:t>针对中心城区老城区拥堵，2021-2025期间实施龙岗山山门处道路整改工程、五星大道疏堵改造工程二期（体育中心至三环路交叉口）</w:t>
      </w:r>
      <w:r>
        <w:rPr>
          <w:rFonts w:ascii="方正兰亭纤黑简体" w:hAnsi="仿宋" w:eastAsia="方正兰亭纤黑简体" w:cs="仿宋"/>
          <w:sz w:val="28"/>
        </w:rPr>
        <w:t>等</w:t>
      </w:r>
      <w:r>
        <w:rPr>
          <w:rFonts w:hint="eastAsia" w:ascii="方正兰亭纤黑简体" w:hAnsi="仿宋" w:eastAsia="方正兰亭纤黑简体" w:cs="仿宋"/>
          <w:sz w:val="28"/>
        </w:rPr>
        <w:t>，拟储备一批城市道路改造提升工程（一环北路疏堵改造工程、一环南路东段疏堵改造工程、西门桥提升改造工程）。针对龙水镇老城区，2021-2025期间配合旧城改造实施主要服务道路扩能，拟储备龙水镇花园路道路改扩建工程、龙水镇小河街巷道路改扩建工程、龙水镇园古路道路改扩建工程、龙水镇滨河路尚溪国际段道路改造工程等项目；通过实施龙水镇老龙玉道路维修工程，提升道路运行能力；为配合大足工业园区扩容，提升大足工业园区对外联系能力，降低货运交通对龙水镇居住区影响，2021-2025期间拟实施</w:t>
      </w:r>
      <w:r>
        <w:rPr>
          <w:rFonts w:ascii="方正兰亭纤黑简体" w:hAnsi="仿宋" w:eastAsia="方正兰亭纤黑简体" w:cs="仿宋"/>
          <w:sz w:val="28"/>
        </w:rPr>
        <w:t>大邮路改造</w:t>
      </w:r>
      <w:r>
        <w:rPr>
          <w:rFonts w:hint="eastAsia" w:ascii="方正兰亭纤黑简体" w:hAnsi="仿宋" w:eastAsia="方正兰亭纤黑简体" w:cs="仿宋"/>
          <w:sz w:val="28"/>
        </w:rPr>
        <w:t>。</w:t>
      </w:r>
    </w:p>
    <w:p>
      <w:pPr>
        <w:adjustRightInd w:val="0"/>
        <w:snapToGrid w:val="0"/>
        <w:spacing w:line="408" w:lineRule="auto"/>
        <w:ind w:firstLine="0" w:firstLineChars="0"/>
        <w:jc w:val="center"/>
        <w:rPr>
          <w:rFonts w:ascii="方正兰亭纤黑简体" w:hAnsi="仿宋" w:eastAsia="方正兰亭纤黑简体" w:cs="仿宋"/>
          <w:b/>
          <w:sz w:val="28"/>
          <w:szCs w:val="28"/>
        </w:rPr>
      </w:pPr>
      <w:r>
        <w:rPr>
          <w:rFonts w:hint="eastAsia" w:ascii="方正兰亭纤黑简体" w:hAnsi="仿宋" w:eastAsia="方正兰亭纤黑简体" w:cs="仿宋"/>
          <w:b/>
          <w:sz w:val="28"/>
          <w:szCs w:val="28"/>
        </w:rPr>
        <w:t>专栏2  道路系统建设、前期储备重点项目</w:t>
      </w:r>
    </w:p>
    <w:tbl>
      <w:tblPr>
        <w:tblStyle w:val="24"/>
        <w:tblW w:w="829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trHeight w:val="274" w:hRule="atLeast"/>
          <w:jc w:val="center"/>
        </w:trPr>
        <w:tc>
          <w:tcPr>
            <w:tcW w:w="8296" w:type="dxa"/>
          </w:tcPr>
          <w:p>
            <w:pPr>
              <w:adjustRightInd w:val="0"/>
              <w:snapToGrid w:val="0"/>
              <w:spacing w:line="432" w:lineRule="auto"/>
              <w:ind w:firstLine="366" w:firstLineChars="152"/>
              <w:rPr>
                <w:rFonts w:ascii="方正兰亭纤黑简体" w:hAnsi="仿宋" w:eastAsia="方正兰亭纤黑简体" w:cs="仿宋"/>
                <w:sz w:val="24"/>
              </w:rPr>
            </w:pPr>
            <w:r>
              <w:rPr>
                <w:rFonts w:hint="eastAsia" w:ascii="方正兰亭纤黑简体" w:hAnsi="仿宋" w:eastAsia="方正兰亭纤黑简体" w:cs="仿宋"/>
                <w:b/>
                <w:bCs/>
                <w:sz w:val="24"/>
              </w:rPr>
              <w:t>快速通道：</w:t>
            </w:r>
            <w:r>
              <w:rPr>
                <w:rFonts w:hint="eastAsia" w:ascii="方正兰亭纤黑简体" w:hAnsi="仿宋" w:eastAsia="方正兰亭纤黑简体" w:cs="仿宋"/>
                <w:sz w:val="24"/>
              </w:rPr>
              <w:t>宝顶山景区至北山景区快速通道（S302渡槽至龙岗新建工程）、</w:t>
            </w:r>
            <w:r>
              <w:rPr>
                <w:rFonts w:ascii="方正兰亭纤黑简体" w:hAnsi="仿宋" w:eastAsia="方正兰亭纤黑简体" w:cs="仿宋"/>
                <w:sz w:val="24"/>
              </w:rPr>
              <w:t>大足城区至中敖快速通道</w:t>
            </w:r>
            <w:r>
              <w:rPr>
                <w:rFonts w:hint="eastAsia" w:ascii="方正兰亭纤黑简体" w:hAnsi="仿宋" w:eastAsia="方正兰亭纤黑简体" w:cs="仿宋"/>
                <w:sz w:val="24"/>
              </w:rPr>
              <w:t>（G246大足城区至中敖改建工程）；</w:t>
            </w:r>
          </w:p>
          <w:p>
            <w:pPr>
              <w:adjustRightInd w:val="0"/>
              <w:snapToGrid w:val="0"/>
              <w:spacing w:line="432" w:lineRule="auto"/>
              <w:ind w:firstLine="366" w:firstLineChars="152"/>
              <w:rPr>
                <w:rFonts w:ascii="方正兰亭纤黑简体" w:hAnsi="仿宋" w:eastAsia="方正兰亭纤黑简体" w:cs="仿宋"/>
                <w:sz w:val="24"/>
              </w:rPr>
            </w:pPr>
            <w:r>
              <w:rPr>
                <w:rFonts w:hint="eastAsia" w:ascii="方正兰亭纤黑简体" w:hAnsi="仿宋" w:eastAsia="方正兰亭纤黑简体" w:cs="仿宋"/>
                <w:b/>
                <w:bCs/>
                <w:sz w:val="24"/>
              </w:rPr>
              <w:t>主干路：</w:t>
            </w:r>
            <w:r>
              <w:rPr>
                <w:rFonts w:hint="eastAsia" w:ascii="方正兰亭纤黑简体" w:hAnsi="仿宋" w:eastAsia="方正兰亭纤黑简体" w:cs="仿宋"/>
                <w:bCs/>
                <w:sz w:val="24"/>
              </w:rPr>
              <w:t>天宫河片区景城融合项目一期（北厅两横道路）</w:t>
            </w:r>
            <w:r>
              <w:rPr>
                <w:rFonts w:hint="eastAsia" w:ascii="方正兰亭纤黑简体" w:hAnsi="仿宋" w:eastAsia="方正兰亭纤黑简体" w:cs="仿宋"/>
                <w:sz w:val="24"/>
              </w:rPr>
              <w:t>、北厅一纵一横道路、</w:t>
            </w:r>
            <w:r>
              <w:rPr>
                <w:rFonts w:ascii="方正兰亭纤黑简体" w:hAnsi="仿宋" w:eastAsia="方正兰亭纤黑简体" w:cs="仿宋"/>
                <w:sz w:val="24"/>
              </w:rPr>
              <w:t>累丰路延伸段</w:t>
            </w:r>
            <w:r>
              <w:rPr>
                <w:rFonts w:hint="eastAsia" w:ascii="方正兰亭纤黑简体" w:hAnsi="仿宋" w:eastAsia="方正兰亭纤黑简体" w:cs="仿宋"/>
                <w:sz w:val="24"/>
              </w:rPr>
              <w:t>；</w:t>
            </w:r>
          </w:p>
          <w:p>
            <w:pPr>
              <w:adjustRightInd w:val="0"/>
              <w:snapToGrid w:val="0"/>
              <w:spacing w:line="432" w:lineRule="auto"/>
              <w:ind w:firstLine="366" w:firstLineChars="152"/>
              <w:rPr>
                <w:rFonts w:ascii="方正兰亭纤黑简体" w:hAnsi="仿宋" w:eastAsia="方正兰亭纤黑简体" w:cs="仿宋"/>
                <w:sz w:val="24"/>
              </w:rPr>
            </w:pPr>
            <w:r>
              <w:rPr>
                <w:rFonts w:hint="eastAsia" w:ascii="方正兰亭纤黑简体" w:hAnsi="仿宋" w:eastAsia="方正兰亭纤黑简体" w:cs="仿宋"/>
                <w:b/>
                <w:bCs/>
                <w:sz w:val="24"/>
              </w:rPr>
              <w:t>次支道路：</w:t>
            </w:r>
            <w:r>
              <w:rPr>
                <w:rFonts w:hint="eastAsia" w:ascii="方正兰亭纤黑简体" w:hAnsi="仿宋" w:eastAsia="方正兰亭纤黑简体" w:cs="仿宋"/>
                <w:bCs/>
                <w:sz w:val="24"/>
              </w:rPr>
              <w:t>龙</w:t>
            </w:r>
            <w:r>
              <w:rPr>
                <w:rFonts w:ascii="方正兰亭纤黑简体" w:hAnsi="仿宋" w:eastAsia="方正兰亭纤黑简体" w:cs="仿宋"/>
                <w:bCs/>
                <w:sz w:val="24"/>
              </w:rPr>
              <w:t>凤路、</w:t>
            </w:r>
            <w:r>
              <w:rPr>
                <w:rFonts w:hint="eastAsia" w:ascii="方正兰亭纤黑简体" w:hAnsi="仿宋" w:eastAsia="方正兰亭纤黑简体" w:cs="仿宋"/>
                <w:sz w:val="24"/>
              </w:rPr>
              <w:t>金福路</w:t>
            </w:r>
            <w:r>
              <w:rPr>
                <w:rFonts w:ascii="方正兰亭纤黑简体" w:hAnsi="仿宋" w:eastAsia="方正兰亭纤黑简体" w:cs="仿宋"/>
                <w:sz w:val="24"/>
              </w:rPr>
              <w:t>延伸段、</w:t>
            </w:r>
            <w:r>
              <w:rPr>
                <w:rFonts w:hint="eastAsia" w:ascii="方正兰亭纤黑简体" w:hAnsi="仿宋" w:eastAsia="方正兰亭纤黑简体" w:cs="仿宋"/>
                <w:sz w:val="24"/>
              </w:rPr>
              <w:t>香国</w:t>
            </w:r>
            <w:r>
              <w:rPr>
                <w:rFonts w:ascii="方正兰亭纤黑简体" w:hAnsi="仿宋" w:eastAsia="方正兰亭纤黑简体" w:cs="仿宋"/>
                <w:sz w:val="24"/>
              </w:rPr>
              <w:t>公园棠溪路、云雾路、高新区市政道路建设</w:t>
            </w:r>
            <w:r>
              <w:rPr>
                <w:rFonts w:hint="eastAsia" w:ascii="方正兰亭纤黑简体" w:hAnsi="仿宋" w:eastAsia="方正兰亭纤黑简体" w:cs="仿宋"/>
                <w:sz w:val="24"/>
              </w:rPr>
              <w:t>（经东六路、纬四路、纬东二路、纬五路、纬六路、纬东三路；纬东四路、纬东五路（末段）、经东七路）、水峰片区城中村改造及配套市政道路工程、大足石刻文化城石窟寺保护利用国际交流基地配套设施路网建设、人民医院北侧市政道路、天宫河片区开发道路项目、大足工业园区东部片区开发及配套基础设施工程(一期)、大足石刻文创园附属设施二期道路（一标段）、大足石刻文创园附属设施建设二期项目（青田路、凝灰路、正合路、花岗路、玉金路）、重庆市大足区化龙溪流域综合整治项目（沿河一纵道路）、天宫河片区景城融合项目一期（新南路、</w:t>
            </w:r>
            <w:r>
              <w:rPr>
                <w:rFonts w:hint="eastAsia" w:ascii="方正兰亭纤黑简体" w:hAnsi="仿宋" w:eastAsia="方正兰亭纤黑简体" w:cs="仿宋"/>
                <w:color w:val="FF0000"/>
                <w:sz w:val="24"/>
              </w:rPr>
              <w:t>海棠公园</w:t>
            </w:r>
            <w:r>
              <w:rPr>
                <w:rFonts w:ascii="方正兰亭纤黑简体" w:hAnsi="仿宋" w:eastAsia="方正兰亭纤黑简体" w:cs="仿宋"/>
                <w:color w:val="FF0000"/>
                <w:sz w:val="24"/>
              </w:rPr>
              <w:t>周边道路</w:t>
            </w:r>
            <w:r>
              <w:rPr>
                <w:rFonts w:hint="eastAsia" w:ascii="方正兰亭纤黑简体" w:hAnsi="仿宋" w:eastAsia="方正兰亭纤黑简体" w:cs="仿宋"/>
                <w:sz w:val="24"/>
              </w:rPr>
              <w:t>、茅里堡水厂周边道路）、支路二/三/九、天宫河片区开发环境建设项目（天宫河博览园二期）、北厅</w:t>
            </w:r>
            <w:r>
              <w:rPr>
                <w:rFonts w:ascii="方正兰亭纤黑简体" w:hAnsi="仿宋" w:eastAsia="方正兰亭纤黑简体" w:cs="仿宋"/>
                <w:sz w:val="24"/>
              </w:rPr>
              <w:t>次支路网</w:t>
            </w:r>
            <w:r>
              <w:rPr>
                <w:rFonts w:hint="eastAsia" w:ascii="方正兰亭纤黑简体" w:hAnsi="仿宋" w:eastAsia="方正兰亭纤黑简体" w:cs="仿宋"/>
                <w:sz w:val="24"/>
              </w:rPr>
              <w:t>、海棠新城南部片区城市道路建设、永晟公司园区基础设施及附属工程等；</w:t>
            </w:r>
          </w:p>
          <w:p>
            <w:pPr>
              <w:adjustRightInd w:val="0"/>
              <w:snapToGrid w:val="0"/>
              <w:spacing w:line="432" w:lineRule="auto"/>
              <w:ind w:firstLine="366" w:firstLineChars="152"/>
              <w:rPr>
                <w:rFonts w:ascii="方正兰亭纤黑简体" w:hAnsi="仿宋" w:eastAsia="方正兰亭纤黑简体" w:cs="仿宋"/>
                <w:sz w:val="24"/>
              </w:rPr>
            </w:pPr>
            <w:r>
              <w:rPr>
                <w:rFonts w:hint="eastAsia" w:ascii="方正兰亭纤黑简体" w:hAnsi="仿宋" w:eastAsia="方正兰亭纤黑简体" w:cs="仿宋"/>
                <w:b/>
                <w:bCs/>
                <w:sz w:val="24"/>
              </w:rPr>
              <w:t>路网更新：</w:t>
            </w:r>
            <w:r>
              <w:rPr>
                <w:rFonts w:hint="eastAsia" w:ascii="方正兰亭纤黑简体" w:hAnsi="仿宋" w:eastAsia="方正兰亭纤黑简体" w:cs="仿宋"/>
                <w:sz w:val="24"/>
              </w:rPr>
              <w:t>龙岗山山门处道路整改工程、五星</w:t>
            </w:r>
            <w:r>
              <w:rPr>
                <w:rFonts w:ascii="方正兰亭纤黑简体" w:hAnsi="仿宋" w:eastAsia="方正兰亭纤黑简体" w:cs="仿宋"/>
                <w:sz w:val="24"/>
              </w:rPr>
              <w:t>大道疏</w:t>
            </w:r>
            <w:r>
              <w:rPr>
                <w:rFonts w:hint="eastAsia" w:ascii="方正兰亭纤黑简体" w:hAnsi="仿宋" w:eastAsia="方正兰亭纤黑简体" w:cs="仿宋"/>
                <w:sz w:val="24"/>
              </w:rPr>
              <w:t>堵</w:t>
            </w:r>
            <w:r>
              <w:rPr>
                <w:rFonts w:ascii="方正兰亭纤黑简体" w:hAnsi="仿宋" w:eastAsia="方正兰亭纤黑简体" w:cs="仿宋"/>
                <w:sz w:val="24"/>
              </w:rPr>
              <w:t>改造工程（</w:t>
            </w:r>
            <w:r>
              <w:rPr>
                <w:rFonts w:hint="eastAsia" w:ascii="方正兰亭纤黑简体" w:hAnsi="仿宋" w:eastAsia="方正兰亭纤黑简体" w:cs="仿宋"/>
                <w:sz w:val="24"/>
              </w:rPr>
              <w:t>一期</w:t>
            </w:r>
            <w:r>
              <w:rPr>
                <w:rFonts w:ascii="方正兰亭纤黑简体" w:hAnsi="仿宋" w:eastAsia="方正兰亭纤黑简体" w:cs="仿宋"/>
                <w:sz w:val="24"/>
              </w:rPr>
              <w:t>）</w:t>
            </w:r>
            <w:r>
              <w:rPr>
                <w:rFonts w:hint="eastAsia" w:ascii="方正兰亭纤黑简体" w:hAnsi="仿宋" w:eastAsia="方正兰亭纤黑简体" w:cs="仿宋"/>
                <w:sz w:val="24"/>
              </w:rPr>
              <w:t>、五星大道疏堵改造工程二期（体育中心至三环路交叉口）、圣迹西路疏堵改造工程、龙水镇老龙玉道路维修工程、</w:t>
            </w:r>
            <w:r>
              <w:rPr>
                <w:rFonts w:ascii="方正兰亭纤黑简体" w:hAnsi="仿宋" w:eastAsia="方正兰亭纤黑简体" w:cs="仿宋"/>
                <w:sz w:val="24"/>
              </w:rPr>
              <w:t>西荣路延伸</w:t>
            </w:r>
            <w:r>
              <w:rPr>
                <w:rFonts w:hint="eastAsia" w:ascii="方正兰亭纤黑简体" w:hAnsi="仿宋" w:eastAsia="方正兰亭纤黑简体" w:cs="仿宋"/>
                <w:sz w:val="24"/>
              </w:rPr>
              <w:t>段、大邮路改造等；</w:t>
            </w:r>
          </w:p>
          <w:p>
            <w:pPr>
              <w:adjustRightInd w:val="0"/>
              <w:snapToGrid w:val="0"/>
              <w:spacing w:line="432" w:lineRule="auto"/>
              <w:ind w:firstLine="366" w:firstLineChars="152"/>
              <w:rPr>
                <w:rFonts w:ascii="方正兰亭纤黑简体" w:hAnsi="仿宋" w:eastAsia="方正兰亭纤黑简体" w:cs="仿宋"/>
              </w:rPr>
            </w:pPr>
            <w:r>
              <w:rPr>
                <w:rFonts w:hint="eastAsia" w:ascii="方正兰亭纤黑简体" w:hAnsi="仿宋" w:eastAsia="方正兰亭纤黑简体" w:cs="仿宋"/>
                <w:b/>
                <w:bCs/>
                <w:sz w:val="24"/>
              </w:rPr>
              <w:t>储备项目：</w:t>
            </w:r>
            <w:r>
              <w:rPr>
                <w:rFonts w:hint="eastAsia" w:ascii="方正兰亭纤黑简体" w:hAnsi="仿宋" w:eastAsia="方正兰亭纤黑简体" w:cs="仿宋"/>
                <w:sz w:val="24"/>
              </w:rPr>
              <w:t>中心城区-大足融城快速通道、城区至高新区快速通道、城区至文创园快速通道、龙水镇棚户区改造项目基础设施建设工程-酱园路、香国公园站周边路网、大足东站周边路网、四川美术学院大足石刻学院区域路网、大足石刻文创园附属设施建设三期项目、大足</w:t>
            </w:r>
            <w:r>
              <w:rPr>
                <w:rFonts w:ascii="方正兰亭纤黑简体" w:hAnsi="仿宋" w:eastAsia="方正兰亭纤黑简体" w:cs="仿宋"/>
                <w:sz w:val="24"/>
              </w:rPr>
              <w:t>工业园区北部片区基础设施建设工程、</w:t>
            </w:r>
            <w:r>
              <w:rPr>
                <w:rFonts w:hint="eastAsia" w:ascii="方正兰亭纤黑简体" w:hAnsi="仿宋" w:eastAsia="方正兰亭纤黑简体" w:cs="仿宋"/>
                <w:sz w:val="24"/>
              </w:rPr>
              <w:t>棠香</w:t>
            </w:r>
            <w:r>
              <w:rPr>
                <w:rFonts w:ascii="方正兰亭纤黑简体" w:hAnsi="仿宋" w:eastAsia="方正兰亭纤黑简体" w:cs="仿宋"/>
                <w:sz w:val="24"/>
              </w:rPr>
              <w:t>街道东部新城水峰片区土地整治、</w:t>
            </w:r>
            <w:r>
              <w:rPr>
                <w:rFonts w:hint="eastAsia" w:ascii="方正兰亭纤黑简体" w:hAnsi="仿宋" w:eastAsia="方正兰亭纤黑简体" w:cs="仿宋"/>
                <w:sz w:val="24"/>
              </w:rPr>
              <w:t>一环北路疏堵改造工程、一环南路东段疏堵改造工程、龙水镇花园路道路改扩建工程、龙水镇小河街巷道路改扩建工程、龙水镇园古路道路改扩建工程、龙水镇滨河路尚溪国际段道路改造工程、西门桥提升改造工程、龙棠大道龙水段疏堵改造工程、城市道路疏堵改造提升工程、幸光大道景观风貌提升等。</w:t>
            </w:r>
          </w:p>
        </w:tc>
      </w:tr>
    </w:tbl>
    <w:p>
      <w:pPr>
        <w:ind w:firstLine="643"/>
        <w:rPr>
          <w:rFonts w:ascii="方正兰亭纤黑简体" w:hAnsi="仿宋" w:eastAsia="方正兰亭纤黑简体" w:cs="仿宋"/>
          <w:b/>
          <w:bCs/>
          <w:szCs w:val="32"/>
        </w:rPr>
      </w:pPr>
    </w:p>
    <w:p>
      <w:pPr>
        <w:pStyle w:val="5"/>
        <w:ind w:left="0"/>
        <w:rPr>
          <w:rFonts w:ascii="方正兰亭纤黑简体" w:hAnsi="仿宋" w:eastAsia="方正兰亭纤黑简体" w:cs="仿宋"/>
          <w:b/>
          <w:bCs w:val="0"/>
        </w:rPr>
      </w:pPr>
      <w:bookmarkStart w:id="96" w:name="_Toc32426"/>
      <w:bookmarkStart w:id="97" w:name="_Toc12186"/>
      <w:bookmarkStart w:id="98" w:name="_Toc28751"/>
      <w:bookmarkStart w:id="99" w:name="_Toc30846"/>
      <w:bookmarkStart w:id="100" w:name="_Toc5535"/>
      <w:r>
        <w:rPr>
          <w:rFonts w:hint="eastAsia" w:ascii="方正兰亭纤黑简体" w:hAnsi="仿宋" w:eastAsia="方正兰亭纤黑简体" w:cs="仿宋"/>
          <w:b/>
          <w:bCs w:val="0"/>
        </w:rPr>
        <w:t>建设“主客共享”的公交系统</w:t>
      </w:r>
      <w:bookmarkEnd w:id="96"/>
    </w:p>
    <w:p>
      <w:pPr>
        <w:widowControl/>
        <w:ind w:firstLine="560"/>
        <w:jc w:val="left"/>
        <w:rPr>
          <w:rFonts w:ascii="方正兰亭纤黑简体" w:hAnsi="仿宋" w:eastAsia="方正兰亭纤黑简体" w:cs="仿宋"/>
          <w:b/>
          <w:bCs/>
          <w:sz w:val="28"/>
        </w:rPr>
      </w:pPr>
      <w:r>
        <w:rPr>
          <w:rFonts w:hint="eastAsia" w:ascii="方正兰亭纤黑简体" w:hAnsi="仿宋" w:eastAsia="方正兰亭纤黑简体" w:cs="仿宋"/>
          <w:sz w:val="28"/>
        </w:rPr>
        <w:t>以城市公共交通优先战略为导向，以文旅服务与日常出行服务互相促进为建设目标，构建具有大足文化特色、与经济社会发展相适应、与城市空间拓展相协调、城市内外有机衔接的智慧城市公共交通系统，全面提升公共交通吸引力和竞争力。</w:t>
      </w:r>
    </w:p>
    <w:p>
      <w:pPr>
        <w:widowControl/>
        <w:ind w:firstLine="562"/>
        <w:jc w:val="left"/>
      </w:pPr>
      <w:r>
        <w:rPr>
          <w:rFonts w:hint="eastAsia" w:ascii="方正兰亭纤黑简体" w:hAnsi="仿宋" w:eastAsia="方正兰亭纤黑简体" w:cs="仿宋"/>
          <w:b/>
          <w:bCs/>
          <w:sz w:val="28"/>
        </w:rPr>
        <w:t>加强综合集散体系建设。</w:t>
      </w:r>
      <w:r>
        <w:rPr>
          <w:rFonts w:hint="eastAsia" w:ascii="方正兰亭纤黑简体" w:hAnsi="仿宋" w:eastAsia="方正兰亭纤黑简体" w:cs="仿宋"/>
          <w:sz w:val="28"/>
        </w:rPr>
        <w:t>配合大足石刻高铁站建设，在高铁站旁设置公交场站，与C3线及高铁站一同形成公交、轨道交通、高铁三网联运体系。</w:t>
      </w:r>
    </w:p>
    <w:p>
      <w:pPr>
        <w:widowControl/>
        <w:ind w:firstLine="562"/>
        <w:jc w:val="left"/>
        <w:rPr>
          <w:rFonts w:eastAsia="方正兰亭纤黑简体"/>
        </w:rPr>
      </w:pPr>
      <w:r>
        <w:rPr>
          <w:rFonts w:hint="eastAsia" w:ascii="方正兰亭纤黑简体" w:hAnsi="仿宋" w:eastAsia="方正兰亭纤黑简体" w:cs="仿宋"/>
          <w:b/>
          <w:bCs/>
          <w:sz w:val="28"/>
        </w:rPr>
        <w:t>加强游客集散线路建设。</w:t>
      </w:r>
      <w:r>
        <w:rPr>
          <w:rFonts w:hint="eastAsia" w:ascii="方正兰亭纤黑简体" w:hAnsi="仿宋" w:eastAsia="方正兰亭纤黑简体" w:cs="仿宋"/>
          <w:sz w:val="28"/>
        </w:rPr>
        <w:t>充分发挥我区石刻旅游资源，利用好大足汽车站游客集散作用，设置</w:t>
      </w:r>
      <w:r>
        <w:rPr>
          <w:rFonts w:ascii="方正兰亭纤黑简体" w:hAnsi="仿宋" w:eastAsia="方正兰亭纤黑简体" w:cs="仿宋"/>
          <w:sz w:val="28"/>
        </w:rPr>
        <w:t>5</w:t>
      </w:r>
      <w:r>
        <w:rPr>
          <w:rFonts w:hint="eastAsia" w:ascii="方正兰亭纤黑简体" w:hAnsi="仿宋" w:eastAsia="方正兰亭纤黑简体" w:cs="仿宋"/>
          <w:sz w:val="28"/>
        </w:rPr>
        <w:t>条旅游公交，分别连接北山、南山、宝顶山、石门山和石篆山石刻，提速我区整体文旅发展。</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推进公交站点提质改造。</w:t>
      </w:r>
      <w:r>
        <w:rPr>
          <w:rFonts w:hint="eastAsia" w:ascii="方正兰亭纤黑简体" w:hAnsi="仿宋" w:eastAsia="方正兰亭纤黑简体" w:cs="仿宋"/>
          <w:sz w:val="28"/>
        </w:rPr>
        <w:t>为凸显我区文化特色与发展活力，拟将旅游公交沿线站点提质改造为包含石刻文化元素的智慧公交站，使传统文化与科技元素相结合，建设我区特色公交服务系统。2021-2025期间，拟试点改造香国</w:t>
      </w:r>
      <w:r>
        <w:rPr>
          <w:rFonts w:ascii="方正兰亭纤黑简体" w:hAnsi="仿宋" w:eastAsia="方正兰亭纤黑简体" w:cs="仿宋"/>
          <w:sz w:val="28"/>
        </w:rPr>
        <w:t>公园</w:t>
      </w:r>
      <w:r>
        <w:rPr>
          <w:rFonts w:hint="eastAsia" w:ascii="方正兰亭纤黑简体" w:hAnsi="仿宋" w:eastAsia="方正兰亭纤黑简体" w:cs="仿宋"/>
          <w:sz w:val="28"/>
        </w:rPr>
        <w:t>站。</w:t>
      </w:r>
    </w:p>
    <w:p>
      <w:pPr>
        <w:adjustRightInd w:val="0"/>
        <w:snapToGrid w:val="0"/>
        <w:spacing w:line="408" w:lineRule="auto"/>
        <w:ind w:firstLine="0" w:firstLineChars="0"/>
        <w:jc w:val="center"/>
        <w:rPr>
          <w:rFonts w:ascii="方正兰亭纤黑简体" w:hAnsi="仿宋" w:eastAsia="方正兰亭纤黑简体" w:cs="仿宋"/>
          <w:b/>
          <w:sz w:val="28"/>
          <w:szCs w:val="28"/>
        </w:rPr>
      </w:pPr>
      <w:r>
        <w:rPr>
          <w:rFonts w:hint="eastAsia" w:ascii="方正兰亭纤黑简体" w:hAnsi="仿宋" w:eastAsia="方正兰亭纤黑简体" w:cs="仿宋"/>
          <w:b/>
          <w:sz w:val="28"/>
          <w:szCs w:val="28"/>
        </w:rPr>
        <w:t>专栏3  公交系统建设重点项目</w:t>
      </w:r>
    </w:p>
    <w:tbl>
      <w:tblPr>
        <w:tblStyle w:val="24"/>
        <w:tblW w:w="829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trHeight w:val="274" w:hRule="atLeast"/>
          <w:jc w:val="center"/>
        </w:trPr>
        <w:tc>
          <w:tcPr>
            <w:tcW w:w="8296" w:type="dxa"/>
          </w:tcPr>
          <w:p>
            <w:pPr>
              <w:adjustRightInd w:val="0"/>
              <w:snapToGrid w:val="0"/>
              <w:spacing w:line="432" w:lineRule="auto"/>
              <w:ind w:firstLine="366" w:firstLineChars="152"/>
              <w:rPr>
                <w:rFonts w:ascii="方正兰亭纤黑简体" w:hAnsi="仿宋" w:eastAsia="方正兰亭纤黑简体" w:cs="仿宋"/>
                <w:b/>
                <w:bCs/>
                <w:sz w:val="24"/>
              </w:rPr>
            </w:pPr>
            <w:r>
              <w:rPr>
                <w:rFonts w:hint="eastAsia" w:ascii="方正兰亭纤黑简体" w:hAnsi="仿宋" w:eastAsia="方正兰亭纤黑简体" w:cs="仿宋"/>
                <w:b/>
                <w:bCs/>
                <w:sz w:val="24"/>
              </w:rPr>
              <w:t>公交站点：</w:t>
            </w:r>
            <w:r>
              <w:rPr>
                <w:rFonts w:hint="eastAsia" w:ascii="方正兰亭纤黑简体" w:hAnsi="仿宋" w:eastAsia="方正兰亭纤黑简体" w:cs="仿宋"/>
                <w:sz w:val="24"/>
              </w:rPr>
              <w:t>新增大足石刻高铁公交站；</w:t>
            </w:r>
          </w:p>
          <w:p>
            <w:pPr>
              <w:adjustRightInd w:val="0"/>
              <w:snapToGrid w:val="0"/>
              <w:spacing w:line="432" w:lineRule="auto"/>
              <w:ind w:firstLine="366" w:firstLineChars="152"/>
              <w:rPr>
                <w:rFonts w:ascii="方正兰亭纤黑简体" w:hAnsi="仿宋" w:eastAsia="方正兰亭纤黑简体" w:cs="仿宋"/>
                <w:sz w:val="24"/>
              </w:rPr>
            </w:pPr>
            <w:r>
              <w:rPr>
                <w:rFonts w:hint="eastAsia" w:ascii="方正兰亭纤黑简体" w:hAnsi="仿宋" w:eastAsia="方正兰亭纤黑简体" w:cs="仿宋"/>
                <w:b/>
                <w:bCs/>
                <w:sz w:val="24"/>
              </w:rPr>
              <w:t>旅游公交：</w:t>
            </w:r>
            <w:r>
              <w:rPr>
                <w:rFonts w:hint="eastAsia" w:ascii="方正兰亭纤黑简体" w:hAnsi="仿宋" w:eastAsia="方正兰亭纤黑简体" w:cs="仿宋"/>
                <w:sz w:val="24"/>
              </w:rPr>
              <w:t>新增连接北山、南山、宝顶山、石门山和石篆山石刻共</w:t>
            </w:r>
            <w:r>
              <w:rPr>
                <w:rFonts w:ascii="方正兰亭纤黑简体" w:hAnsi="仿宋" w:eastAsia="方正兰亭纤黑简体" w:cs="仿宋"/>
                <w:sz w:val="24"/>
              </w:rPr>
              <w:t>5</w:t>
            </w:r>
            <w:r>
              <w:rPr>
                <w:rFonts w:hint="eastAsia" w:ascii="方正兰亭纤黑简体" w:hAnsi="仿宋" w:eastAsia="方正兰亭纤黑简体" w:cs="仿宋"/>
                <w:sz w:val="24"/>
              </w:rPr>
              <w:t>条旅游公交线；</w:t>
            </w:r>
          </w:p>
          <w:p>
            <w:pPr>
              <w:adjustRightInd w:val="0"/>
              <w:snapToGrid w:val="0"/>
              <w:spacing w:line="432" w:lineRule="auto"/>
              <w:ind w:firstLine="366" w:firstLineChars="152"/>
              <w:rPr>
                <w:rFonts w:ascii="方正兰亭纤黑简体" w:hAnsi="仿宋" w:eastAsia="方正兰亭纤黑简体" w:cs="仿宋"/>
              </w:rPr>
            </w:pPr>
            <w:r>
              <w:rPr>
                <w:rFonts w:hint="eastAsia" w:ascii="方正兰亭纤黑简体" w:hAnsi="仿宋" w:eastAsia="方正兰亭纤黑简体" w:cs="仿宋"/>
                <w:b/>
                <w:bCs/>
                <w:sz w:val="24"/>
              </w:rPr>
              <w:t>智慧站点：</w:t>
            </w:r>
            <w:r>
              <w:rPr>
                <w:rFonts w:hint="eastAsia" w:ascii="方正兰亭纤黑简体" w:hAnsi="仿宋" w:eastAsia="方正兰亭纤黑简体" w:cs="仿宋"/>
                <w:sz w:val="24"/>
              </w:rPr>
              <w:t>香国公园站改造。</w:t>
            </w:r>
          </w:p>
        </w:tc>
      </w:tr>
    </w:tbl>
    <w:p>
      <w:pPr>
        <w:ind w:firstLine="640"/>
      </w:pPr>
    </w:p>
    <w:p>
      <w:pPr>
        <w:pStyle w:val="5"/>
        <w:ind w:left="0"/>
        <w:rPr>
          <w:rFonts w:ascii="方正兰亭纤黑简体" w:hAnsi="仿宋" w:eastAsia="方正兰亭纤黑简体" w:cs="仿宋"/>
          <w:b/>
          <w:bCs w:val="0"/>
        </w:rPr>
      </w:pPr>
      <w:bookmarkStart w:id="101" w:name="_Toc31114"/>
      <w:r>
        <w:rPr>
          <w:rFonts w:hint="eastAsia" w:ascii="方正兰亭纤黑简体" w:hAnsi="仿宋" w:eastAsia="方正兰亭纤黑简体" w:cs="仿宋"/>
          <w:b/>
          <w:bCs w:val="0"/>
        </w:rPr>
        <w:t>打造特色慢行系统</w:t>
      </w:r>
      <w:bookmarkEnd w:id="97"/>
      <w:bookmarkEnd w:id="98"/>
      <w:bookmarkEnd w:id="99"/>
      <w:bookmarkEnd w:id="100"/>
      <w:bookmarkEnd w:id="101"/>
    </w:p>
    <w:p>
      <w:pPr>
        <w:widowControl/>
        <w:ind w:firstLine="560"/>
        <w:jc w:val="left"/>
        <w:rPr>
          <w:rFonts w:ascii="方正兰亭纤黑简体" w:hAnsi="仿宋" w:eastAsia="方正兰亭纤黑简体" w:cs="仿宋"/>
          <w:sz w:val="28"/>
        </w:rPr>
      </w:pPr>
      <w:r>
        <w:rPr>
          <w:rFonts w:hint="eastAsia" w:ascii="方正兰亭纤黑简体" w:hAnsi="仿宋" w:eastAsia="方正兰亭纤黑简体" w:cs="仿宋"/>
          <w:sz w:val="28"/>
        </w:rPr>
        <w:t>以构建高品质步道、人行道、骑行道以及城市过街设施为目标，利用好“一河、一湖、三山”地理优势，充分发挥我区“石刻文化”品牌，注重休闲游憩和旅游观光，倡导绿色低碳出行方式，坚定不移走文化</w:t>
      </w:r>
      <w:r>
        <w:rPr>
          <w:rFonts w:ascii="方正兰亭纤黑简体" w:hAnsi="仿宋" w:eastAsia="方正兰亭纤黑简体" w:cs="仿宋"/>
          <w:sz w:val="28"/>
        </w:rPr>
        <w:t>彰显、</w:t>
      </w:r>
      <w:r>
        <w:rPr>
          <w:rFonts w:hint="eastAsia" w:ascii="方正兰亭纤黑简体" w:hAnsi="仿宋" w:eastAsia="方正兰亭纤黑简体" w:cs="仿宋"/>
          <w:sz w:val="28"/>
        </w:rPr>
        <w:t>生态优先、绿色低碳的高质量发展道路，为实现</w:t>
      </w:r>
      <w:r>
        <w:rPr>
          <w:rFonts w:hint="eastAsia" w:ascii="方正兰亭纤黑简体" w:hAnsi="方正兰亭纤黑简体" w:eastAsia="方正兰亭纤黑简体" w:cs="方正兰亭纤黑简体"/>
          <w:sz w:val="28"/>
        </w:rPr>
        <w:t>碳达峰、碳中和贡献力量。</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打造大足特色绿色慢行系统。</w:t>
      </w:r>
      <w:r>
        <w:rPr>
          <w:rFonts w:hint="eastAsia" w:ascii="方正兰亭纤黑简体" w:hAnsi="仿宋" w:eastAsia="方正兰亭纤黑简体" w:cs="仿宋"/>
          <w:sz w:val="28"/>
        </w:rPr>
        <w:t>2021-2025期间龙岗棠香片区拟打造天宫河公园至同心公园绿道慢行系统、石刻大道-香山大道文化品质提升工程（一期）、龙水湖环湖绿道改造升级工程、龙水湖环湖步道（溜水段）、清明桥路绿道建设工程、佛都大道绿道建设工程、</w:t>
      </w:r>
      <w:r>
        <w:rPr>
          <w:rFonts w:ascii="方正兰亭纤黑简体" w:hAnsi="仿宋" w:eastAsia="方正兰亭纤黑简体" w:cs="仿宋"/>
          <w:sz w:val="28"/>
        </w:rPr>
        <w:t>西门</w:t>
      </w:r>
      <w:r>
        <w:rPr>
          <w:rFonts w:hint="eastAsia" w:ascii="方正兰亭纤黑简体" w:hAnsi="仿宋" w:eastAsia="方正兰亭纤黑简体" w:cs="仿宋"/>
          <w:sz w:val="28"/>
        </w:rPr>
        <w:t>社区</w:t>
      </w:r>
      <w:r>
        <w:rPr>
          <w:rFonts w:ascii="方正兰亭纤黑简体" w:hAnsi="仿宋" w:eastAsia="方正兰亭纤黑简体" w:cs="仿宋"/>
          <w:sz w:val="28"/>
        </w:rPr>
        <w:t>城市绿道建设、南北</w:t>
      </w:r>
      <w:r>
        <w:rPr>
          <w:rFonts w:hint="eastAsia" w:ascii="方正兰亭纤黑简体" w:hAnsi="仿宋" w:eastAsia="方正兰亭纤黑简体" w:cs="仿宋"/>
          <w:sz w:val="28"/>
        </w:rPr>
        <w:t>山</w:t>
      </w:r>
      <w:r>
        <w:rPr>
          <w:rFonts w:ascii="方正兰亭纤黑简体" w:hAnsi="仿宋" w:eastAsia="方正兰亭纤黑简体" w:cs="仿宋"/>
          <w:sz w:val="28"/>
        </w:rPr>
        <w:t>人文走廊绿道</w:t>
      </w:r>
      <w:r>
        <w:rPr>
          <w:rFonts w:hint="eastAsia" w:ascii="方正兰亭纤黑简体" w:hAnsi="仿宋" w:eastAsia="方正兰亭纤黑简体" w:cs="仿宋"/>
          <w:sz w:val="28"/>
        </w:rPr>
        <w:t>建设等8条共约28.4</w:t>
      </w:r>
      <w:r>
        <w:rPr>
          <w:rFonts w:ascii="方正兰亭纤黑简体" w:hAnsi="仿宋" w:eastAsia="方正兰亭纤黑简体" w:cs="仿宋"/>
          <w:sz w:val="28"/>
        </w:rPr>
        <w:t>3</w:t>
      </w:r>
      <w:r>
        <w:rPr>
          <w:rFonts w:hint="eastAsia" w:ascii="方正兰亭纤黑简体" w:hAnsi="仿宋" w:eastAsia="方正兰亭纤黑简体" w:cs="仿宋"/>
          <w:sz w:val="28"/>
        </w:rPr>
        <w:t>公里步道、骑行道综合慢行系统；拟新开工</w:t>
      </w:r>
      <w:r>
        <w:rPr>
          <w:rFonts w:ascii="方正兰亭纤黑简体" w:hAnsi="仿宋" w:eastAsia="方正兰亭纤黑简体" w:cs="仿宋"/>
          <w:sz w:val="28"/>
        </w:rPr>
        <w:t>龙棠大道两侧绿道工程</w:t>
      </w:r>
      <w:r>
        <w:rPr>
          <w:rFonts w:hint="eastAsia" w:ascii="方正兰亭纤黑简体" w:hAnsi="仿宋" w:eastAsia="方正兰亭纤黑简体" w:cs="仿宋"/>
          <w:sz w:val="28"/>
        </w:rPr>
        <w:t>；拟储备香国</w:t>
      </w:r>
      <w:r>
        <w:rPr>
          <w:rFonts w:ascii="方正兰亭纤黑简体" w:hAnsi="仿宋" w:eastAsia="方正兰亭纤黑简体" w:cs="仿宋"/>
          <w:sz w:val="28"/>
        </w:rPr>
        <w:t>公园至石刻大道慢行系统、</w:t>
      </w:r>
      <w:r>
        <w:rPr>
          <w:rFonts w:hint="eastAsia" w:ascii="方正兰亭纤黑简体" w:hAnsi="仿宋" w:eastAsia="方正兰亭纤黑简体" w:cs="仿宋"/>
          <w:sz w:val="28"/>
        </w:rPr>
        <w:t>北山石刻至十里荷棠慢行系统、五星大道大转盘至南门车站绿道慢行系统、龙景路至圣迹公园慢行</w:t>
      </w:r>
      <w:r>
        <w:rPr>
          <w:rFonts w:ascii="方正兰亭纤黑简体" w:hAnsi="仿宋" w:eastAsia="方正兰亭纤黑简体" w:cs="仿宋"/>
          <w:sz w:val="28"/>
        </w:rPr>
        <w:t>系统</w:t>
      </w:r>
      <w:r>
        <w:rPr>
          <w:rFonts w:hint="eastAsia" w:ascii="方正兰亭纤黑简体" w:hAnsi="仿宋" w:eastAsia="方正兰亭纤黑简体" w:cs="仿宋"/>
          <w:sz w:val="28"/>
        </w:rPr>
        <w:t>、红星生态公园至龙景路慢行系统等项目</w:t>
      </w:r>
      <w:r>
        <w:rPr>
          <w:rFonts w:ascii="方正兰亭纤黑简体" w:hAnsi="仿宋" w:eastAsia="方正兰亭纤黑简体" w:cs="仿宋"/>
          <w:sz w:val="28"/>
        </w:rPr>
        <w:t>，</w:t>
      </w:r>
      <w:r>
        <w:rPr>
          <w:rFonts w:hint="eastAsia" w:ascii="方正兰亭纤黑简体" w:hAnsi="仿宋" w:eastAsia="方正兰亭纤黑简体" w:cs="仿宋"/>
          <w:sz w:val="28"/>
        </w:rPr>
        <w:t>实现中心城区主要公园绿地连接成网，慢行系统贯通性与舒适性得到进一步提升。龙水片区拟储备湿地公园至龙水湖景区慢行</w:t>
      </w:r>
      <w:r>
        <w:rPr>
          <w:rFonts w:ascii="方正兰亭纤黑简体" w:hAnsi="仿宋" w:eastAsia="方正兰亭纤黑简体" w:cs="仿宋"/>
          <w:sz w:val="28"/>
        </w:rPr>
        <w:t>系统</w:t>
      </w:r>
      <w:r>
        <w:rPr>
          <w:rFonts w:hint="eastAsia" w:ascii="方正兰亭纤黑简体" w:hAnsi="仿宋" w:eastAsia="方正兰亭纤黑简体" w:cs="仿宋"/>
          <w:sz w:val="28"/>
        </w:rPr>
        <w:t>、龙水城市绿道系统建设项目。</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加快完善立体过街设施建设。</w:t>
      </w:r>
      <w:r>
        <w:rPr>
          <w:rFonts w:hint="eastAsia" w:ascii="方正兰亭纤黑简体" w:hAnsi="仿宋" w:eastAsia="方正兰亭纤黑简体" w:cs="仿宋"/>
          <w:sz w:val="28"/>
        </w:rPr>
        <w:t>2021-2025期间，我区将围绕居住、学校、商业、文体人流量较大的区域，开工建设东关小广场人行天桥、龙岗一小南山校区过街人行天桥；研究储备区体育中心人行天桥、迪涛学校过街人行天桥、大足二中人行天桥、吾悦广场人行天桥、四</w:t>
      </w:r>
      <w:r>
        <w:rPr>
          <w:rFonts w:ascii="方正兰亭纤黑简体" w:hAnsi="仿宋" w:eastAsia="方正兰亭纤黑简体" w:cs="仿宋"/>
          <w:sz w:val="28"/>
        </w:rPr>
        <w:t>季广场人行天桥、</w:t>
      </w:r>
      <w:r>
        <w:rPr>
          <w:rFonts w:hint="eastAsia" w:ascii="方正兰亭纤黑简体" w:hAnsi="仿宋" w:eastAsia="方正兰亭纤黑简体" w:cs="仿宋"/>
          <w:sz w:val="28"/>
        </w:rPr>
        <w:t>海棠小学人行天桥，构建舒适、安全、便捷的人行立体过街设施体系，保障行人过街安全。</w:t>
      </w:r>
    </w:p>
    <w:p>
      <w:pPr>
        <w:adjustRightInd w:val="0"/>
        <w:snapToGrid w:val="0"/>
        <w:spacing w:line="408" w:lineRule="auto"/>
        <w:ind w:firstLine="0" w:firstLineChars="0"/>
        <w:jc w:val="center"/>
        <w:rPr>
          <w:rFonts w:ascii="方正兰亭纤黑简体" w:hAnsi="仿宋" w:eastAsia="方正兰亭纤黑简体" w:cs="仿宋"/>
          <w:b/>
          <w:sz w:val="28"/>
          <w:szCs w:val="28"/>
        </w:rPr>
      </w:pPr>
      <w:r>
        <w:rPr>
          <w:rFonts w:hint="eastAsia" w:ascii="方正兰亭纤黑简体" w:hAnsi="仿宋" w:eastAsia="方正兰亭纤黑简体" w:cs="仿宋"/>
          <w:b/>
          <w:sz w:val="28"/>
          <w:szCs w:val="28"/>
        </w:rPr>
        <w:t>专栏4  慢行系统建设、</w:t>
      </w:r>
      <w:r>
        <w:rPr>
          <w:rFonts w:hint="eastAsia" w:ascii="方正兰亭纤黑简体" w:hAnsi="仿宋" w:eastAsia="方正兰亭纤黑简体" w:cs="仿宋"/>
          <w:b/>
          <w:sz w:val="28"/>
        </w:rPr>
        <w:t>前期储备</w:t>
      </w:r>
      <w:r>
        <w:rPr>
          <w:rFonts w:hint="eastAsia" w:ascii="方正兰亭纤黑简体" w:hAnsi="仿宋" w:eastAsia="方正兰亭纤黑简体" w:cs="仿宋"/>
          <w:b/>
          <w:sz w:val="28"/>
          <w:szCs w:val="28"/>
        </w:rPr>
        <w:t>重点项目</w:t>
      </w:r>
    </w:p>
    <w:tbl>
      <w:tblPr>
        <w:tblStyle w:val="24"/>
        <w:tblW w:w="829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trHeight w:val="274" w:hRule="atLeast"/>
          <w:jc w:val="center"/>
        </w:trPr>
        <w:tc>
          <w:tcPr>
            <w:tcW w:w="8296" w:type="dxa"/>
          </w:tcPr>
          <w:p>
            <w:pPr>
              <w:adjustRightInd w:val="0"/>
              <w:snapToGrid w:val="0"/>
              <w:spacing w:line="432" w:lineRule="auto"/>
              <w:ind w:firstLine="366" w:firstLineChars="152"/>
              <w:rPr>
                <w:rFonts w:ascii="方正兰亭纤黑简体" w:hAnsi="仿宋" w:eastAsia="方正兰亭纤黑简体" w:cs="仿宋"/>
                <w:sz w:val="24"/>
              </w:rPr>
            </w:pPr>
            <w:r>
              <w:rPr>
                <w:rFonts w:hint="eastAsia" w:ascii="方正兰亭纤黑简体" w:hAnsi="仿宋" w:eastAsia="方正兰亭纤黑简体" w:cs="仿宋"/>
                <w:b/>
                <w:bCs/>
                <w:sz w:val="24"/>
              </w:rPr>
              <w:t>特色绿色慢行系统：</w:t>
            </w:r>
            <w:r>
              <w:rPr>
                <w:rFonts w:hint="eastAsia" w:ascii="方正兰亭纤黑简体" w:hAnsi="仿宋" w:eastAsia="方正兰亭纤黑简体" w:cs="仿宋"/>
                <w:sz w:val="24"/>
              </w:rPr>
              <w:t>天宫河公园至同心公园绿道慢行系统、石刻大道-香山大道文化品质提升工程（一期）、龙水湖环湖绿道改造升级工程、龙水湖环湖步道（溜水段）、清明桥路绿道建设工程、佛都大道绿道建设工程、西门社区城市绿道建设、南北山人文走廊绿道建建设等；</w:t>
            </w:r>
          </w:p>
          <w:p>
            <w:pPr>
              <w:adjustRightInd w:val="0"/>
              <w:snapToGrid w:val="0"/>
              <w:spacing w:line="432" w:lineRule="auto"/>
              <w:ind w:firstLine="366" w:firstLineChars="152"/>
              <w:rPr>
                <w:rFonts w:ascii="方正兰亭纤黑简体" w:hAnsi="仿宋" w:eastAsia="方正兰亭纤黑简体" w:cs="仿宋"/>
                <w:sz w:val="24"/>
              </w:rPr>
            </w:pPr>
            <w:r>
              <w:rPr>
                <w:rFonts w:hint="eastAsia" w:ascii="方正兰亭纤黑简体" w:hAnsi="仿宋" w:eastAsia="方正兰亭纤黑简体" w:cs="仿宋"/>
                <w:b/>
                <w:bCs/>
                <w:sz w:val="24"/>
              </w:rPr>
              <w:t>立体过街设施：</w:t>
            </w:r>
            <w:r>
              <w:rPr>
                <w:rFonts w:hint="eastAsia" w:ascii="方正兰亭纤黑简体" w:hAnsi="仿宋" w:eastAsia="方正兰亭纤黑简体" w:cs="仿宋"/>
                <w:sz w:val="24"/>
              </w:rPr>
              <w:t>东关小广场人行天桥</w:t>
            </w:r>
            <w:r>
              <w:rPr>
                <w:rFonts w:hint="eastAsia" w:ascii="方正兰亭纤黑简体" w:hAnsi="仿宋" w:eastAsia="方正兰亭纤黑简体" w:cs="仿宋"/>
                <w:b/>
                <w:bCs/>
                <w:sz w:val="24"/>
              </w:rPr>
              <w:t>、</w:t>
            </w:r>
            <w:r>
              <w:rPr>
                <w:rFonts w:hint="eastAsia" w:ascii="方正兰亭纤黑简体" w:hAnsi="仿宋" w:eastAsia="方正兰亭纤黑简体" w:cs="仿宋"/>
                <w:sz w:val="24"/>
              </w:rPr>
              <w:t>龙岗一小南山校区过街人行天桥；</w:t>
            </w:r>
          </w:p>
          <w:p>
            <w:pPr>
              <w:pStyle w:val="2"/>
              <w:spacing w:line="432" w:lineRule="auto"/>
              <w:ind w:firstLine="364" w:firstLineChars="151"/>
              <w:rPr>
                <w:rFonts w:ascii="方正兰亭纤黑简体" w:hAnsi="仿宋" w:eastAsia="方正兰亭纤黑简体" w:cs="仿宋"/>
                <w:sz w:val="24"/>
              </w:rPr>
            </w:pPr>
            <w:r>
              <w:rPr>
                <w:rFonts w:hint="eastAsia" w:ascii="方正兰亭纤黑简体" w:hAnsi="仿宋" w:eastAsia="方正兰亭纤黑简体" w:cs="仿宋"/>
                <w:b/>
                <w:bCs/>
                <w:sz w:val="24"/>
              </w:rPr>
              <w:t>新开工项目：</w:t>
            </w:r>
            <w:r>
              <w:rPr>
                <w:rFonts w:hint="eastAsia" w:ascii="方正兰亭纤黑简体" w:hAnsi="仿宋" w:eastAsia="方正兰亭纤黑简体" w:cs="仿宋"/>
                <w:sz w:val="24"/>
              </w:rPr>
              <w:t>龙棠</w:t>
            </w:r>
            <w:r>
              <w:rPr>
                <w:rFonts w:ascii="方正兰亭纤黑简体" w:hAnsi="仿宋" w:eastAsia="方正兰亭纤黑简体" w:cs="仿宋"/>
                <w:sz w:val="24"/>
              </w:rPr>
              <w:t>大道两侧绿道工程</w:t>
            </w:r>
            <w:r>
              <w:rPr>
                <w:rFonts w:hint="eastAsia" w:ascii="方正兰亭纤黑简体" w:hAnsi="仿宋" w:eastAsia="方正兰亭纤黑简体" w:cs="仿宋"/>
                <w:sz w:val="24"/>
              </w:rPr>
              <w:t>；</w:t>
            </w:r>
          </w:p>
          <w:p>
            <w:pPr>
              <w:adjustRightInd w:val="0"/>
              <w:snapToGrid w:val="0"/>
              <w:spacing w:line="432" w:lineRule="auto"/>
              <w:ind w:firstLine="366" w:firstLineChars="152"/>
              <w:rPr>
                <w:rFonts w:ascii="方正兰亭纤黑简体" w:hAnsi="仿宋" w:eastAsia="方正兰亭纤黑简体" w:cs="仿宋"/>
              </w:rPr>
            </w:pPr>
            <w:r>
              <w:rPr>
                <w:rFonts w:hint="eastAsia" w:ascii="方正兰亭纤黑简体" w:hAnsi="仿宋" w:eastAsia="方正兰亭纤黑简体" w:cs="仿宋"/>
                <w:b/>
                <w:bCs/>
                <w:sz w:val="24"/>
              </w:rPr>
              <w:t>储备项目：</w:t>
            </w:r>
            <w:r>
              <w:rPr>
                <w:rFonts w:hint="eastAsia" w:ascii="方正兰亭纤黑简体" w:hAnsi="仿宋" w:eastAsia="方正兰亭纤黑简体" w:cs="仿宋"/>
                <w:sz w:val="24"/>
              </w:rPr>
              <w:t>北山石刻至十里荷棠慢行系统、香国公园至石刻大道慢行系统、</w:t>
            </w:r>
            <w:r>
              <w:rPr>
                <w:rFonts w:hint="eastAsia" w:ascii="方正兰亭纤黑简体" w:hAnsi="仿宋" w:eastAsia="方正兰亭纤黑简体" w:cs="仿宋"/>
                <w:bCs/>
                <w:sz w:val="24"/>
              </w:rPr>
              <w:t>五星大道大转盘至南门车站绿道慢行系统、</w:t>
            </w:r>
            <w:r>
              <w:rPr>
                <w:rFonts w:hint="eastAsia" w:ascii="方正兰亭纤黑简体" w:hAnsi="仿宋" w:eastAsia="方正兰亭纤黑简体" w:cs="仿宋"/>
                <w:sz w:val="24"/>
              </w:rPr>
              <w:t>龙景路至圣迹公园慢行系统、红星生态公园至龙景路慢行系统、湿地公园至龙水湖景慢行系统、宏声广场至书香世家绿道慢行系统、龙水城市绿道系统建设、迪涛学校过街人行天桥、大足二中人行天桥、吾悦广场人行天桥、四</w:t>
            </w:r>
            <w:r>
              <w:rPr>
                <w:rFonts w:ascii="方正兰亭纤黑简体" w:hAnsi="仿宋" w:eastAsia="方正兰亭纤黑简体" w:cs="仿宋"/>
                <w:sz w:val="24"/>
              </w:rPr>
              <w:t>季广场人行天桥、</w:t>
            </w:r>
            <w:r>
              <w:rPr>
                <w:rFonts w:hint="eastAsia" w:ascii="方正兰亭纤黑简体" w:hAnsi="仿宋" w:eastAsia="方正兰亭纤黑简体" w:cs="仿宋"/>
                <w:sz w:val="24"/>
              </w:rPr>
              <w:t>体育</w:t>
            </w:r>
            <w:r>
              <w:rPr>
                <w:rFonts w:ascii="方正兰亭纤黑简体" w:hAnsi="仿宋" w:eastAsia="方正兰亭纤黑简体" w:cs="仿宋"/>
                <w:sz w:val="24"/>
              </w:rPr>
              <w:t>中心人行天桥、</w:t>
            </w:r>
            <w:r>
              <w:rPr>
                <w:rFonts w:hint="eastAsia" w:ascii="方正兰亭纤黑简体" w:hAnsi="仿宋" w:eastAsia="方正兰亭纤黑简体" w:cs="仿宋"/>
                <w:sz w:val="24"/>
              </w:rPr>
              <w:t>海棠小学人行天桥等。</w:t>
            </w:r>
          </w:p>
        </w:tc>
      </w:tr>
    </w:tbl>
    <w:p>
      <w:pPr>
        <w:ind w:firstLine="640"/>
        <w:rPr>
          <w:rFonts w:ascii="方正兰亭纤黑简体" w:hAnsi="仿宋" w:eastAsia="方正兰亭纤黑简体" w:cs="仿宋"/>
        </w:rPr>
      </w:pPr>
    </w:p>
    <w:p>
      <w:pPr>
        <w:pStyle w:val="5"/>
        <w:ind w:left="0"/>
        <w:rPr>
          <w:rFonts w:ascii="方正兰亭纤黑简体" w:hAnsi="仿宋" w:eastAsia="方正兰亭纤黑简体" w:cs="仿宋"/>
          <w:b/>
          <w:bCs w:val="0"/>
        </w:rPr>
      </w:pPr>
      <w:bookmarkStart w:id="102" w:name="_Toc10074"/>
      <w:bookmarkStart w:id="103" w:name="_Toc31520"/>
      <w:bookmarkStart w:id="104" w:name="_Toc6124"/>
      <w:bookmarkStart w:id="105" w:name="_Toc31042"/>
      <w:bookmarkStart w:id="106" w:name="_Toc11219"/>
      <w:r>
        <w:rPr>
          <w:rFonts w:hint="eastAsia" w:ascii="方正兰亭纤黑简体" w:hAnsi="仿宋" w:eastAsia="方正兰亭纤黑简体" w:cs="仿宋"/>
          <w:b/>
          <w:bCs w:val="0"/>
        </w:rPr>
        <w:t>全面提速公共停车场建设</w:t>
      </w:r>
      <w:bookmarkEnd w:id="102"/>
      <w:bookmarkEnd w:id="103"/>
      <w:bookmarkEnd w:id="104"/>
      <w:bookmarkEnd w:id="105"/>
      <w:bookmarkEnd w:id="106"/>
    </w:p>
    <w:p>
      <w:pPr>
        <w:widowControl/>
        <w:ind w:firstLine="560"/>
        <w:jc w:val="left"/>
        <w:rPr>
          <w:rFonts w:ascii="方正兰亭纤黑简体" w:hAnsi="仿宋" w:eastAsia="方正兰亭纤黑简体" w:cs="仿宋"/>
          <w:sz w:val="28"/>
        </w:rPr>
      </w:pPr>
      <w:r>
        <w:rPr>
          <w:rFonts w:hint="eastAsia" w:ascii="方正兰亭纤黑简体" w:hAnsi="仿宋" w:eastAsia="方正兰亭纤黑简体" w:cs="仿宋"/>
          <w:sz w:val="28"/>
        </w:rPr>
        <w:t>为进一步缓解城区“停车难”问题，按照适度满足基本车位、从紧控制出行车位的原则,建立以配建停车设施为主、公共停车场为辅、路内停车泊位为补充的停车供给体系，以智能化设施建设提升停车设施运转效率。</w:t>
      </w:r>
    </w:p>
    <w:p>
      <w:pPr>
        <w:adjustRightInd w:val="0"/>
        <w:snapToGrid w:val="0"/>
        <w:ind w:firstLine="562"/>
        <w:rPr>
          <w:rFonts w:ascii="方正兰亭纤黑简体" w:hAnsi="仿宋" w:eastAsia="方正兰亭纤黑简体" w:cs="仿宋"/>
          <w:sz w:val="28"/>
        </w:rPr>
      </w:pPr>
      <w:r>
        <w:rPr>
          <w:rFonts w:hint="eastAsia" w:ascii="方正兰亭纤黑简体" w:hAnsi="仿宋" w:eastAsia="方正兰亭纤黑简体" w:cs="仿宋"/>
          <w:b/>
          <w:bCs/>
          <w:sz w:val="28"/>
        </w:rPr>
        <w:t>配建停车场建设。</w:t>
      </w:r>
      <w:r>
        <w:rPr>
          <w:rFonts w:hint="eastAsia" w:ascii="方正兰亭纤黑简体" w:hAnsi="仿宋" w:eastAsia="方正兰亭纤黑简体" w:cs="仿宋"/>
          <w:sz w:val="28"/>
        </w:rPr>
        <w:t>新建小区严格按照最新的《重庆市城市规划管理技术规定》要求的停车位配建标准规划建设停车泊位，并配备用于访客临时使用的公共停车泊位；鼓励商业、医院、学校、体育场等公共建筑超额配建停车泊位，并逐步向社会开放使用。</w:t>
      </w:r>
    </w:p>
    <w:p>
      <w:pPr>
        <w:pStyle w:val="2"/>
        <w:ind w:firstLine="562"/>
        <w:rPr>
          <w:rFonts w:ascii="方正兰亭纤黑简体" w:eastAsia="方正兰亭纤黑简体"/>
        </w:rPr>
      </w:pPr>
      <w:r>
        <w:rPr>
          <w:rFonts w:hint="eastAsia" w:ascii="方正兰亭纤黑简体" w:hAnsi="仿宋" w:eastAsia="方正兰亭纤黑简体" w:cs="仿宋"/>
          <w:b/>
          <w:bCs/>
          <w:sz w:val="28"/>
        </w:rPr>
        <w:t>公共停车场建设。</w:t>
      </w:r>
      <w:r>
        <w:rPr>
          <w:rFonts w:hint="eastAsia" w:ascii="方正兰亭纤黑简体" w:hAnsi="仿宋" w:eastAsia="方正兰亭纤黑简体" w:cs="仿宋"/>
          <w:sz w:val="28"/>
        </w:rPr>
        <w:t>以加快缓解学校、医院、老旧小区等停车刚需矛盾为主，挖掘公园绿地地下空间、企业自有用地、老旧小区边角地等潜力，有序推进公共停车场建设。2021-2025期间拟在龙岗一小南校区西侧地块建设生态停车场，新增泊位约</w:t>
      </w:r>
      <w:r>
        <w:rPr>
          <w:rFonts w:ascii="方正兰亭纤黑简体" w:hAnsi="仿宋" w:eastAsia="方正兰亭纤黑简体" w:cs="仿宋"/>
          <w:sz w:val="28"/>
        </w:rPr>
        <w:t>76</w:t>
      </w:r>
      <w:r>
        <w:rPr>
          <w:rFonts w:hint="eastAsia" w:ascii="方正兰亭纤黑简体" w:hAnsi="仿宋" w:eastAsia="方正兰亭纤黑简体" w:cs="仿宋"/>
          <w:sz w:val="28"/>
        </w:rPr>
        <w:t>个，缓解学生接送及周边居民停车难题；配合城市更新，拟增加停车位</w:t>
      </w:r>
      <w:r>
        <w:rPr>
          <w:rFonts w:ascii="方正兰亭纤黑简体" w:hAnsi="仿宋" w:eastAsia="方正兰亭纤黑简体" w:cs="仿宋"/>
          <w:sz w:val="28"/>
        </w:rPr>
        <w:t>330</w:t>
      </w:r>
      <w:r>
        <w:rPr>
          <w:rFonts w:hint="eastAsia" w:ascii="方正兰亭纤黑简体" w:hAnsi="仿宋" w:eastAsia="方正兰亭纤黑简体" w:cs="仿宋"/>
          <w:sz w:val="28"/>
        </w:rPr>
        <w:t>个，储备泊位</w:t>
      </w:r>
      <w:r>
        <w:rPr>
          <w:rFonts w:ascii="方正兰亭纤黑简体" w:hAnsi="仿宋" w:eastAsia="方正兰亭纤黑简体" w:cs="仿宋"/>
          <w:sz w:val="28"/>
        </w:rPr>
        <w:t>240</w:t>
      </w:r>
      <w:r>
        <w:rPr>
          <w:rFonts w:hint="eastAsia" w:ascii="方正兰亭纤黑简体" w:hAnsi="仿宋" w:eastAsia="方正兰亭纤黑简体" w:cs="仿宋"/>
          <w:sz w:val="28"/>
        </w:rPr>
        <w:t>个，有效缓解停车矛盾；随着天宫河片区深入开发，停车需求加剧，本次配合天宫河博览园建设，新增泊位315个；为承接好城市快轨C3线建设形成的交通聚集，规划研究设置香国公园站与大足东站“P+R”（停车+换乘）设施，储备泊位3200个，有效引导群众出行方式，缓解城区交通压力；配合职教中心片区开发，为周边商、住、学提供安全、充足、舒适的停车泊位，研究储备绿地·海棠湾东侧停车库，储备泊位840个。至2021-2025期末，我区新增公共停车设施5个，增加泊位约</w:t>
      </w:r>
      <w:r>
        <w:rPr>
          <w:rFonts w:ascii="方正兰亭纤黑简体" w:hAnsi="仿宋" w:eastAsia="方正兰亭纤黑简体" w:cs="仿宋"/>
          <w:sz w:val="28"/>
        </w:rPr>
        <w:t>691</w:t>
      </w:r>
      <w:r>
        <w:rPr>
          <w:rFonts w:hint="eastAsia" w:ascii="方正兰亭纤黑简体" w:hAnsi="仿宋" w:eastAsia="方正兰亭纤黑简体" w:cs="仿宋"/>
          <w:sz w:val="28"/>
        </w:rPr>
        <w:t>个；研究储备公共停车设施</w:t>
      </w:r>
      <w:r>
        <w:rPr>
          <w:rFonts w:ascii="方正兰亭纤黑简体" w:hAnsi="仿宋" w:eastAsia="方正兰亭纤黑简体" w:cs="仿宋"/>
          <w:sz w:val="28"/>
        </w:rPr>
        <w:t>4</w:t>
      </w:r>
      <w:r>
        <w:rPr>
          <w:rFonts w:hint="eastAsia" w:ascii="方正兰亭纤黑简体" w:hAnsi="仿宋" w:eastAsia="方正兰亭纤黑简体" w:cs="仿宋"/>
          <w:sz w:val="28"/>
        </w:rPr>
        <w:t>个，储备泊位约</w:t>
      </w:r>
      <w:r>
        <w:rPr>
          <w:rFonts w:ascii="方正兰亭纤黑简体" w:hAnsi="仿宋" w:eastAsia="方正兰亭纤黑简体" w:cs="仿宋"/>
          <w:sz w:val="28"/>
        </w:rPr>
        <w:t>4280</w:t>
      </w:r>
      <w:r>
        <w:rPr>
          <w:rFonts w:hint="eastAsia" w:ascii="方正兰亭纤黑简体" w:hAnsi="仿宋" w:eastAsia="方正兰亭纤黑简体" w:cs="仿宋"/>
          <w:sz w:val="28"/>
        </w:rPr>
        <w:t>个。</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路内停车管控。</w:t>
      </w:r>
      <w:r>
        <w:rPr>
          <w:rFonts w:hint="eastAsia" w:ascii="方正兰亭纤黑简体" w:hAnsi="仿宋" w:eastAsia="方正兰亭纤黑简体" w:cs="仿宋"/>
          <w:sz w:val="28"/>
        </w:rPr>
        <w:t>路内停车泊位按照“总量控制，动态调整”的原则，一是根据城市道路交通运行情况和停车需求变化，建立对路内停车泊位年度综合影响评估机制，对评估结果按照“增量坚决遏制、存量只减不增”的原则进行优化调整，逐步减少路内停车位总量，释放道路交通资源。二是对上下学、就医等即停即走的停车需求，适度增加路内划线车位实行即停即走人性化管理。</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智慧停车推广。</w:t>
      </w:r>
      <w:r>
        <w:rPr>
          <w:rFonts w:hint="eastAsia" w:ascii="方正兰亭纤黑简体" w:hAnsi="仿宋" w:eastAsia="方正兰亭纤黑简体" w:cs="仿宋"/>
          <w:sz w:val="28"/>
        </w:rPr>
        <w:t>配合市级部门做好智慧停车系统接入工作，引入互联网+移动支付技术，积极推动生态停车场智慧停车改造工程、城区充电桩建设运营项目等项目建设，加快已建成投用的停车场逐步全面完善智能停车系统与充电系统。按照市级要求，分步骤有计划将数据接入市智慧化停车平台，着重针对商业、医院、企事业单位配建停车场加大工作力度。对新建停车场项目，积极探索停车智慧系统与主体工程“三同步”：即同时设计，同时施工，同时竣工，从源头上确保停车智能系统的普及。通过智慧停车推广，有效提升车场利用率和周转率，缓解停车难问题。</w:t>
      </w:r>
    </w:p>
    <w:p>
      <w:pPr>
        <w:adjustRightInd w:val="0"/>
        <w:snapToGrid w:val="0"/>
        <w:spacing w:line="408" w:lineRule="auto"/>
        <w:ind w:firstLine="0" w:firstLineChars="0"/>
        <w:jc w:val="center"/>
        <w:rPr>
          <w:rFonts w:ascii="方正兰亭纤黑简体" w:hAnsi="仿宋" w:eastAsia="方正兰亭纤黑简体" w:cs="仿宋"/>
          <w:sz w:val="28"/>
        </w:rPr>
      </w:pPr>
      <w:r>
        <w:rPr>
          <w:rFonts w:hint="eastAsia" w:ascii="方正兰亭纤黑简体" w:hAnsi="仿宋" w:eastAsia="方正兰亭纤黑简体" w:cs="仿宋"/>
          <w:b/>
          <w:sz w:val="28"/>
          <w:szCs w:val="28"/>
        </w:rPr>
        <w:t>专栏5  公共停车系统建设重点项目</w:t>
      </w:r>
    </w:p>
    <w:tbl>
      <w:tblPr>
        <w:tblStyle w:val="24"/>
        <w:tblW w:w="8359"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4" w:hRule="atLeast"/>
          <w:jc w:val="center"/>
        </w:trPr>
        <w:tc>
          <w:tcPr>
            <w:tcW w:w="8359" w:type="dxa"/>
          </w:tcPr>
          <w:p>
            <w:pPr>
              <w:adjustRightInd w:val="0"/>
              <w:snapToGrid w:val="0"/>
              <w:spacing w:line="432" w:lineRule="auto"/>
              <w:ind w:firstLine="366" w:firstLineChars="152"/>
              <w:rPr>
                <w:rFonts w:ascii="方正兰亭纤黑简体" w:hAnsi="仿宋" w:eastAsia="方正兰亭纤黑简体" w:cs="仿宋"/>
                <w:sz w:val="24"/>
              </w:rPr>
            </w:pPr>
            <w:r>
              <w:rPr>
                <w:rFonts w:hint="eastAsia" w:ascii="方正兰亭纤黑简体" w:hAnsi="仿宋" w:eastAsia="方正兰亭纤黑简体" w:cs="仿宋"/>
                <w:b/>
                <w:bCs/>
                <w:sz w:val="24"/>
              </w:rPr>
              <w:t>公共停车场建设项目：</w:t>
            </w:r>
            <w:r>
              <w:rPr>
                <w:rFonts w:hint="eastAsia" w:ascii="方正兰亭纤黑简体" w:hAnsi="仿宋" w:eastAsia="方正兰亭纤黑简体" w:cs="仿宋"/>
                <w:sz w:val="24"/>
              </w:rPr>
              <w:t>党校广场地块地下公共停车场、大足印象地块公共停车场优化、龙岗一小西侧地块生态停车场、天宫河博览园公共停车场、龙岗街背后地块公共停车场等；</w:t>
            </w:r>
          </w:p>
          <w:p>
            <w:pPr>
              <w:adjustRightInd w:val="0"/>
              <w:snapToGrid w:val="0"/>
              <w:spacing w:line="432" w:lineRule="auto"/>
              <w:ind w:firstLine="366" w:firstLineChars="152"/>
              <w:rPr>
                <w:rFonts w:ascii="方正兰亭纤黑简体" w:hAnsi="仿宋" w:eastAsia="方正兰亭纤黑简体" w:cs="仿宋"/>
                <w:sz w:val="24"/>
              </w:rPr>
            </w:pPr>
            <w:r>
              <w:rPr>
                <w:rFonts w:hint="eastAsia" w:ascii="方正兰亭纤黑简体" w:hAnsi="仿宋" w:eastAsia="方正兰亭纤黑简体" w:cs="仿宋"/>
                <w:b/>
                <w:bCs/>
                <w:sz w:val="24"/>
              </w:rPr>
              <w:t>公共停车场储备项目：</w:t>
            </w:r>
            <w:r>
              <w:rPr>
                <w:rFonts w:hint="eastAsia" w:ascii="方正兰亭纤黑简体" w:hAnsi="仿宋" w:eastAsia="方正兰亭纤黑简体" w:cs="仿宋"/>
                <w:sz w:val="24"/>
              </w:rPr>
              <w:t>滨河公园地块公共停车场、绿地·海棠湾东侧公共停车场、香国公园站“P+R”停车设施、大足东站“P+R”停车设施等；</w:t>
            </w:r>
          </w:p>
          <w:p>
            <w:pPr>
              <w:adjustRightInd w:val="0"/>
              <w:snapToGrid w:val="0"/>
              <w:spacing w:line="432" w:lineRule="auto"/>
              <w:ind w:firstLine="366" w:firstLineChars="152"/>
              <w:rPr>
                <w:rFonts w:ascii="方正兰亭纤黑简体" w:eastAsia="方正兰亭纤黑简体"/>
              </w:rPr>
            </w:pPr>
            <w:r>
              <w:rPr>
                <w:rFonts w:hint="eastAsia" w:ascii="方正兰亭纤黑简体" w:hAnsi="仿宋" w:eastAsia="方正兰亭纤黑简体" w:cs="仿宋"/>
                <w:b/>
                <w:bCs/>
                <w:sz w:val="24"/>
              </w:rPr>
              <w:t>设施建设项目：</w:t>
            </w:r>
            <w:r>
              <w:rPr>
                <w:rFonts w:hint="eastAsia" w:ascii="方正兰亭纤黑简体" w:hAnsi="仿宋" w:eastAsia="方正兰亭纤黑简体" w:cs="仿宋"/>
                <w:bCs/>
                <w:sz w:val="24"/>
              </w:rPr>
              <w:t>海棠新城片区停车场及停车站点建设、</w:t>
            </w:r>
            <w:r>
              <w:rPr>
                <w:rFonts w:hint="eastAsia" w:ascii="方正兰亭纤黑简体" w:hAnsi="仿宋" w:eastAsia="方正兰亭纤黑简体" w:cs="仿宋"/>
                <w:sz w:val="24"/>
              </w:rPr>
              <w:t>实施智慧停车建设、重庆市大足区智能化停车管理系统（三期）、城区充电桩建设运营项目。</w:t>
            </w:r>
          </w:p>
        </w:tc>
      </w:tr>
    </w:tbl>
    <w:p>
      <w:pPr>
        <w:pStyle w:val="5"/>
        <w:ind w:left="0"/>
        <w:rPr>
          <w:rFonts w:ascii="方正兰亭纤黑简体" w:hAnsi="仿宋" w:eastAsia="方正兰亭纤黑简体" w:cs="仿宋"/>
          <w:b/>
          <w:bCs w:val="0"/>
        </w:rPr>
      </w:pPr>
      <w:bookmarkStart w:id="107" w:name="_Toc17609"/>
      <w:bookmarkStart w:id="108" w:name="_Toc15106"/>
      <w:bookmarkStart w:id="109" w:name="_Toc11066"/>
      <w:bookmarkStart w:id="110" w:name="_Toc13697"/>
      <w:r>
        <w:rPr>
          <w:rFonts w:hint="eastAsia" w:ascii="方正兰亭纤黑简体" w:hAnsi="仿宋" w:eastAsia="方正兰亭纤黑简体" w:cs="仿宋"/>
          <w:b/>
          <w:bCs w:val="0"/>
        </w:rPr>
        <w:t>加强</w:t>
      </w:r>
      <w:r>
        <w:rPr>
          <w:rFonts w:ascii="方正兰亭纤黑简体" w:hAnsi="仿宋" w:eastAsia="方正兰亭纤黑简体" w:cs="仿宋"/>
          <w:b/>
          <w:bCs w:val="0"/>
        </w:rPr>
        <w:t>建设</w:t>
      </w:r>
      <w:r>
        <w:rPr>
          <w:rFonts w:hint="eastAsia" w:ascii="方正兰亭纤黑简体" w:hAnsi="仿宋" w:eastAsia="方正兰亭纤黑简体" w:cs="仿宋"/>
          <w:b/>
          <w:bCs w:val="0"/>
        </w:rPr>
        <w:t>大足文旅交通</w:t>
      </w:r>
      <w:bookmarkEnd w:id="107"/>
      <w:bookmarkEnd w:id="108"/>
      <w:bookmarkEnd w:id="109"/>
      <w:r>
        <w:rPr>
          <w:rFonts w:hint="eastAsia" w:ascii="方正兰亭纤黑简体" w:hAnsi="仿宋" w:eastAsia="方正兰亭纤黑简体" w:cs="仿宋"/>
          <w:b/>
          <w:bCs w:val="0"/>
        </w:rPr>
        <w:t>设施</w:t>
      </w:r>
      <w:bookmarkEnd w:id="110"/>
    </w:p>
    <w:p>
      <w:pPr>
        <w:widowControl/>
        <w:ind w:firstLine="560"/>
        <w:jc w:val="left"/>
        <w:rPr>
          <w:rFonts w:ascii="方正兰亭纤黑简体" w:hAnsi="仿宋" w:eastAsia="方正兰亭纤黑简体" w:cs="仿宋"/>
          <w:sz w:val="28"/>
        </w:rPr>
      </w:pPr>
      <w:r>
        <w:rPr>
          <w:rFonts w:hint="eastAsia" w:ascii="方正兰亭纤黑简体" w:hAnsi="仿宋" w:eastAsia="方正兰亭纤黑简体" w:cs="仿宋"/>
          <w:sz w:val="28"/>
        </w:rPr>
        <w:t>深入落实“一定要把大足石刻保护好”的重要要求，顺应旅游消费大众化、旅游市场国际化、旅游需求品质化、旅游发展全域化趋势，打造我区特色文旅交通体系，形成特色旅游新增长点。</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建设新型文旅轨道交通。</w:t>
      </w:r>
      <w:r>
        <w:rPr>
          <w:rFonts w:hint="eastAsia" w:ascii="方正兰亭纤黑简体" w:hAnsi="仿宋" w:eastAsia="方正兰亭纤黑简体" w:cs="仿宋"/>
          <w:sz w:val="28"/>
        </w:rPr>
        <w:t>为将“三山一城”打造成为大足石刻文化公园的承载地、文化会客厅的核心区，2021-2025期间我区拟配合宝顶山、北山、南山文旅开发，建设三山连接旅游轨道线路，充分展现大足石刻文化独特魅力，打造游客游览新去处，实现优质文旅资源与交通集散地串联，提升游客观光体验。</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构建大足</w:t>
      </w:r>
      <w:r>
        <w:rPr>
          <w:rFonts w:ascii="方正兰亭纤黑简体" w:hAnsi="仿宋" w:eastAsia="方正兰亭纤黑简体" w:cs="仿宋"/>
          <w:b/>
          <w:bCs/>
          <w:sz w:val="28"/>
        </w:rPr>
        <w:t>特色</w:t>
      </w:r>
      <w:r>
        <w:rPr>
          <w:rFonts w:hint="eastAsia" w:ascii="方正兰亭纤黑简体" w:hAnsi="仿宋" w:eastAsia="方正兰亭纤黑简体" w:cs="仿宋"/>
          <w:b/>
          <w:bCs/>
          <w:sz w:val="28"/>
        </w:rPr>
        <w:t>文旅环路。</w:t>
      </w:r>
      <w:r>
        <w:rPr>
          <w:rFonts w:hint="eastAsia" w:ascii="方正兰亭纤黑简体" w:hAnsi="仿宋" w:eastAsia="方正兰亭纤黑简体" w:cs="仿宋"/>
          <w:sz w:val="28"/>
        </w:rPr>
        <w:t>针对我区文旅目资源丰富但相对分散的特点，2021-2025期间我区拟构建中心城区内（海棠文化、昌州文化为主）、外（石刻文化为主）2条旅游环路，凸显道路承载文化元素，加强标识指引，“以点连线，以线促面”，促进石刻文化城整体发展。</w:t>
      </w:r>
    </w:p>
    <w:p>
      <w:pPr>
        <w:pStyle w:val="2"/>
        <w:ind w:firstLine="0" w:firstLineChars="0"/>
        <w:jc w:val="center"/>
      </w:pPr>
      <w:r>
        <w:drawing>
          <wp:inline distT="0" distB="0" distL="0" distR="0">
            <wp:extent cx="4529455" cy="4034790"/>
            <wp:effectExtent l="0" t="0" r="4445" b="3810"/>
            <wp:docPr id="3" name="图片 3" descr="F:\2022\12.大足十四五规划\大足十四五20221122\十四五规划编制11.30\大足文化环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F:\2022\12.大足十四五规划\大足十四五20221122\十四五规划编制11.30\大足文化环线.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a:xfrm>
                      <a:off x="0" y="0"/>
                      <a:ext cx="4587985" cy="4087046"/>
                    </a:xfrm>
                    <a:prstGeom prst="rect">
                      <a:avLst/>
                    </a:prstGeom>
                    <a:noFill/>
                    <a:ln>
                      <a:noFill/>
                    </a:ln>
                  </pic:spPr>
                </pic:pic>
              </a:graphicData>
            </a:graphic>
          </wp:inline>
        </w:drawing>
      </w:r>
    </w:p>
    <w:p>
      <w:pPr>
        <w:pStyle w:val="2"/>
        <w:ind w:firstLine="0" w:firstLineChars="0"/>
        <w:jc w:val="center"/>
        <w:rPr>
          <w:rFonts w:ascii="方正兰亭纤黑简体" w:hAnsi="仿宋" w:eastAsia="方正兰亭纤黑简体" w:cs="仿宋"/>
          <w:sz w:val="22"/>
        </w:rPr>
      </w:pPr>
      <w:r>
        <w:rPr>
          <w:rFonts w:hint="eastAsia" w:ascii="方正兰亭纤黑简体" w:hAnsi="仿宋" w:eastAsia="方正兰亭纤黑简体" w:cs="仿宋"/>
          <w:sz w:val="22"/>
        </w:rPr>
        <w:t>旅游</w:t>
      </w:r>
      <w:r>
        <w:rPr>
          <w:rFonts w:ascii="方正兰亭纤黑简体" w:hAnsi="仿宋" w:eastAsia="方正兰亭纤黑简体" w:cs="仿宋"/>
          <w:sz w:val="22"/>
        </w:rPr>
        <w:t>环路示意图——大足文化环线</w:t>
      </w:r>
    </w:p>
    <w:p>
      <w:pPr>
        <w:pStyle w:val="2"/>
        <w:ind w:firstLine="0" w:firstLineChars="0"/>
        <w:jc w:val="center"/>
      </w:pPr>
      <w:r>
        <w:drawing>
          <wp:inline distT="0" distB="0" distL="0" distR="0">
            <wp:extent cx="4789805" cy="3806190"/>
            <wp:effectExtent l="0" t="0" r="0" b="3810"/>
            <wp:docPr id="2" name="图片 2" descr="F:\2022\12.大足十四五规划\大足十四五20221122\十四五规划编制11.30\石刻文旅环线.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F:\2022\12.大足十四五规划\大足十四五20221122\十四五规划编制11.30\石刻文旅环线.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4806694" cy="3819476"/>
                    </a:xfrm>
                    <a:prstGeom prst="rect">
                      <a:avLst/>
                    </a:prstGeom>
                    <a:noFill/>
                    <a:ln>
                      <a:noFill/>
                    </a:ln>
                  </pic:spPr>
                </pic:pic>
              </a:graphicData>
            </a:graphic>
          </wp:inline>
        </w:drawing>
      </w:r>
    </w:p>
    <w:p>
      <w:pPr>
        <w:pStyle w:val="2"/>
        <w:ind w:firstLine="0" w:firstLineChars="0"/>
        <w:jc w:val="center"/>
        <w:rPr>
          <w:rFonts w:ascii="方正兰亭纤黑简体" w:hAnsi="仿宋" w:eastAsia="方正兰亭纤黑简体" w:cs="仿宋"/>
          <w:sz w:val="22"/>
        </w:rPr>
      </w:pPr>
      <w:r>
        <w:rPr>
          <w:rFonts w:hint="eastAsia" w:ascii="方正兰亭纤黑简体" w:hAnsi="仿宋" w:eastAsia="方正兰亭纤黑简体" w:cs="仿宋"/>
          <w:sz w:val="22"/>
        </w:rPr>
        <w:t>旅游</w:t>
      </w:r>
      <w:r>
        <w:rPr>
          <w:rFonts w:ascii="方正兰亭纤黑简体" w:hAnsi="仿宋" w:eastAsia="方正兰亭纤黑简体" w:cs="仿宋"/>
          <w:sz w:val="22"/>
        </w:rPr>
        <w:t>环路示意图——</w:t>
      </w:r>
      <w:r>
        <w:rPr>
          <w:rFonts w:hint="eastAsia" w:ascii="方正兰亭纤黑简体" w:hAnsi="仿宋" w:eastAsia="方正兰亭纤黑简体" w:cs="仿宋"/>
          <w:sz w:val="22"/>
        </w:rPr>
        <w:t>石刻</w:t>
      </w:r>
      <w:r>
        <w:rPr>
          <w:rFonts w:ascii="方正兰亭纤黑简体" w:hAnsi="仿宋" w:eastAsia="方正兰亭纤黑简体" w:cs="仿宋"/>
          <w:sz w:val="22"/>
        </w:rPr>
        <w:t>文化环线</w:t>
      </w:r>
    </w:p>
    <w:p>
      <w:pPr>
        <w:adjustRightInd w:val="0"/>
        <w:snapToGrid w:val="0"/>
        <w:spacing w:line="408" w:lineRule="auto"/>
        <w:ind w:firstLine="0" w:firstLineChars="0"/>
        <w:jc w:val="center"/>
        <w:rPr>
          <w:rFonts w:ascii="方正兰亭纤黑简体" w:hAnsi="仿宋" w:eastAsia="方正兰亭纤黑简体" w:cs="仿宋"/>
          <w:b/>
          <w:sz w:val="28"/>
          <w:szCs w:val="28"/>
        </w:rPr>
      </w:pPr>
      <w:bookmarkStart w:id="111" w:name="_Toc29887"/>
      <w:bookmarkStart w:id="112" w:name="_Toc10113"/>
      <w:bookmarkStart w:id="113" w:name="_Toc9909"/>
      <w:r>
        <w:rPr>
          <w:rFonts w:hint="eastAsia" w:ascii="方正兰亭纤黑简体" w:hAnsi="仿宋" w:eastAsia="方正兰亭纤黑简体" w:cs="仿宋"/>
          <w:b/>
          <w:sz w:val="28"/>
          <w:szCs w:val="28"/>
        </w:rPr>
        <w:t>专栏6  旅游交通系统重点建设项目</w:t>
      </w:r>
      <w:bookmarkEnd w:id="111"/>
      <w:bookmarkEnd w:id="112"/>
      <w:bookmarkEnd w:id="113"/>
    </w:p>
    <w:tbl>
      <w:tblPr>
        <w:tblStyle w:val="24"/>
        <w:tblW w:w="829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4" w:hRule="atLeast"/>
          <w:jc w:val="center"/>
        </w:trPr>
        <w:tc>
          <w:tcPr>
            <w:tcW w:w="8296" w:type="dxa"/>
          </w:tcPr>
          <w:p>
            <w:pPr>
              <w:adjustRightInd w:val="0"/>
              <w:snapToGrid w:val="0"/>
              <w:spacing w:line="432" w:lineRule="auto"/>
              <w:ind w:firstLine="366" w:firstLineChars="152"/>
              <w:rPr>
                <w:rFonts w:ascii="方正兰亭纤黑简体" w:hAnsi="仿宋" w:eastAsia="方正兰亭纤黑简体" w:cs="仿宋"/>
              </w:rPr>
            </w:pPr>
            <w:r>
              <w:rPr>
                <w:rFonts w:hint="eastAsia" w:ascii="方正兰亭纤黑简体" w:hAnsi="仿宋" w:eastAsia="方正兰亭纤黑简体" w:cs="仿宋"/>
                <w:b/>
                <w:bCs/>
                <w:sz w:val="24"/>
              </w:rPr>
              <w:t>储备项目：</w:t>
            </w:r>
            <w:r>
              <w:rPr>
                <w:rFonts w:hint="eastAsia" w:ascii="方正兰亭纤黑简体" w:hAnsi="仿宋" w:eastAsia="方正兰亭纤黑简体" w:cs="仿宋"/>
                <w:sz w:val="24"/>
              </w:rPr>
              <w:t>大足区三山连接旅游轨道线路、大足旅游</w:t>
            </w:r>
            <w:r>
              <w:rPr>
                <w:rFonts w:ascii="方正兰亭纤黑简体" w:hAnsi="仿宋" w:eastAsia="方正兰亭纤黑简体" w:cs="仿宋"/>
                <w:sz w:val="24"/>
              </w:rPr>
              <w:t>环线（</w:t>
            </w:r>
            <w:r>
              <w:rPr>
                <w:rFonts w:hint="eastAsia" w:ascii="方正兰亭纤黑简体" w:hAnsi="仿宋" w:eastAsia="方正兰亭纤黑简体" w:cs="仿宋"/>
                <w:sz w:val="24"/>
              </w:rPr>
              <w:t>中心</w:t>
            </w:r>
            <w:r>
              <w:rPr>
                <w:rFonts w:ascii="方正兰亭纤黑简体" w:hAnsi="仿宋" w:eastAsia="方正兰亭纤黑简体" w:cs="仿宋"/>
                <w:sz w:val="24"/>
              </w:rPr>
              <w:t>城区）</w:t>
            </w:r>
            <w:r>
              <w:rPr>
                <w:rFonts w:hint="eastAsia" w:ascii="方正兰亭纤黑简体" w:hAnsi="仿宋" w:eastAsia="方正兰亭纤黑简体" w:cs="仿宋"/>
                <w:sz w:val="24"/>
              </w:rPr>
              <w:t>、大足旅游</w:t>
            </w:r>
            <w:r>
              <w:rPr>
                <w:rFonts w:ascii="方正兰亭纤黑简体" w:hAnsi="仿宋" w:eastAsia="方正兰亭纤黑简体" w:cs="仿宋"/>
                <w:sz w:val="24"/>
              </w:rPr>
              <w:t>环线（</w:t>
            </w:r>
            <w:r>
              <w:rPr>
                <w:rFonts w:hint="eastAsia" w:ascii="方正兰亭纤黑简体" w:hAnsi="仿宋" w:eastAsia="方正兰亭纤黑简体" w:cs="仿宋"/>
                <w:sz w:val="24"/>
              </w:rPr>
              <w:t>五山通道</w:t>
            </w:r>
            <w:r>
              <w:rPr>
                <w:rFonts w:ascii="方正兰亭纤黑简体" w:hAnsi="仿宋" w:eastAsia="方正兰亭纤黑简体" w:cs="仿宋"/>
                <w:sz w:val="24"/>
              </w:rPr>
              <w:t>）</w:t>
            </w:r>
            <w:r>
              <w:rPr>
                <w:rFonts w:hint="eastAsia" w:ascii="方正兰亭纤黑简体" w:hAnsi="仿宋" w:eastAsia="方正兰亭纤黑简体" w:cs="仿宋"/>
                <w:sz w:val="24"/>
              </w:rPr>
              <w:t>、</w:t>
            </w:r>
            <w:r>
              <w:rPr>
                <w:rFonts w:ascii="方正兰亭纤黑简体" w:hAnsi="仿宋" w:eastAsia="方正兰亭纤黑简体" w:cs="仿宋"/>
                <w:sz w:val="24"/>
              </w:rPr>
              <w:t>大足石刻宝顶</w:t>
            </w:r>
            <w:r>
              <w:rPr>
                <w:rFonts w:hint="eastAsia" w:ascii="方正兰亭纤黑简体" w:hAnsi="仿宋" w:eastAsia="方正兰亭纤黑简体" w:cs="仿宋"/>
                <w:sz w:val="24"/>
              </w:rPr>
              <w:t>景区</w:t>
            </w:r>
            <w:r>
              <w:rPr>
                <w:rFonts w:ascii="方正兰亭纤黑简体" w:hAnsi="仿宋" w:eastAsia="方正兰亭纤黑简体" w:cs="仿宋"/>
                <w:sz w:val="24"/>
              </w:rPr>
              <w:t>索道项目</w:t>
            </w:r>
            <w:r>
              <w:rPr>
                <w:rFonts w:hint="eastAsia" w:ascii="方正兰亭纤黑简体" w:hAnsi="仿宋" w:eastAsia="方正兰亭纤黑简体" w:cs="仿宋"/>
                <w:sz w:val="24"/>
              </w:rPr>
              <w:t>。</w:t>
            </w:r>
          </w:p>
        </w:tc>
      </w:tr>
    </w:tbl>
    <w:p>
      <w:pPr>
        <w:ind w:firstLine="640"/>
        <w:rPr>
          <w:rFonts w:ascii="仿宋" w:hAnsi="仿宋" w:eastAsia="仿宋" w:cs="仿宋"/>
        </w:rPr>
      </w:pPr>
      <w:r>
        <w:rPr>
          <w:rFonts w:hint="eastAsia" w:ascii="仿宋" w:hAnsi="仿宋" w:eastAsia="仿宋" w:cs="仿宋"/>
        </w:rPr>
        <w:br w:type="page"/>
      </w:r>
    </w:p>
    <w:p>
      <w:pPr>
        <w:pStyle w:val="4"/>
        <w:adjustRightInd w:val="0"/>
        <w:snapToGrid w:val="0"/>
        <w:spacing w:line="432" w:lineRule="auto"/>
        <w:ind w:left="0"/>
        <w:rPr>
          <w:rFonts w:ascii="方正兰亭粗黑简体" w:hAnsi="仿宋" w:eastAsia="方正兰亭粗黑简体" w:cs="仿宋"/>
          <w:b/>
        </w:rPr>
      </w:pPr>
      <w:bookmarkStart w:id="114" w:name="_Toc22499"/>
      <w:bookmarkStart w:id="115" w:name="_Toc26943"/>
      <w:bookmarkStart w:id="116" w:name="_Toc21402"/>
      <w:bookmarkStart w:id="117" w:name="_Toc26998"/>
      <w:bookmarkStart w:id="118" w:name="_Toc25357"/>
      <w:r>
        <w:rPr>
          <w:rFonts w:hint="eastAsia" w:ascii="方正兰亭粗黑简体" w:hAnsi="仿宋" w:eastAsia="方正兰亭粗黑简体" w:cs="仿宋"/>
          <w:b/>
        </w:rPr>
        <w:t>建立健全环卫体系，构筑城市卫生屏障</w:t>
      </w:r>
      <w:bookmarkEnd w:id="114"/>
      <w:bookmarkEnd w:id="115"/>
      <w:bookmarkEnd w:id="116"/>
      <w:bookmarkEnd w:id="117"/>
      <w:bookmarkEnd w:id="118"/>
    </w:p>
    <w:p>
      <w:pPr>
        <w:widowControl/>
        <w:ind w:firstLine="560"/>
        <w:jc w:val="left"/>
        <w:rPr>
          <w:rFonts w:ascii="方正兰亭纤黑简体" w:hAnsi="仿宋" w:eastAsia="方正兰亭纤黑简体" w:cs="仿宋"/>
          <w:sz w:val="28"/>
        </w:rPr>
      </w:pPr>
      <w:r>
        <w:rPr>
          <w:rFonts w:hint="eastAsia" w:ascii="方正兰亭纤黑简体" w:hAnsi="仿宋" w:eastAsia="方正兰亭纤黑简体" w:cs="仿宋"/>
          <w:sz w:val="28"/>
        </w:rPr>
        <w:t>坚持“抓建设、强管理”两条主线，促进城镇排水与污水处理提质增效，加快补齐市政环卫设施短板，有效改善城市生态环境，擦亮城市美丽底色。</w:t>
      </w:r>
    </w:p>
    <w:p>
      <w:pPr>
        <w:pStyle w:val="5"/>
        <w:ind w:left="0"/>
        <w:rPr>
          <w:rFonts w:ascii="方正兰亭纤黑简体" w:hAnsi="仿宋" w:eastAsia="方正兰亭纤黑简体" w:cs="仿宋"/>
          <w:b/>
          <w:bCs w:val="0"/>
        </w:rPr>
      </w:pPr>
      <w:bookmarkStart w:id="119" w:name="_Toc23257"/>
      <w:bookmarkStart w:id="120" w:name="_Toc1785"/>
      <w:bookmarkStart w:id="121" w:name="_Toc1155"/>
      <w:bookmarkStart w:id="122" w:name="_Toc24783"/>
      <w:r>
        <w:rPr>
          <w:rFonts w:hint="eastAsia" w:ascii="方正兰亭纤黑简体" w:hAnsi="仿宋" w:eastAsia="方正兰亭纤黑简体" w:cs="仿宋"/>
          <w:b/>
          <w:bCs w:val="0"/>
        </w:rPr>
        <w:t>推进城市排水设施建设</w:t>
      </w:r>
      <w:bookmarkEnd w:id="119"/>
      <w:bookmarkEnd w:id="120"/>
      <w:bookmarkEnd w:id="121"/>
      <w:bookmarkEnd w:id="122"/>
    </w:p>
    <w:p>
      <w:pPr>
        <w:widowControl/>
        <w:ind w:firstLine="560"/>
        <w:jc w:val="left"/>
        <w:rPr>
          <w:rFonts w:ascii="方正兰亭纤黑简体" w:hAnsi="仿宋" w:eastAsia="方正兰亭纤黑简体" w:cs="仿宋"/>
          <w:sz w:val="28"/>
        </w:rPr>
      </w:pPr>
      <w:r>
        <w:rPr>
          <w:rFonts w:hint="eastAsia" w:ascii="方正兰亭纤黑简体" w:hAnsi="仿宋" w:eastAsia="方正兰亭纤黑简体" w:cs="仿宋"/>
          <w:sz w:val="28"/>
        </w:rPr>
        <w:t>《重庆市城市排水2021-2025规划》指出，新时代的城市排水规划要围绕“重生态”“提效能”“增韧性”三大趋势，满足“促进生态文明建设”“提高灾害防御能力”“促进行业高标准发展”“提升排水系统效能”四大要求，建成配置合理、资源循环、安全韧性、生态改善的城镇排水体系。</w:t>
      </w:r>
    </w:p>
    <w:p>
      <w:pPr>
        <w:widowControl/>
        <w:ind w:firstLine="562"/>
        <w:jc w:val="left"/>
        <w:rPr>
          <w:rFonts w:eastAsia="方正兰亭纤黑简体"/>
        </w:rPr>
      </w:pPr>
      <w:r>
        <w:rPr>
          <w:rFonts w:hint="eastAsia" w:ascii="方正兰亭纤黑简体" w:hAnsi="仿宋" w:eastAsia="方正兰亭纤黑简体" w:cs="仿宋"/>
          <w:b/>
          <w:bCs/>
          <w:sz w:val="28"/>
        </w:rPr>
        <w:t>加快补齐管网短板，全面提升污水收集率。</w:t>
      </w:r>
      <w:r>
        <w:rPr>
          <w:rFonts w:hint="eastAsia" w:ascii="方正兰亭纤黑简体" w:hAnsi="仿宋" w:eastAsia="方正兰亭纤黑简体" w:cs="仿宋"/>
          <w:sz w:val="28"/>
        </w:rPr>
        <w:t>统筹推进新建配套管网，严格实施雨污分流；加强市政管网排查整治，提升污水处理厂进水浓度；协同开展源头小区管网整治，攻坚管网“最前一公里”；有序改造雨污合流制管网，提升排水管网收集效能。持续开展以污水处理提质增效为重点的城区污水干管“挤外水”工程、以消除污水直排为重点的管网新改建工程、以水质改善为重点的水质综合提升工程、以解决内涝为重点的民生工程等。</w:t>
      </w:r>
      <w:r>
        <w:rPr>
          <w:rFonts w:hint="eastAsia" w:ascii="方正兰亭纤黑简体" w:hAnsi="仿宋" w:eastAsia="方正兰亭纤黑简体" w:cs="仿宋"/>
          <w:sz w:val="28"/>
          <w:lang w:eastAsia="zh-CN"/>
        </w:rPr>
        <w:t>“十四五”</w:t>
      </w:r>
      <w:r>
        <w:rPr>
          <w:rFonts w:hint="eastAsia" w:ascii="方正兰亭纤黑简体" w:hAnsi="仿宋" w:eastAsia="方正兰亭纤黑简体" w:cs="仿宋"/>
          <w:sz w:val="28"/>
        </w:rPr>
        <w:t>期间，城区和龙水拟新改建雨水管网约82.6千米，其中龙岗-棠香片区新改建约20.6千米，龙水片区新改建约62千米。拟新改建污水管网约78.7千米，其中龙岗-棠香片区约40.6千米，龙水片区改造约38.1千米。按照“一厂一策”要求，对城市污水处理厂进水浓度进行监测跟踪，确保BOD年均进水浓度不低于100mg/L。</w:t>
      </w:r>
    </w:p>
    <w:p>
      <w:pPr>
        <w:adjustRightInd w:val="0"/>
        <w:snapToGrid w:val="0"/>
        <w:spacing w:line="408" w:lineRule="auto"/>
        <w:ind w:firstLine="0" w:firstLineChars="0"/>
        <w:jc w:val="center"/>
        <w:rPr>
          <w:rFonts w:ascii="方正兰亭纤黑简体" w:hAnsi="仿宋" w:eastAsia="方正兰亭纤黑简体" w:cs="仿宋"/>
          <w:b/>
          <w:sz w:val="28"/>
          <w:szCs w:val="28"/>
        </w:rPr>
      </w:pPr>
      <w:r>
        <w:rPr>
          <w:rFonts w:hint="eastAsia" w:ascii="方正兰亭纤黑简体" w:hAnsi="仿宋" w:eastAsia="方正兰亭纤黑简体" w:cs="仿宋"/>
          <w:b/>
          <w:sz w:val="28"/>
          <w:szCs w:val="28"/>
        </w:rPr>
        <w:t>专栏1 城市排水设施重点项目</w:t>
      </w:r>
    </w:p>
    <w:tbl>
      <w:tblPr>
        <w:tblStyle w:val="24"/>
        <w:tblW w:w="829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4" w:hRule="atLeast"/>
          <w:jc w:val="center"/>
        </w:trPr>
        <w:tc>
          <w:tcPr>
            <w:tcW w:w="8296" w:type="dxa"/>
          </w:tcPr>
          <w:p>
            <w:pPr>
              <w:widowControl/>
              <w:ind w:firstLine="480"/>
              <w:jc w:val="left"/>
              <w:rPr>
                <w:rFonts w:ascii="方正兰亭纤黑简体" w:hAnsi="仿宋" w:eastAsia="方正兰亭纤黑简体" w:cs="仿宋"/>
                <w:sz w:val="24"/>
              </w:rPr>
            </w:pPr>
            <w:r>
              <w:rPr>
                <w:rFonts w:hint="eastAsia" w:ascii="方正兰亭纤黑简体" w:hAnsi="仿宋" w:eastAsia="方正兰亭纤黑简体" w:cs="仿宋"/>
                <w:sz w:val="24"/>
              </w:rPr>
              <w:t>建设</w:t>
            </w:r>
            <w:r>
              <w:rPr>
                <w:rFonts w:ascii="方正兰亭纤黑简体" w:hAnsi="仿宋" w:eastAsia="方正兰亭纤黑简体" w:cs="仿宋"/>
                <w:sz w:val="24"/>
              </w:rPr>
              <w:t>项目：</w:t>
            </w:r>
            <w:r>
              <w:rPr>
                <w:rFonts w:hint="eastAsia" w:ascii="方正兰亭纤黑简体" w:hAnsi="仿宋" w:eastAsia="方正兰亭纤黑简体" w:cs="仿宋"/>
                <w:sz w:val="24"/>
              </w:rPr>
              <w:t>镇街排水管网运维及整治工程（2</w:t>
            </w:r>
            <w:r>
              <w:rPr>
                <w:rFonts w:ascii="方正兰亭纤黑简体" w:hAnsi="仿宋" w:eastAsia="方正兰亭纤黑简体" w:cs="仿宋"/>
                <w:sz w:val="24"/>
              </w:rPr>
              <w:t>022</w:t>
            </w:r>
            <w:r>
              <w:rPr>
                <w:rFonts w:hint="eastAsia" w:ascii="方正兰亭纤黑简体" w:hAnsi="仿宋" w:eastAsia="方正兰亭纤黑简体" w:cs="仿宋"/>
                <w:sz w:val="24"/>
              </w:rPr>
              <w:t>年）、城镇排水管网整治及维护工程（2023年）、镇街排水管网整治及维护工程（2024年）。</w:t>
            </w:r>
          </w:p>
          <w:p>
            <w:pPr>
              <w:widowControl/>
              <w:ind w:firstLine="480"/>
              <w:jc w:val="left"/>
              <w:rPr>
                <w:rFonts w:ascii="方正兰亭纤黑简体" w:hAnsi="仿宋" w:eastAsia="方正兰亭纤黑简体" w:cs="仿宋"/>
              </w:rPr>
            </w:pPr>
            <w:r>
              <w:rPr>
                <w:rFonts w:hint="eastAsia" w:ascii="方正兰亭纤黑简体" w:hAnsi="仿宋" w:eastAsia="方正兰亭纤黑简体" w:cs="仿宋"/>
                <w:sz w:val="24"/>
              </w:rPr>
              <w:t>储备</w:t>
            </w:r>
            <w:r>
              <w:rPr>
                <w:rFonts w:ascii="方正兰亭纤黑简体" w:hAnsi="仿宋" w:eastAsia="方正兰亭纤黑简体" w:cs="仿宋"/>
                <w:sz w:val="24"/>
              </w:rPr>
              <w:t>项目：</w:t>
            </w:r>
            <w:r>
              <w:rPr>
                <w:rFonts w:hint="eastAsia" w:ascii="方正兰亭纤黑简体" w:hAnsi="仿宋" w:eastAsia="方正兰亭纤黑简体" w:cs="仿宋"/>
                <w:sz w:val="24"/>
              </w:rPr>
              <w:t>大足区智慧排水项目（二期）。</w:t>
            </w:r>
          </w:p>
        </w:tc>
      </w:tr>
    </w:tbl>
    <w:p>
      <w:pPr>
        <w:pStyle w:val="26"/>
        <w:ind w:firstLine="640"/>
        <w:rPr>
          <w:rFonts w:ascii="方正兰亭纤黑简体" w:hAnsi="仿宋" w:eastAsia="方正兰亭纤黑简体" w:cs="仿宋"/>
        </w:rPr>
      </w:pPr>
    </w:p>
    <w:p>
      <w:pPr>
        <w:pStyle w:val="5"/>
        <w:ind w:left="0"/>
        <w:rPr>
          <w:rFonts w:ascii="方正兰亭纤黑简体" w:hAnsi="仿宋" w:eastAsia="方正兰亭纤黑简体" w:cs="仿宋"/>
          <w:b/>
          <w:bCs w:val="0"/>
        </w:rPr>
      </w:pPr>
      <w:bookmarkStart w:id="123" w:name="_Toc32620"/>
      <w:bookmarkStart w:id="124" w:name="_Toc16426"/>
      <w:bookmarkStart w:id="125" w:name="_Toc19062"/>
      <w:bookmarkStart w:id="126" w:name="_Toc24229"/>
      <w:r>
        <w:rPr>
          <w:rFonts w:hint="eastAsia" w:ascii="方正兰亭纤黑简体" w:hAnsi="仿宋" w:eastAsia="方正兰亭纤黑简体" w:cs="仿宋"/>
          <w:b/>
          <w:bCs w:val="0"/>
        </w:rPr>
        <w:t>提高城市污水处理能力</w:t>
      </w:r>
      <w:bookmarkEnd w:id="123"/>
      <w:bookmarkEnd w:id="124"/>
      <w:bookmarkEnd w:id="125"/>
      <w:bookmarkEnd w:id="126"/>
    </w:p>
    <w:p>
      <w:pPr>
        <w:widowControl/>
        <w:ind w:firstLine="560"/>
        <w:jc w:val="left"/>
        <w:rPr>
          <w:rFonts w:ascii="方正兰亭纤黑简体" w:hAnsi="仿宋" w:eastAsia="方正兰亭纤黑简体" w:cs="仿宋"/>
          <w:sz w:val="28"/>
        </w:rPr>
      </w:pPr>
      <w:bookmarkStart w:id="127" w:name="_Toc3080"/>
      <w:r>
        <w:rPr>
          <w:rFonts w:hint="eastAsia" w:ascii="方正兰亭纤黑简体" w:hAnsi="仿宋" w:eastAsia="方正兰亭纤黑简体" w:cs="仿宋"/>
          <w:sz w:val="28"/>
        </w:rPr>
        <w:t>坚持问题导向，瞄准关键环节，贯彻习近平总书记“绿水青山就是金山银山”的指示，结合当前城市提升、人居环境改善和深入推进城乡一体化发展的总体工作要求，完善全区污水管网处理系统，全面提升城市污水处理能力。</w:t>
      </w:r>
    </w:p>
    <w:bookmarkEnd w:id="127"/>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有序扩能现状污水处理设施。</w:t>
      </w:r>
      <w:r>
        <w:rPr>
          <w:rFonts w:hint="eastAsia" w:ascii="方正兰亭纤黑简体" w:hAnsi="仿宋" w:eastAsia="方正兰亭纤黑简体" w:cs="仿宋"/>
          <w:sz w:val="28"/>
        </w:rPr>
        <w:t>加快补齐处理能力缺口，重点关注城区和龙水污水处理厂高负荷运行的问题。当污水处理厂运行负荷达80%，且进水BOD浓度高于100mg/L的污水处理厂，要分析原因，提出解决办法，现状污水处理厂处理能力不满足需求的厂，要按照适度超前、预留空间发展的原则进行用地控制和建设安排，对于因外水导致污水处理厂高负荷运行的，要有序推进管网建设改造，进一步“控源减压”挤外水，降低污水处理厂运行负荷，保证持续稳定达标运行。</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稳步推进新扩建污水处理设施。</w:t>
      </w:r>
      <w:r>
        <w:rPr>
          <w:rFonts w:hint="eastAsia" w:ascii="方正兰亭纤黑简体" w:hAnsi="仿宋" w:eastAsia="方正兰亭纤黑简体" w:cs="仿宋"/>
          <w:sz w:val="28"/>
        </w:rPr>
        <w:t>结合新一轮国土空间规划，提前谋划污水处理厂处理能力。2021-2025期间，拟实施城市污水处理厂提标改造工程（提标至地表水准</w:t>
      </w:r>
      <w:r>
        <w:rPr>
          <w:szCs w:val="32"/>
        </w:rPr>
        <w:t>IV</w:t>
      </w:r>
      <w:r>
        <w:rPr>
          <w:rFonts w:hint="eastAsia" w:ascii="方正兰亭纤黑简体" w:hAnsi="仿宋" w:eastAsia="方正兰亭纤黑简体" w:cs="仿宋"/>
          <w:sz w:val="28"/>
        </w:rPr>
        <w:t>类）、清溪水务污水处理厂扩建及配套管网建设、</w:t>
      </w:r>
      <w:r>
        <w:rPr>
          <w:rFonts w:hint="eastAsia" w:ascii="方正兰亭纤黑简体" w:hAnsi="仿宋" w:eastAsia="方正兰亭纤黑简体" w:cs="仿宋"/>
          <w:color w:val="FF0000"/>
          <w:sz w:val="28"/>
        </w:rPr>
        <w:t>文创园污水处理厂及管网建设</w:t>
      </w:r>
      <w:r>
        <w:rPr>
          <w:rFonts w:hint="eastAsia" w:ascii="方正兰亭纤黑简体" w:hAnsi="仿宋" w:eastAsia="方正兰亭纤黑简体" w:cs="仿宋"/>
          <w:sz w:val="28"/>
        </w:rPr>
        <w:t>。研究储备城区污水处理厂扩容及配套干管建设工程、工业污水处理厂（二期）、</w:t>
      </w:r>
      <w:r>
        <w:rPr>
          <w:rFonts w:ascii="方正兰亭纤黑简体" w:hAnsi="仿宋" w:eastAsia="方正兰亭纤黑简体" w:cs="仿宋"/>
          <w:sz w:val="28"/>
        </w:rPr>
        <w:t>龙水</w:t>
      </w:r>
      <w:r>
        <w:rPr>
          <w:rFonts w:hint="eastAsia" w:ascii="方正兰亭纤黑简体" w:hAnsi="仿宋" w:eastAsia="方正兰亭纤黑简体" w:cs="仿宋"/>
          <w:sz w:val="28"/>
        </w:rPr>
        <w:t>污水</w:t>
      </w:r>
      <w:r>
        <w:rPr>
          <w:rFonts w:ascii="方正兰亭纤黑简体" w:hAnsi="仿宋" w:eastAsia="方正兰亭纤黑简体" w:cs="仿宋"/>
          <w:sz w:val="28"/>
        </w:rPr>
        <w:t>处理厂</w:t>
      </w:r>
      <w:r>
        <w:rPr>
          <w:rFonts w:hint="eastAsia" w:ascii="方正兰亭纤黑简体" w:hAnsi="仿宋" w:eastAsia="方正兰亭纤黑简体" w:cs="仿宋"/>
          <w:sz w:val="28"/>
        </w:rPr>
        <w:t>。</w:t>
      </w:r>
    </w:p>
    <w:p>
      <w:pPr>
        <w:adjustRightInd w:val="0"/>
        <w:snapToGrid w:val="0"/>
        <w:spacing w:line="408" w:lineRule="auto"/>
        <w:ind w:firstLine="0" w:firstLineChars="0"/>
        <w:jc w:val="center"/>
        <w:rPr>
          <w:rFonts w:ascii="方正兰亭纤黑简体" w:hAnsi="仿宋" w:eastAsia="方正兰亭纤黑简体" w:cs="仿宋"/>
          <w:b/>
          <w:sz w:val="28"/>
          <w:szCs w:val="28"/>
        </w:rPr>
      </w:pPr>
      <w:r>
        <w:rPr>
          <w:rFonts w:hint="eastAsia" w:ascii="方正兰亭纤黑简体" w:hAnsi="仿宋" w:eastAsia="方正兰亭纤黑简体" w:cs="仿宋"/>
          <w:b/>
          <w:sz w:val="28"/>
          <w:szCs w:val="28"/>
        </w:rPr>
        <w:t>专栏2 城市污水处理设施重点项目</w:t>
      </w:r>
    </w:p>
    <w:tbl>
      <w:tblPr>
        <w:tblStyle w:val="24"/>
        <w:tblW w:w="829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4" w:hRule="atLeast"/>
          <w:jc w:val="center"/>
        </w:trPr>
        <w:tc>
          <w:tcPr>
            <w:tcW w:w="8296" w:type="dxa"/>
          </w:tcPr>
          <w:p>
            <w:pPr>
              <w:widowControl/>
              <w:adjustRightInd w:val="0"/>
              <w:snapToGrid w:val="0"/>
              <w:spacing w:line="432" w:lineRule="auto"/>
              <w:ind w:firstLine="482"/>
              <w:jc w:val="left"/>
              <w:rPr>
                <w:rFonts w:ascii="方正兰亭纤黑简体" w:hAnsi="仿宋" w:eastAsia="方正兰亭纤黑简体" w:cs="仿宋"/>
                <w:sz w:val="24"/>
              </w:rPr>
            </w:pPr>
            <w:r>
              <w:rPr>
                <w:rFonts w:hint="eastAsia" w:ascii="方正兰亭纤黑简体" w:hAnsi="仿宋" w:eastAsia="方正兰亭纤黑简体" w:cs="仿宋"/>
                <w:b/>
                <w:bCs/>
                <w:sz w:val="24"/>
              </w:rPr>
              <w:t>建设项目：</w:t>
            </w:r>
            <w:r>
              <w:rPr>
                <w:rFonts w:hint="eastAsia" w:ascii="方正兰亭纤黑简体" w:hAnsi="仿宋" w:eastAsia="方正兰亭纤黑简体" w:cs="仿宋"/>
                <w:sz w:val="24"/>
              </w:rPr>
              <w:t>城市污水处理厂提标改造、清溪水务污水处理厂扩建及配套管网建设、龙岗-棠香组团污水管网改造工程、龙水组团污水管网改造工程、</w:t>
            </w:r>
            <w:r>
              <w:rPr>
                <w:rFonts w:hint="eastAsia" w:ascii="方正兰亭纤黑简体" w:hAnsi="仿宋" w:eastAsia="方正兰亭纤黑简体" w:cs="仿宋"/>
                <w:color w:val="FF0000"/>
                <w:sz w:val="24"/>
              </w:rPr>
              <w:t>文创园污水处理厂及管网建设</w:t>
            </w:r>
            <w:r>
              <w:rPr>
                <w:rFonts w:hint="eastAsia" w:ascii="方正兰亭纤黑简体" w:hAnsi="仿宋" w:eastAsia="方正兰亭纤黑简体" w:cs="仿宋"/>
                <w:sz w:val="24"/>
              </w:rPr>
              <w:t>。</w:t>
            </w:r>
          </w:p>
          <w:p>
            <w:pPr>
              <w:widowControl/>
              <w:adjustRightInd w:val="0"/>
              <w:snapToGrid w:val="0"/>
              <w:spacing w:line="432" w:lineRule="auto"/>
              <w:ind w:firstLine="482"/>
              <w:jc w:val="left"/>
              <w:rPr>
                <w:rFonts w:ascii="方正兰亭纤黑简体" w:hAnsi="仿宋" w:eastAsia="方正兰亭纤黑简体" w:cs="仿宋"/>
                <w:sz w:val="28"/>
                <w:szCs w:val="28"/>
              </w:rPr>
            </w:pPr>
            <w:r>
              <w:rPr>
                <w:rFonts w:hint="eastAsia" w:ascii="方正兰亭纤黑简体" w:hAnsi="仿宋" w:eastAsia="方正兰亭纤黑简体" w:cs="仿宋"/>
                <w:b/>
                <w:bCs/>
                <w:sz w:val="24"/>
              </w:rPr>
              <w:t>储备项目：</w:t>
            </w:r>
            <w:r>
              <w:rPr>
                <w:rFonts w:hint="eastAsia" w:ascii="方正兰亭纤黑简体" w:hAnsi="仿宋" w:eastAsia="方正兰亭纤黑简体" w:cs="仿宋"/>
                <w:sz w:val="24"/>
              </w:rPr>
              <w:t>城区污水处理厂扩容及配套干管建设工程、工业污水处理厂（二期）、</w:t>
            </w:r>
            <w:r>
              <w:rPr>
                <w:rFonts w:ascii="方正兰亭纤黑简体" w:hAnsi="仿宋" w:eastAsia="方正兰亭纤黑简体" w:cs="仿宋"/>
                <w:sz w:val="24"/>
              </w:rPr>
              <w:t>龙水</w:t>
            </w:r>
            <w:r>
              <w:rPr>
                <w:rFonts w:hint="eastAsia" w:ascii="方正兰亭纤黑简体" w:hAnsi="仿宋" w:eastAsia="方正兰亭纤黑简体" w:cs="仿宋"/>
                <w:sz w:val="24"/>
              </w:rPr>
              <w:t>污水</w:t>
            </w:r>
            <w:r>
              <w:rPr>
                <w:rFonts w:ascii="方正兰亭纤黑简体" w:hAnsi="仿宋" w:eastAsia="方正兰亭纤黑简体" w:cs="仿宋"/>
                <w:sz w:val="24"/>
              </w:rPr>
              <w:t>处理厂</w:t>
            </w:r>
            <w:r>
              <w:rPr>
                <w:rFonts w:hint="eastAsia" w:ascii="方正兰亭纤黑简体" w:hAnsi="仿宋" w:eastAsia="方正兰亭纤黑简体" w:cs="仿宋"/>
                <w:sz w:val="24"/>
              </w:rPr>
              <w:t>。</w:t>
            </w:r>
          </w:p>
        </w:tc>
      </w:tr>
    </w:tbl>
    <w:p>
      <w:pPr>
        <w:pStyle w:val="26"/>
        <w:ind w:firstLine="640"/>
        <w:rPr>
          <w:rFonts w:ascii="方正兰亭纤黑简体" w:hAnsi="仿宋" w:eastAsia="方正兰亭纤黑简体" w:cs="仿宋"/>
        </w:rPr>
      </w:pPr>
    </w:p>
    <w:p>
      <w:pPr>
        <w:pStyle w:val="5"/>
        <w:ind w:left="0"/>
        <w:rPr>
          <w:rFonts w:ascii="方正兰亭纤黑简体" w:hAnsi="仿宋" w:eastAsia="方正兰亭纤黑简体" w:cs="仿宋"/>
          <w:b/>
          <w:bCs w:val="0"/>
        </w:rPr>
      </w:pPr>
      <w:bookmarkStart w:id="128" w:name="_Toc28789"/>
      <w:bookmarkStart w:id="129" w:name="_Toc6512"/>
      <w:bookmarkStart w:id="130" w:name="_Toc6146"/>
      <w:bookmarkStart w:id="131" w:name="_Toc2928"/>
      <w:r>
        <w:rPr>
          <w:rFonts w:hint="eastAsia" w:ascii="方正兰亭纤黑简体" w:hAnsi="仿宋" w:eastAsia="方正兰亭纤黑简体" w:cs="仿宋"/>
          <w:b/>
          <w:bCs w:val="0"/>
        </w:rPr>
        <w:t>提升污泥处理处置能力</w:t>
      </w:r>
      <w:bookmarkEnd w:id="128"/>
      <w:bookmarkEnd w:id="129"/>
      <w:bookmarkEnd w:id="130"/>
      <w:bookmarkEnd w:id="131"/>
    </w:p>
    <w:p>
      <w:pPr>
        <w:widowControl/>
        <w:ind w:firstLine="560"/>
        <w:jc w:val="left"/>
        <w:rPr>
          <w:rFonts w:ascii="方正兰亭纤黑简体" w:hAnsi="仿宋" w:eastAsia="方正兰亭纤黑简体" w:cs="仿宋"/>
          <w:sz w:val="28"/>
        </w:rPr>
      </w:pPr>
      <w:r>
        <w:rPr>
          <w:rFonts w:hint="eastAsia" w:ascii="方正兰亭纤黑简体" w:hAnsi="仿宋" w:eastAsia="方正兰亭纤黑简体" w:cs="仿宋"/>
          <w:sz w:val="28"/>
        </w:rPr>
        <w:t>加强污泥处理处置工作，强化过程管理和统一调配，规范污泥处置出路，充分发挥现有污泥处理处置设施能力，提高本区污水处理厂污泥“减量化、稳定化、无害化、资源化”水平。</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因地制宜推动污泥源头减量。</w:t>
      </w:r>
      <w:r>
        <w:rPr>
          <w:rFonts w:hint="eastAsia" w:ascii="方正兰亭纤黑简体" w:hAnsi="仿宋" w:eastAsia="方正兰亭纤黑简体" w:cs="仿宋"/>
          <w:sz w:val="28"/>
        </w:rPr>
        <w:t>按照“处置决定处理、场内减量和后续处置相配”的原则，推进污水处理厂场内减量设施建设，进一步降低污泥含水率。加强对污水处理厂出厂污泥脱水效能管控监督，确保出厂污泥稳定达标，降低后续运费、处置费用。推动新建污水处理设施同步建设污泥减量化处理设施和污泥处置设施系统升级，提高污泥资源化利用率。</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推动污泥暂存设施建设。</w:t>
      </w:r>
      <w:r>
        <w:rPr>
          <w:rFonts w:hint="eastAsia" w:ascii="方正兰亭纤黑简体" w:hAnsi="仿宋" w:eastAsia="方正兰亭纤黑简体" w:cs="仿宋"/>
          <w:sz w:val="28"/>
        </w:rPr>
        <w:t>建设场内污泥贮存设施、区域污泥暂存设施，形成“前段贮存、区域暂存”的污泥存储模式，通过提升污泥暂存能力，破解处置设施接收困难时</w:t>
      </w:r>
      <w:r>
        <w:rPr>
          <w:rFonts w:ascii="方正兰亭纤黑简体" w:hAnsi="仿宋" w:eastAsia="方正兰亭纤黑简体" w:cs="仿宋"/>
          <w:sz w:val="28"/>
        </w:rPr>
        <w:t>的</w:t>
      </w:r>
      <w:r>
        <w:rPr>
          <w:rFonts w:hint="eastAsia" w:ascii="方正兰亭纤黑简体" w:hAnsi="仿宋" w:eastAsia="方正兰亭纤黑简体" w:cs="仿宋"/>
          <w:sz w:val="28"/>
        </w:rPr>
        <w:t>污泥调度协调难题。加强污泥暂存设施管理，落实暂存设施的环境保护措施，杜绝污染。结合大足区污泥处理处置厂运行和城市发展情况，2021-2025期间，龙岗-棠香片区、龙水片区范围内污水处理厂产生的污泥在大足污泥无害化处理中心进行处理，当处理能力无法满足需求时，根据城市总体规划情况，选择外运双桥等地处理。</w:t>
      </w:r>
    </w:p>
    <w:p>
      <w:pPr>
        <w:adjustRightInd w:val="0"/>
        <w:snapToGrid w:val="0"/>
        <w:spacing w:line="408" w:lineRule="auto"/>
        <w:ind w:firstLine="0" w:firstLineChars="0"/>
        <w:jc w:val="center"/>
        <w:rPr>
          <w:rFonts w:ascii="方正兰亭纤黑简体" w:hAnsi="仿宋" w:eastAsia="方正兰亭纤黑简体" w:cs="仿宋"/>
          <w:b/>
          <w:sz w:val="28"/>
          <w:szCs w:val="28"/>
        </w:rPr>
      </w:pPr>
      <w:r>
        <w:rPr>
          <w:rFonts w:hint="eastAsia" w:ascii="方正兰亭纤黑简体" w:hAnsi="仿宋" w:eastAsia="方正兰亭纤黑简体" w:cs="仿宋"/>
          <w:b/>
          <w:sz w:val="28"/>
          <w:szCs w:val="28"/>
        </w:rPr>
        <w:t>专栏3 城市污泥处理设施重点项目</w:t>
      </w:r>
    </w:p>
    <w:tbl>
      <w:tblPr>
        <w:tblStyle w:val="24"/>
        <w:tblW w:w="829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4" w:hRule="atLeast"/>
          <w:jc w:val="center"/>
        </w:trPr>
        <w:tc>
          <w:tcPr>
            <w:tcW w:w="8296" w:type="dxa"/>
          </w:tcPr>
          <w:p>
            <w:pPr>
              <w:widowControl/>
              <w:adjustRightInd w:val="0"/>
              <w:snapToGrid w:val="0"/>
              <w:spacing w:line="432" w:lineRule="auto"/>
              <w:ind w:firstLine="240" w:firstLineChars="100"/>
              <w:jc w:val="left"/>
              <w:rPr>
                <w:rFonts w:ascii="方正兰亭纤黑简体" w:hAnsi="仿宋" w:eastAsia="方正兰亭纤黑简体" w:cs="仿宋"/>
                <w:sz w:val="28"/>
                <w:szCs w:val="28"/>
              </w:rPr>
            </w:pPr>
            <w:r>
              <w:rPr>
                <w:rFonts w:hint="eastAsia" w:ascii="方正兰亭纤黑简体" w:hAnsi="仿宋" w:eastAsia="方正兰亭纤黑简体" w:cs="仿宋"/>
                <w:sz w:val="24"/>
              </w:rPr>
              <w:t>根据我区实际情况，污泥处理处置采用我区自行处理和外运双桥等地处理。</w:t>
            </w:r>
          </w:p>
        </w:tc>
      </w:tr>
    </w:tbl>
    <w:p>
      <w:pPr>
        <w:adjustRightInd w:val="0"/>
        <w:snapToGrid w:val="0"/>
        <w:ind w:firstLine="560"/>
        <w:rPr>
          <w:rFonts w:ascii="方正兰亭纤黑简体" w:hAnsi="仿宋" w:eastAsia="方正兰亭纤黑简体" w:cs="仿宋"/>
          <w:sz w:val="28"/>
        </w:rPr>
      </w:pPr>
    </w:p>
    <w:p>
      <w:pPr>
        <w:pStyle w:val="5"/>
        <w:ind w:left="0"/>
        <w:rPr>
          <w:rFonts w:ascii="方正兰亭纤黑简体" w:hAnsi="仿宋" w:eastAsia="方正兰亭纤黑简体" w:cs="仿宋"/>
          <w:b/>
          <w:bCs w:val="0"/>
        </w:rPr>
      </w:pPr>
      <w:bookmarkStart w:id="132" w:name="_Toc22732"/>
      <w:bookmarkStart w:id="133" w:name="_Toc10914"/>
      <w:bookmarkStart w:id="134" w:name="_Toc3605"/>
      <w:bookmarkStart w:id="135" w:name="_Toc9214"/>
      <w:r>
        <w:rPr>
          <w:rFonts w:hint="eastAsia" w:ascii="方正兰亭纤黑简体" w:hAnsi="仿宋" w:eastAsia="方正兰亭纤黑简体" w:cs="仿宋"/>
          <w:b/>
          <w:bCs w:val="0"/>
        </w:rPr>
        <w:t>优化升级市政环卫</w:t>
      </w:r>
      <w:bookmarkEnd w:id="132"/>
      <w:bookmarkEnd w:id="133"/>
      <w:bookmarkEnd w:id="134"/>
      <w:r>
        <w:rPr>
          <w:rFonts w:hint="eastAsia" w:ascii="方正兰亭纤黑简体" w:hAnsi="仿宋" w:eastAsia="方正兰亭纤黑简体" w:cs="仿宋"/>
          <w:b/>
          <w:bCs w:val="0"/>
        </w:rPr>
        <w:t>设施</w:t>
      </w:r>
      <w:bookmarkEnd w:id="135"/>
    </w:p>
    <w:p>
      <w:pPr>
        <w:widowControl/>
        <w:ind w:firstLine="560"/>
        <w:jc w:val="left"/>
        <w:rPr>
          <w:rFonts w:ascii="方正兰亭纤黑简体" w:hAnsi="仿宋" w:eastAsia="方正兰亭纤黑简体" w:cs="仿宋"/>
          <w:sz w:val="28"/>
        </w:rPr>
      </w:pPr>
      <w:r>
        <w:rPr>
          <w:rFonts w:hint="eastAsia" w:ascii="方正兰亭纤黑简体" w:hAnsi="仿宋" w:eastAsia="方正兰亭纤黑简体" w:cs="仿宋"/>
          <w:sz w:val="28"/>
        </w:rPr>
        <w:t>坚持以满足人民日益增长的美好生活需要为根本目的，着眼精细化、人性化、专业化、区域化、精准化，提高清扫保洁水平，实施生活垃圾和餐厨垃圾无害化处理，着力解决严重影响市容环境的“脏、乱、差、丑”等突出问题，重点解决城市民生实事问题，让所到之处干干净净、目光所及整洁清爽，全力打造“干净整洁有序”的城市环境，擦亮城市底色，“绘”出高质量环境。</w:t>
      </w:r>
    </w:p>
    <w:p>
      <w:pPr>
        <w:pStyle w:val="2"/>
        <w:ind w:firstLine="640"/>
        <w:rPr>
          <w:rFonts w:ascii="方正兰亭纤黑简体" w:eastAsia="方正兰亭纤黑简体"/>
        </w:rPr>
      </w:pPr>
    </w:p>
    <w:p>
      <w:pPr>
        <w:adjustRightInd w:val="0"/>
        <w:snapToGrid w:val="0"/>
        <w:spacing w:line="408" w:lineRule="auto"/>
        <w:ind w:firstLine="0" w:firstLineChars="0"/>
        <w:jc w:val="center"/>
        <w:rPr>
          <w:rFonts w:ascii="方正兰亭纤黑简体" w:hAnsi="仿宋" w:eastAsia="方正兰亭纤黑简体" w:cs="仿宋"/>
          <w:b/>
          <w:sz w:val="28"/>
          <w:szCs w:val="28"/>
        </w:rPr>
      </w:pPr>
      <w:r>
        <w:rPr>
          <w:rFonts w:hint="eastAsia" w:ascii="方正兰亭纤黑简体" w:hAnsi="仿宋" w:eastAsia="方正兰亭纤黑简体" w:cs="仿宋"/>
          <w:b/>
          <w:sz w:val="28"/>
          <w:szCs w:val="28"/>
        </w:rPr>
        <w:t>专栏4 环卫设施建设重点项目</w:t>
      </w:r>
    </w:p>
    <w:tbl>
      <w:tblPr>
        <w:tblStyle w:val="24"/>
        <w:tblW w:w="829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4" w:hRule="atLeast"/>
          <w:jc w:val="center"/>
        </w:trPr>
        <w:tc>
          <w:tcPr>
            <w:tcW w:w="8296" w:type="dxa"/>
          </w:tcPr>
          <w:p>
            <w:pPr>
              <w:widowControl/>
              <w:adjustRightInd w:val="0"/>
              <w:snapToGrid w:val="0"/>
              <w:spacing w:line="432" w:lineRule="auto"/>
              <w:ind w:firstLine="482"/>
              <w:jc w:val="left"/>
              <w:rPr>
                <w:rFonts w:ascii="方正兰亭纤黑简体" w:hAnsi="仿宋" w:eastAsia="方正兰亭纤黑简体" w:cs="仿宋"/>
                <w:sz w:val="24"/>
              </w:rPr>
            </w:pPr>
            <w:r>
              <w:rPr>
                <w:rFonts w:hint="eastAsia" w:ascii="方正兰亭纤黑简体" w:hAnsi="仿宋" w:eastAsia="方正兰亭纤黑简体" w:cs="仿宋"/>
                <w:b/>
                <w:bCs/>
                <w:sz w:val="24"/>
              </w:rPr>
              <w:t>新建项目：</w:t>
            </w:r>
            <w:r>
              <w:rPr>
                <w:rFonts w:hint="eastAsia" w:ascii="方正兰亭纤黑简体" w:hAnsi="仿宋" w:eastAsia="方正兰亭纤黑简体" w:cs="仿宋"/>
                <w:sz w:val="24"/>
              </w:rPr>
              <w:t>生活垃圾焚烧发电项目（一期）、厨余垃圾处理项目（一期）；</w:t>
            </w:r>
          </w:p>
          <w:p>
            <w:pPr>
              <w:widowControl/>
              <w:adjustRightInd w:val="0"/>
              <w:snapToGrid w:val="0"/>
              <w:spacing w:line="432" w:lineRule="auto"/>
              <w:ind w:firstLine="482"/>
              <w:jc w:val="left"/>
              <w:rPr>
                <w:rFonts w:ascii="方正兰亭纤黑简体" w:hAnsi="仿宋" w:eastAsia="方正兰亭纤黑简体" w:cs="仿宋"/>
                <w:sz w:val="28"/>
                <w:szCs w:val="28"/>
              </w:rPr>
            </w:pPr>
            <w:r>
              <w:rPr>
                <w:rFonts w:hint="eastAsia" w:ascii="方正兰亭纤黑简体" w:hAnsi="仿宋" w:eastAsia="方正兰亭纤黑简体" w:cs="仿宋"/>
                <w:b/>
                <w:bCs/>
                <w:sz w:val="24"/>
              </w:rPr>
              <w:t>储备项目：</w:t>
            </w:r>
            <w:r>
              <w:rPr>
                <w:rFonts w:hint="eastAsia" w:ascii="方正兰亭纤黑简体" w:hAnsi="仿宋" w:eastAsia="方正兰亭纤黑简体" w:cs="仿宋"/>
                <w:sz w:val="24"/>
              </w:rPr>
              <w:t>龙水垃圾中转站、环卫设施品质提升。</w:t>
            </w:r>
          </w:p>
        </w:tc>
      </w:tr>
    </w:tbl>
    <w:p>
      <w:pPr>
        <w:pStyle w:val="5"/>
        <w:ind w:left="0"/>
        <w:rPr>
          <w:rFonts w:ascii="方正兰亭纤黑简体" w:hAnsi="仿宋" w:eastAsia="方正兰亭纤黑简体" w:cs="仿宋"/>
          <w:b/>
          <w:bCs w:val="0"/>
        </w:rPr>
      </w:pPr>
      <w:bookmarkStart w:id="136" w:name="_Toc27072"/>
      <w:bookmarkStart w:id="137" w:name="_Toc14152"/>
      <w:bookmarkStart w:id="138" w:name="_Toc9809"/>
      <w:bookmarkStart w:id="139" w:name="_Toc23900"/>
      <w:r>
        <w:rPr>
          <w:rFonts w:hint="eastAsia" w:ascii="方正兰亭纤黑简体" w:hAnsi="仿宋" w:eastAsia="方正兰亭纤黑简体" w:cs="仿宋"/>
          <w:b/>
          <w:bCs w:val="0"/>
        </w:rPr>
        <w:t>垃圾分类资源化利用</w:t>
      </w:r>
      <w:bookmarkEnd w:id="136"/>
      <w:bookmarkEnd w:id="137"/>
      <w:bookmarkEnd w:id="138"/>
      <w:bookmarkEnd w:id="139"/>
    </w:p>
    <w:p>
      <w:pPr>
        <w:widowControl/>
        <w:ind w:firstLine="560"/>
        <w:jc w:val="left"/>
        <w:rPr>
          <w:rFonts w:ascii="方正兰亭纤黑简体" w:hAnsi="仿宋" w:eastAsia="方正兰亭纤黑简体" w:cs="仿宋"/>
          <w:sz w:val="28"/>
        </w:rPr>
      </w:pPr>
      <w:r>
        <w:rPr>
          <w:rFonts w:hint="eastAsia" w:ascii="方正兰亭纤黑简体" w:hAnsi="仿宋" w:eastAsia="方正兰亭纤黑简体" w:cs="仿宋"/>
          <w:sz w:val="28"/>
        </w:rPr>
        <w:t>以“切实做好垃圾分类工作推动山清水秀美丽之地建设”为导向，以“减量化、资源化、无害化”为目标，加快推进垃圾源头减量和资源化利用，建立生活、工业垃圾分类投放、分类收集、分类运输、分类处理的垃圾处理系统，形成党建引领、政府推动、全民参与、市场运作、城乡统筹、因地制宜的生活垃圾分类管理体系，不断完善城市管理和服务，助力成渝地区双城经济圈“无废城市”共建。</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完善设施配置。</w:t>
      </w:r>
      <w:r>
        <w:rPr>
          <w:rFonts w:hint="eastAsia" w:ascii="方正兰亭纤黑简体" w:hAnsi="仿宋" w:eastAsia="方正兰亭纤黑简体" w:cs="仿宋"/>
          <w:sz w:val="28"/>
        </w:rPr>
        <w:t>按照《重庆市城市生活垃圾分类收运设施配置及管理导则（试行）》，坚持“合理配置、便于管理”原则，对住宅小区、机关和企事业单位、餐饮场所与专业市场、公共场所进行合理规范设置集中收集点，配置收集设施。新建小区应规划建设垃圾分类收集厢房。结合老旧小区改造项目，在有条件的小区或区域新（改）建垃圾分类收集厢房，其余小区因地制宜选定合适的环卫接驳点。大件垃圾采取在居民小区规范设置临时存放点，定期或预约收运，集中拆分，分类处置。分类收集设施配置按照“谁管理谁负责、谁使用谁负责”的原则，由管理或使用单位负责配置和管理。</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激活资源化利用产业。</w:t>
      </w:r>
      <w:r>
        <w:rPr>
          <w:rFonts w:hint="eastAsia" w:ascii="方正兰亭纤黑简体" w:hAnsi="仿宋" w:eastAsia="方正兰亭纤黑简体" w:cs="仿宋"/>
          <w:sz w:val="28"/>
        </w:rPr>
        <w:t>鼓励采用符合本地实际的技术方法提升资源化利用水平，推动再生资源回收利用行业转型升级。针对居民生活，统筹垃圾分类网点和废旧物品交投网点建设，规划建设集中分拣中心，推进城市生活垃圾中低值可回收物的回收和再利用；针对工业固废，统筹资源化回收利用产业链建设，引进专业化回收企业，推进工业炉渣、一般工业固废等的资源化再利用。</w:t>
      </w:r>
    </w:p>
    <w:p>
      <w:pPr>
        <w:adjustRightInd w:val="0"/>
        <w:snapToGrid w:val="0"/>
        <w:spacing w:line="408" w:lineRule="auto"/>
        <w:ind w:firstLine="0" w:firstLineChars="0"/>
        <w:jc w:val="center"/>
        <w:rPr>
          <w:rFonts w:ascii="方正兰亭纤黑简体" w:hAnsi="仿宋" w:eastAsia="方正兰亭纤黑简体" w:cs="仿宋"/>
          <w:b/>
          <w:sz w:val="28"/>
          <w:szCs w:val="28"/>
        </w:rPr>
      </w:pPr>
      <w:bookmarkStart w:id="140" w:name="_Toc24019"/>
      <w:bookmarkStart w:id="141" w:name="_Toc5008"/>
      <w:bookmarkStart w:id="142" w:name="_Toc12336"/>
      <w:r>
        <w:rPr>
          <w:rFonts w:hint="eastAsia" w:ascii="方正兰亭纤黑简体" w:hAnsi="仿宋" w:eastAsia="方正兰亭纤黑简体" w:cs="仿宋"/>
          <w:b/>
          <w:sz w:val="28"/>
          <w:szCs w:val="28"/>
        </w:rPr>
        <w:t>专栏5 垃圾分类资源化利用设施重点项目</w:t>
      </w:r>
      <w:bookmarkEnd w:id="140"/>
      <w:bookmarkEnd w:id="141"/>
      <w:bookmarkEnd w:id="142"/>
    </w:p>
    <w:tbl>
      <w:tblPr>
        <w:tblStyle w:val="24"/>
        <w:tblW w:w="829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4" w:hRule="atLeast"/>
          <w:jc w:val="center"/>
        </w:trPr>
        <w:tc>
          <w:tcPr>
            <w:tcW w:w="8296" w:type="dxa"/>
          </w:tcPr>
          <w:p>
            <w:pPr>
              <w:widowControl/>
              <w:adjustRightInd w:val="0"/>
              <w:snapToGrid w:val="0"/>
              <w:spacing w:line="432" w:lineRule="auto"/>
              <w:ind w:firstLine="480"/>
              <w:jc w:val="left"/>
              <w:rPr>
                <w:rFonts w:ascii="方正兰亭纤黑简体" w:hAnsi="仿宋" w:eastAsia="方正兰亭纤黑简体" w:cs="仿宋"/>
                <w:sz w:val="24"/>
              </w:rPr>
            </w:pPr>
            <w:r>
              <w:rPr>
                <w:rFonts w:hint="eastAsia" w:ascii="方正兰亭纤黑简体" w:hAnsi="仿宋" w:eastAsia="方正兰亭纤黑简体" w:cs="仿宋"/>
                <w:sz w:val="24"/>
              </w:rPr>
              <w:t>炉渣资源化利用项目；</w:t>
            </w:r>
          </w:p>
          <w:p>
            <w:pPr>
              <w:widowControl/>
              <w:adjustRightInd w:val="0"/>
              <w:snapToGrid w:val="0"/>
              <w:spacing w:line="432" w:lineRule="auto"/>
              <w:ind w:firstLine="480"/>
              <w:jc w:val="left"/>
              <w:rPr>
                <w:rFonts w:ascii="方正兰亭纤黑简体" w:hAnsi="仿宋" w:eastAsia="方正兰亭纤黑简体" w:cs="仿宋"/>
                <w:sz w:val="24"/>
              </w:rPr>
            </w:pPr>
            <w:r>
              <w:rPr>
                <w:rFonts w:hint="eastAsia" w:ascii="方正兰亭纤黑简体" w:hAnsi="仿宋" w:eastAsia="方正兰亭纤黑简体" w:cs="仿宋"/>
                <w:sz w:val="24"/>
              </w:rPr>
              <w:t>大件/绿化垃圾综合处理项目；</w:t>
            </w:r>
          </w:p>
          <w:p>
            <w:pPr>
              <w:widowControl/>
              <w:adjustRightInd w:val="0"/>
              <w:snapToGrid w:val="0"/>
              <w:spacing w:line="432" w:lineRule="auto"/>
              <w:ind w:firstLine="480"/>
              <w:jc w:val="left"/>
              <w:rPr>
                <w:rFonts w:ascii="方正兰亭纤黑简体" w:hAnsi="仿宋" w:eastAsia="方正兰亭纤黑简体" w:cs="仿宋"/>
                <w:sz w:val="28"/>
                <w:szCs w:val="28"/>
              </w:rPr>
            </w:pPr>
            <w:r>
              <w:rPr>
                <w:rFonts w:hint="eastAsia" w:ascii="方正兰亭纤黑简体" w:hAnsi="仿宋" w:eastAsia="方正兰亭纤黑简体" w:cs="仿宋"/>
                <w:sz w:val="24"/>
              </w:rPr>
              <w:t>一般工业固废资源化项目。</w:t>
            </w:r>
          </w:p>
        </w:tc>
      </w:tr>
    </w:tbl>
    <w:p>
      <w:pPr>
        <w:ind w:firstLine="0" w:firstLineChars="0"/>
        <w:rPr>
          <w:rFonts w:ascii="仿宋" w:hAnsi="仿宋" w:eastAsia="仿宋" w:cs="仿宋"/>
        </w:rPr>
      </w:pPr>
      <w:r>
        <w:rPr>
          <w:rFonts w:hint="eastAsia" w:ascii="仿宋" w:hAnsi="仿宋" w:eastAsia="仿宋" w:cs="仿宋"/>
        </w:rPr>
        <w:br w:type="page"/>
      </w:r>
    </w:p>
    <w:p>
      <w:pPr>
        <w:pStyle w:val="4"/>
        <w:adjustRightInd w:val="0"/>
        <w:snapToGrid w:val="0"/>
        <w:spacing w:line="432" w:lineRule="auto"/>
        <w:ind w:left="0"/>
        <w:rPr>
          <w:rFonts w:ascii="方正兰亭粗黑简体" w:hAnsi="仿宋" w:eastAsia="方正兰亭粗黑简体" w:cs="仿宋"/>
          <w:b/>
        </w:rPr>
      </w:pPr>
      <w:bookmarkStart w:id="143" w:name="_Toc23176"/>
      <w:bookmarkStart w:id="144" w:name="_Toc19997"/>
      <w:bookmarkStart w:id="145" w:name="_Toc23768"/>
      <w:bookmarkStart w:id="146" w:name="_Toc957"/>
      <w:bookmarkStart w:id="147" w:name="_Toc29566"/>
      <w:bookmarkStart w:id="148" w:name="_Toc30950"/>
      <w:bookmarkStart w:id="149" w:name="_Toc3385"/>
      <w:bookmarkStart w:id="150" w:name="_Toc7200"/>
      <w:bookmarkStart w:id="151" w:name="_Toc8250"/>
      <w:r>
        <w:rPr>
          <w:rFonts w:hint="eastAsia" w:ascii="方正兰亭粗黑简体" w:hAnsi="仿宋" w:eastAsia="方正兰亭粗黑简体" w:cs="仿宋"/>
          <w:b/>
        </w:rPr>
        <w:t>提升城市运行品质，提高城市生活体验</w:t>
      </w:r>
      <w:bookmarkEnd w:id="143"/>
    </w:p>
    <w:p>
      <w:pPr>
        <w:widowControl/>
        <w:ind w:firstLine="560"/>
        <w:jc w:val="left"/>
        <w:rPr>
          <w:rFonts w:ascii="方正兰亭纤黑简体" w:hAnsi="仿宋" w:eastAsia="方正兰亭纤黑简体" w:cs="仿宋"/>
          <w:sz w:val="28"/>
        </w:rPr>
      </w:pPr>
      <w:r>
        <w:rPr>
          <w:rFonts w:hint="eastAsia" w:ascii="方正兰亭纤黑简体" w:hAnsi="仿宋" w:eastAsia="方正兰亭纤黑简体" w:cs="仿宋"/>
          <w:sz w:val="28"/>
        </w:rPr>
        <w:t>以“干五年、看十年、谋划三十年”的总体思路和“年年有变化、五年上台阶、十年大变样”的目标要求，始终牢记“一定要把大足石刻保护好”的重要要求，构建可实施、有亮点的大足区特色城市品质提升规划。本次品质提升规划以注重文化、功能、产业、人文内涵、管理水平多维度提升为重点，着重提升文旅融合基础设施、完善公共服务设施、建设园林绿化等工作，加快做靓享誉世界的文化会客厅，全面增强市民获得感、幸福感、安全感，努力实现“城市，让生活更美好”，奋力建设富裕文明和谐美丽幸福新大足。</w:t>
      </w:r>
    </w:p>
    <w:p>
      <w:pPr>
        <w:pStyle w:val="5"/>
        <w:ind w:left="0"/>
        <w:rPr>
          <w:rFonts w:ascii="方正兰亭纤黑简体" w:hAnsi="仿宋" w:eastAsia="方正兰亭纤黑简体" w:cs="仿宋"/>
          <w:b/>
          <w:bCs w:val="0"/>
        </w:rPr>
      </w:pPr>
      <w:bookmarkStart w:id="152" w:name="_Toc1143"/>
      <w:r>
        <w:rPr>
          <w:rFonts w:hint="eastAsia" w:ascii="方正兰亭纤黑简体" w:hAnsi="仿宋" w:eastAsia="方正兰亭纤黑简体" w:cs="仿宋"/>
          <w:b/>
          <w:bCs w:val="0"/>
        </w:rPr>
        <w:t>提升文旅融合基础设施</w:t>
      </w:r>
      <w:bookmarkEnd w:id="152"/>
    </w:p>
    <w:p>
      <w:pPr>
        <w:widowControl/>
        <w:ind w:firstLine="560"/>
        <w:jc w:val="left"/>
        <w:rPr>
          <w:rFonts w:ascii="方正兰亭纤黑简体" w:hAnsi="仿宋" w:eastAsia="方正兰亭纤黑简体" w:cs="仿宋"/>
          <w:sz w:val="28"/>
        </w:rPr>
      </w:pPr>
      <w:bookmarkStart w:id="153" w:name="_Toc2694"/>
      <w:r>
        <w:rPr>
          <w:rFonts w:hint="eastAsia" w:ascii="方正兰亭纤黑简体" w:hAnsi="仿宋" w:eastAsia="方正兰亭纤黑简体" w:cs="仿宋"/>
          <w:sz w:val="28"/>
        </w:rPr>
        <w:t>以文化兴区为引领，实施“文化+”“旅游+”战略，持“石刻为魂，厚植底蕴，五山联动，城景融合，山水共生”的思路，在城市提升过程中，将大足石刻与城市有机结合，利用石刻元素来塑造城市特色人文风貌，做靓近悦远来、享誉世界的文化会客厅，通过提升文旅融合基础设施，实现全域建设大足石刻文化公园。</w:t>
      </w:r>
    </w:p>
    <w:p>
      <w:pPr>
        <w:pStyle w:val="2"/>
        <w:ind w:firstLine="562"/>
        <w:rPr>
          <w:rFonts w:ascii="方正兰亭纤黑简体" w:hAnsi="仿宋" w:eastAsia="方正兰亭纤黑简体" w:cs="仿宋"/>
          <w:bCs/>
          <w:sz w:val="28"/>
        </w:rPr>
      </w:pPr>
      <w:r>
        <w:rPr>
          <w:rFonts w:hint="eastAsia" w:ascii="方正兰亭纤黑简体" w:hAnsi="仿宋" w:eastAsia="方正兰亭纤黑简体" w:cs="仿宋"/>
          <w:b/>
          <w:bCs/>
          <w:sz w:val="28"/>
        </w:rPr>
        <w:t>着眼“石刻文化”、 “海棠文化”、“香国文化”，全面提升文旅融合基础设施，塑造文化公园城市特色。</w:t>
      </w:r>
      <w:r>
        <w:rPr>
          <w:rFonts w:hint="eastAsia" w:ascii="方正兰亭纤黑简体" w:hAnsi="仿宋" w:eastAsia="方正兰亭纤黑简体" w:cs="仿宋"/>
          <w:sz w:val="28"/>
        </w:rPr>
        <w:t>坚持“文化+旅游”，以文促旅、以旅彰文，打造石刻文化文旅融合产品，构建大足特有的文化展示与传承体系。</w:t>
      </w:r>
      <w:r>
        <w:rPr>
          <w:rFonts w:hint="eastAsia" w:ascii="方正兰亭纤黑简体" w:hAnsi="仿宋" w:eastAsia="方正兰亭纤黑简体" w:cs="仿宋"/>
          <w:bCs/>
          <w:sz w:val="28"/>
        </w:rPr>
        <w:t>推动“文化+康养”生态康养融合，以健康产业为核心，将健康、养老、休闲、旅游等多元化功能融为一体，打造以文化交流、文化创造、山水旅游、品质食疗、高端民宿等功能为主的城区康养旅游基地；推动“文化+传承”，推进文化研究、文化传承、文化艺术教育基地和文旅融合示范基地建设；</w:t>
      </w:r>
      <w:r>
        <w:rPr>
          <w:rFonts w:hint="eastAsia" w:ascii="方正兰亭纤黑简体" w:hAnsi="仿宋" w:eastAsia="方正兰亭纤黑简体" w:cs="仿宋"/>
          <w:sz w:val="28"/>
        </w:rPr>
        <w:t>配合我区文旅基础设施建设，根据景点文化特色，对各景点周边路网空间进行有针对性的文化塑造，延伸文旅辐射范围</w:t>
      </w:r>
      <w:r>
        <w:rPr>
          <w:rFonts w:hint="eastAsia" w:ascii="方正兰亭纤黑简体" w:hAnsi="仿宋" w:eastAsia="方正兰亭纤黑简体" w:cs="仿宋"/>
          <w:bCs/>
          <w:sz w:val="28"/>
        </w:rPr>
        <w:t>。</w:t>
      </w:r>
    </w:p>
    <w:p>
      <w:pPr>
        <w:adjustRightInd w:val="0"/>
        <w:snapToGrid w:val="0"/>
        <w:spacing w:line="408" w:lineRule="auto"/>
        <w:ind w:firstLine="0" w:firstLineChars="0"/>
        <w:jc w:val="center"/>
        <w:rPr>
          <w:rFonts w:ascii="方正兰亭纤黑简体" w:hAnsi="仿宋" w:eastAsia="方正兰亭纤黑简体" w:cs="仿宋"/>
          <w:b/>
          <w:sz w:val="28"/>
          <w:szCs w:val="28"/>
        </w:rPr>
      </w:pPr>
      <w:r>
        <w:rPr>
          <w:rFonts w:hint="eastAsia" w:ascii="方正兰亭纤黑简体" w:hAnsi="仿宋" w:eastAsia="方正兰亭纤黑简体" w:cs="仿宋"/>
          <w:b/>
          <w:sz w:val="28"/>
          <w:szCs w:val="28"/>
        </w:rPr>
        <w:t>专栏1  文旅融合基础设施提升重点项目</w:t>
      </w:r>
    </w:p>
    <w:tbl>
      <w:tblPr>
        <w:tblStyle w:val="24"/>
        <w:tblW w:w="829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4" w:hRule="atLeast"/>
          <w:jc w:val="center"/>
        </w:trPr>
        <w:tc>
          <w:tcPr>
            <w:tcW w:w="8296" w:type="dxa"/>
          </w:tcPr>
          <w:p>
            <w:pPr>
              <w:widowControl/>
              <w:ind w:firstLine="482"/>
              <w:jc w:val="left"/>
              <w:rPr>
                <w:rFonts w:ascii="方正兰亭纤黑简体" w:hAnsi="仿宋" w:eastAsia="方正兰亭纤黑简体" w:cs="仿宋"/>
                <w:sz w:val="24"/>
              </w:rPr>
            </w:pPr>
            <w:r>
              <w:rPr>
                <w:rFonts w:hint="eastAsia" w:ascii="方正兰亭纤黑简体" w:hAnsi="仿宋" w:eastAsia="方正兰亭纤黑简体" w:cs="仿宋"/>
                <w:b/>
                <w:sz w:val="24"/>
              </w:rPr>
              <w:t>建设项目：</w:t>
            </w:r>
            <w:r>
              <w:rPr>
                <w:rFonts w:hint="eastAsia" w:ascii="方正兰亭纤黑简体" w:hAnsi="仿宋" w:eastAsia="方正兰亭纤黑简体" w:cs="仿宋"/>
                <w:sz w:val="24"/>
              </w:rPr>
              <w:t>城区文化品质提升、“棠香人家”提档升级项目、南北宋街打造、宝顶学堂、龙水湖度假区提档升级项目。</w:t>
            </w:r>
          </w:p>
          <w:p>
            <w:pPr>
              <w:widowControl/>
              <w:ind w:firstLine="482"/>
              <w:jc w:val="left"/>
              <w:rPr>
                <w:rFonts w:ascii="方正兰亭纤黑简体" w:hAnsi="仿宋" w:eastAsia="方正兰亭纤黑简体" w:cs="仿宋"/>
                <w:sz w:val="24"/>
              </w:rPr>
            </w:pPr>
            <w:r>
              <w:rPr>
                <w:rFonts w:hint="eastAsia" w:ascii="方正兰亭纤黑简体" w:hAnsi="仿宋" w:eastAsia="方正兰亭纤黑简体" w:cs="仿宋"/>
                <w:b/>
                <w:sz w:val="24"/>
              </w:rPr>
              <w:t>储备项目：</w:t>
            </w:r>
            <w:r>
              <w:rPr>
                <w:rFonts w:hint="eastAsia" w:ascii="方正兰亭纤黑简体" w:hAnsi="仿宋" w:eastAsia="方正兰亭纤黑简体" w:cs="仿宋"/>
                <w:sz w:val="24"/>
              </w:rPr>
              <w:t>香国公园片区文旅提升、大足区</w:t>
            </w:r>
            <w:r>
              <w:rPr>
                <w:rFonts w:ascii="方正兰亭纤黑简体" w:hAnsi="仿宋" w:eastAsia="方正兰亭纤黑简体" w:cs="仿宋"/>
                <w:sz w:val="24"/>
              </w:rPr>
              <w:t>大南山片区提升项目</w:t>
            </w:r>
            <w:r>
              <w:rPr>
                <w:rFonts w:hint="eastAsia" w:ascii="方正兰亭纤黑简体" w:hAnsi="仿宋" w:eastAsia="方正兰亭纤黑简体" w:cs="仿宋"/>
                <w:sz w:val="24"/>
              </w:rPr>
              <w:t>、大足石刻保护传承科技创新基地、川渝石窟</w:t>
            </w:r>
            <w:r>
              <w:rPr>
                <w:rFonts w:ascii="方正兰亭纤黑简体" w:hAnsi="仿宋" w:eastAsia="方正兰亭纤黑简体" w:cs="仿宋"/>
                <w:sz w:val="24"/>
              </w:rPr>
              <w:t>博物馆、</w:t>
            </w:r>
            <w:r>
              <w:rPr>
                <w:rFonts w:hint="eastAsia" w:ascii="方正兰亭纤黑简体" w:hAnsi="仿宋" w:eastAsia="方正兰亭纤黑简体" w:cs="仿宋"/>
                <w:sz w:val="24"/>
              </w:rPr>
              <w:t>中国南方石窟寺研究中心、重庆雕塑美术馆、大足石刻文物修复医院、重庆市博物馆（新馆）、东方美学创作中心、中国石刻文化创意中心、数字文创展示交易中心、工匠传承研究学院、四川美术学院（大足分院）、文化智造园、帝师楼文旅打造、五金共享工坊街区、龙水现代</w:t>
            </w:r>
            <w:r>
              <w:rPr>
                <w:rFonts w:ascii="方正兰亭纤黑简体" w:hAnsi="仿宋" w:eastAsia="方正兰亭纤黑简体" w:cs="仿宋"/>
                <w:sz w:val="24"/>
              </w:rPr>
              <w:t>五金特色小镇</w:t>
            </w:r>
            <w:r>
              <w:rPr>
                <w:rFonts w:hint="eastAsia" w:ascii="方正兰亭纤黑简体" w:hAnsi="仿宋" w:eastAsia="方正兰亭纤黑简体" w:cs="仿宋"/>
                <w:sz w:val="24"/>
              </w:rPr>
              <w:t>、文旅设施周边路网空间提质、龙水湖度假区游客中心、石雕公园、“十里荷棠”城景融合项目（化龙溪主题小镇）、大足文化公园等。</w:t>
            </w:r>
          </w:p>
        </w:tc>
      </w:tr>
    </w:tbl>
    <w:p>
      <w:pPr>
        <w:pStyle w:val="2"/>
        <w:ind w:firstLine="640"/>
        <w:rPr>
          <w:rFonts w:ascii="方正兰亭纤黑简体" w:eastAsia="方正兰亭纤黑简体"/>
        </w:rPr>
      </w:pPr>
    </w:p>
    <w:p>
      <w:pPr>
        <w:pStyle w:val="5"/>
        <w:ind w:left="0"/>
        <w:rPr>
          <w:rFonts w:ascii="方正兰亭纤黑简体" w:hAnsi="仿宋" w:eastAsia="方正兰亭纤黑简体" w:cs="仿宋"/>
          <w:b/>
          <w:bCs w:val="0"/>
        </w:rPr>
      </w:pPr>
      <w:r>
        <w:rPr>
          <w:rFonts w:hint="eastAsia" w:ascii="方正兰亭纤黑简体" w:hAnsi="仿宋" w:eastAsia="方正兰亭纤黑简体" w:cs="仿宋"/>
          <w:b/>
          <w:bCs w:val="0"/>
        </w:rPr>
        <w:t>有序推进城市有机更新</w:t>
      </w:r>
      <w:bookmarkEnd w:id="153"/>
    </w:p>
    <w:p>
      <w:pPr>
        <w:widowControl/>
        <w:ind w:firstLine="560"/>
        <w:jc w:val="left"/>
        <w:rPr>
          <w:rFonts w:ascii="方正兰亭纤黑简体" w:hAnsi="仿宋" w:eastAsia="方正兰亭纤黑简体" w:cs="仿宋"/>
          <w:sz w:val="28"/>
        </w:rPr>
      </w:pPr>
      <w:r>
        <w:rPr>
          <w:rFonts w:hint="eastAsia" w:ascii="方正兰亭纤黑简体" w:hAnsi="仿宋" w:eastAsia="方正兰亭纤黑简体" w:cs="仿宋"/>
          <w:sz w:val="28"/>
        </w:rPr>
        <w:t>基于我区三调数据与控规整合图进行分析梳理，兼顾“安全、功能、整洁、美化、文化”五大功能，遵循以人为本、因地制宜、精准施策的更新改造原则，切实提升城市更新改造质量，全面提升老旧城区运行活力。</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推进老旧小区综合改造。</w:t>
      </w:r>
      <w:r>
        <w:rPr>
          <w:rFonts w:hint="eastAsia" w:ascii="方正兰亭纤黑简体" w:hAnsi="仿宋" w:eastAsia="方正兰亭纤黑简体" w:cs="仿宋"/>
          <w:sz w:val="28"/>
        </w:rPr>
        <w:t>以问题为导向，针对现状老旧小区室外环境恶劣、基础配套设施老旧、公共服务设施薄弱等方面，采用补充绿化、更新线网、新增便民设施等多项措施，提升百姓生活品质。重点改造对象为棠香街道、龙岗街道、龙水镇等镇街，2000年底以前建成、失养失修失管、市政配套设施不完善、社会服务设施不健全或少部分2000-2005年间建成但居民改造意愿强烈的老旧小区。</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推进公共空间品质更新提升。</w:t>
      </w:r>
      <w:r>
        <w:rPr>
          <w:rFonts w:hint="eastAsia" w:ascii="方正兰亭纤黑简体" w:hAnsi="仿宋" w:eastAsia="方正兰亭纤黑简体" w:cs="仿宋"/>
          <w:sz w:val="28"/>
        </w:rPr>
        <w:t>开展母城更新改造工程建设，打造符合我区城市建设格局与人文体系的公共空间改造样板，传承母城历史空间格局。大力推动将闲置低效用地改造为居住区公园，或将部分商业用地建设项目与屋顶花园设计结合，临街商业置换为文化展示、画廊、小剧院等文化展示类功能。推动南北山人文走廊更新，提升商业活力，激活夜间经济。</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推进棚户区与闲置用地改造。</w:t>
      </w:r>
      <w:r>
        <w:rPr>
          <w:rFonts w:hint="eastAsia" w:ascii="方正兰亭纤黑简体" w:hAnsi="仿宋" w:eastAsia="方正兰亭纤黑简体" w:cs="仿宋"/>
          <w:sz w:val="28"/>
        </w:rPr>
        <w:t>棚户区（城中村）与闲置用地改造通过近期、远期改造相结合的方法：近期利用闲置空间布局临时性广场、停车场、临时社区农场等；远期对地块建筑，各类设施进行拆除重建，布局服务区域发展需求的公共服务设施、居住用地与商办用地等。2021-2025期间我区拟计划改造水峰片区、三合-金星片区、东关市场、烈士陵园片区棚户区等。</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推进公共服务设施完善。</w:t>
      </w:r>
      <w:r>
        <w:rPr>
          <w:rFonts w:hint="eastAsia" w:ascii="方正兰亭纤黑简体" w:hAnsi="仿宋" w:eastAsia="方正兰亭纤黑简体" w:cs="仿宋"/>
          <w:sz w:val="28"/>
        </w:rPr>
        <w:t>坚持以人民为中心的发展思想，聚焦城区级及镇街道级公共服务设施，全面解决好同老百姓生活息息相关的医疗、教育等设施问题，实现医疗、教育、文化等公共服务的供给平衡与品质提升。2021-2025期间聚焦未来人口变化进行功能完善与空间拓展，重点按照居民基础需求完善空间、功能等内容，结合既有建筑及老旧小区补齐公共服务设施短板。</w:t>
      </w:r>
    </w:p>
    <w:p>
      <w:pPr>
        <w:adjustRightInd w:val="0"/>
        <w:snapToGrid w:val="0"/>
        <w:spacing w:line="408" w:lineRule="auto"/>
        <w:ind w:firstLine="0" w:firstLineChars="0"/>
        <w:jc w:val="center"/>
        <w:rPr>
          <w:rFonts w:ascii="方正兰亭纤黑简体" w:hAnsi="仿宋" w:eastAsia="方正兰亭纤黑简体" w:cs="仿宋"/>
          <w:b/>
          <w:sz w:val="28"/>
          <w:szCs w:val="28"/>
        </w:rPr>
      </w:pPr>
      <w:r>
        <w:rPr>
          <w:rFonts w:hint="eastAsia" w:ascii="方正兰亭纤黑简体" w:hAnsi="仿宋" w:eastAsia="方正兰亭纤黑简体" w:cs="仿宋"/>
          <w:b/>
          <w:sz w:val="28"/>
          <w:szCs w:val="28"/>
        </w:rPr>
        <w:t>专栏2  城市有机更新重点项目</w:t>
      </w:r>
    </w:p>
    <w:tbl>
      <w:tblPr>
        <w:tblStyle w:val="24"/>
        <w:tblW w:w="829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4" w:hRule="atLeast"/>
          <w:jc w:val="center"/>
        </w:trPr>
        <w:tc>
          <w:tcPr>
            <w:tcW w:w="8296" w:type="dxa"/>
          </w:tcPr>
          <w:p>
            <w:pPr>
              <w:adjustRightInd w:val="0"/>
              <w:snapToGrid w:val="0"/>
              <w:spacing w:line="480" w:lineRule="auto"/>
              <w:ind w:firstLine="366" w:firstLineChars="152"/>
              <w:rPr>
                <w:rFonts w:ascii="方正兰亭纤黑简体" w:hAnsi="仿宋" w:eastAsia="方正兰亭纤黑简体" w:cs="仿宋"/>
                <w:sz w:val="24"/>
              </w:rPr>
            </w:pPr>
            <w:r>
              <w:rPr>
                <w:rFonts w:hint="eastAsia" w:ascii="方正兰亭纤黑简体" w:hAnsi="仿宋" w:eastAsia="方正兰亭纤黑简体" w:cs="仿宋"/>
                <w:b/>
                <w:bCs/>
                <w:sz w:val="24"/>
              </w:rPr>
              <w:t>改造老旧街区：</w:t>
            </w:r>
            <w:r>
              <w:rPr>
                <w:rFonts w:hint="eastAsia" w:ascii="方正兰亭纤黑简体" w:hAnsi="仿宋" w:eastAsia="方正兰亭纤黑简体" w:cs="仿宋"/>
                <w:sz w:val="24"/>
              </w:rPr>
              <w:t>2022年城镇老旧小区改造提升；大足区龙岗街道2023年老旧小区改造工程、大足区棠香街道2023年度老旧小区改造、大足区龙水镇2023年度老旧小区改造项目、大足区龙岗街道西街社区老旧小区主体改造项目（滨河路段）；2023年全区公租房、廉租房、公房维修；2024年大足区城镇老旧小区改造等。</w:t>
            </w:r>
          </w:p>
          <w:p>
            <w:pPr>
              <w:adjustRightInd w:val="0"/>
              <w:snapToGrid w:val="0"/>
              <w:spacing w:line="480" w:lineRule="auto"/>
              <w:ind w:firstLine="366" w:firstLineChars="152"/>
              <w:rPr>
                <w:rFonts w:ascii="方正兰亭纤黑简体" w:hAnsi="仿宋" w:eastAsia="方正兰亭纤黑简体" w:cs="仿宋"/>
                <w:sz w:val="24"/>
              </w:rPr>
            </w:pPr>
            <w:r>
              <w:rPr>
                <w:rFonts w:hint="eastAsia" w:ascii="方正兰亭纤黑简体" w:hAnsi="仿宋" w:eastAsia="方正兰亭纤黑简体" w:cs="仿宋"/>
                <w:b/>
                <w:bCs/>
                <w:sz w:val="24"/>
              </w:rPr>
              <w:t>提升公共空间：</w:t>
            </w:r>
            <w:r>
              <w:rPr>
                <w:rFonts w:hint="eastAsia" w:ascii="方正兰亭纤黑简体" w:hAnsi="仿宋" w:eastAsia="方正兰亭纤黑简体" w:cs="仿宋"/>
                <w:sz w:val="24"/>
              </w:rPr>
              <w:t>母城更新改造工程（宏声广场、龙中路、双塔路和北山路等）、大足区母城城市更新项目（西门社区）、南北山人文走廊更新项目、</w:t>
            </w:r>
            <w:r>
              <w:rPr>
                <w:rFonts w:hint="eastAsia" w:ascii="方正兰亭纤黑简体" w:hAnsi="仿宋" w:eastAsia="方正兰亭纤黑简体" w:cs="仿宋"/>
                <w:color w:val="FF0000"/>
                <w:sz w:val="24"/>
              </w:rPr>
              <w:t>三驱镇文创街区小镇焕新</w:t>
            </w:r>
            <w:r>
              <w:rPr>
                <w:rFonts w:hint="eastAsia" w:ascii="方正兰亭纤黑简体" w:hAnsi="仿宋" w:eastAsia="方正兰亭纤黑简体" w:cs="仿宋"/>
                <w:sz w:val="24"/>
              </w:rPr>
              <w:t>等。</w:t>
            </w:r>
          </w:p>
          <w:p>
            <w:pPr>
              <w:pStyle w:val="2"/>
              <w:snapToGrid w:val="0"/>
              <w:spacing w:line="480" w:lineRule="auto"/>
              <w:ind w:firstLine="482"/>
            </w:pPr>
            <w:r>
              <w:rPr>
                <w:rFonts w:hint="eastAsia" w:ascii="方正兰亭纤黑简体" w:hAnsi="仿宋" w:eastAsia="方正兰亭纤黑简体" w:cs="仿宋"/>
                <w:b/>
                <w:bCs/>
                <w:sz w:val="24"/>
              </w:rPr>
              <w:t>改造棚户区：</w:t>
            </w:r>
            <w:r>
              <w:rPr>
                <w:rFonts w:hint="eastAsia" w:ascii="方正兰亭纤黑简体" w:hAnsi="仿宋" w:eastAsia="方正兰亭纤黑简体" w:cs="仿宋"/>
                <w:sz w:val="24"/>
              </w:rPr>
              <w:t>水峰片区城中村改造及配套基础设施项目、三合、金星片区城中村改造及配套基础设施项目、东关市场棚户区改造、覃家院子棚户区改造、</w:t>
            </w:r>
            <w:r>
              <w:rPr>
                <w:rFonts w:hint="eastAsia" w:ascii="方正兰亭纤黑简体" w:hAnsi="仿宋" w:eastAsia="方正兰亭纤黑简体" w:cs="仿宋"/>
                <w:color w:val="FF0000"/>
                <w:sz w:val="24"/>
              </w:rPr>
              <w:t>三驱老粮站片区众创空间改造</w:t>
            </w:r>
            <w:r>
              <w:rPr>
                <w:rFonts w:hint="eastAsia" w:ascii="方正兰亭纤黑简体" w:hAnsi="仿宋" w:eastAsia="方正兰亭纤黑简体" w:cs="仿宋"/>
                <w:sz w:val="24"/>
              </w:rPr>
              <w:t>；</w:t>
            </w:r>
          </w:p>
          <w:p>
            <w:pPr>
              <w:adjustRightInd w:val="0"/>
              <w:snapToGrid w:val="0"/>
              <w:spacing w:line="480" w:lineRule="auto"/>
              <w:ind w:firstLine="366" w:firstLineChars="152"/>
              <w:rPr>
                <w:rFonts w:ascii="方正兰亭纤黑简体" w:hAnsi="仿宋" w:eastAsia="方正兰亭纤黑简体" w:cs="仿宋"/>
                <w:sz w:val="24"/>
              </w:rPr>
            </w:pPr>
            <w:r>
              <w:rPr>
                <w:rFonts w:hint="eastAsia" w:ascii="方正兰亭纤黑简体" w:hAnsi="仿宋" w:eastAsia="方正兰亭纤黑简体" w:cs="仿宋"/>
                <w:b/>
                <w:bCs/>
                <w:sz w:val="24"/>
              </w:rPr>
              <w:t>完善公共服务设施：</w:t>
            </w:r>
            <w:r>
              <w:rPr>
                <w:rFonts w:hint="eastAsia" w:ascii="方正兰亭纤黑简体" w:hAnsi="仿宋" w:eastAsia="方正兰亭纤黑简体" w:cs="仿宋"/>
                <w:sz w:val="24"/>
              </w:rPr>
              <w:t>完善教育</w:t>
            </w:r>
            <w:r>
              <w:rPr>
                <w:rFonts w:ascii="方正兰亭纤黑简体" w:hAnsi="仿宋" w:eastAsia="方正兰亭纤黑简体" w:cs="仿宋"/>
                <w:sz w:val="24"/>
              </w:rPr>
              <w:t>相关公共服务设施，包括</w:t>
            </w:r>
            <w:r>
              <w:rPr>
                <w:rFonts w:hint="eastAsia" w:ascii="方正兰亭纤黑简体" w:hAnsi="仿宋" w:eastAsia="方正兰亭纤黑简体" w:cs="仿宋"/>
                <w:sz w:val="24"/>
              </w:rPr>
              <w:t>龙岗中学扩建工程、龙水二小扩建工程、海棠新城职业教育城④号项目、中小学</w:t>
            </w:r>
            <w:r>
              <w:rPr>
                <w:rFonts w:ascii="方正兰亭纤黑简体" w:hAnsi="仿宋" w:eastAsia="方正兰亭纤黑简体" w:cs="仿宋"/>
                <w:sz w:val="24"/>
              </w:rPr>
              <w:t>幼儿园校舍维修工程</w:t>
            </w:r>
            <w:r>
              <w:rPr>
                <w:rFonts w:hint="eastAsia" w:ascii="方正兰亭纤黑简体" w:hAnsi="仿宋" w:eastAsia="方正兰亭纤黑简体" w:cs="仿宋"/>
                <w:sz w:val="24"/>
              </w:rPr>
              <w:t>等；</w:t>
            </w:r>
            <w:r>
              <w:rPr>
                <w:rFonts w:ascii="方正兰亭纤黑简体" w:hAnsi="仿宋" w:eastAsia="方正兰亭纤黑简体" w:cs="仿宋"/>
                <w:sz w:val="24"/>
              </w:rPr>
              <w:t>完善</w:t>
            </w:r>
            <w:r>
              <w:rPr>
                <w:rFonts w:hint="eastAsia" w:ascii="方正兰亭纤黑简体" w:hAnsi="仿宋" w:eastAsia="方正兰亭纤黑简体" w:cs="仿宋"/>
                <w:sz w:val="24"/>
              </w:rPr>
              <w:t>医疗</w:t>
            </w:r>
            <w:r>
              <w:rPr>
                <w:rFonts w:ascii="方正兰亭纤黑简体" w:hAnsi="仿宋" w:eastAsia="方正兰亭纤黑简体" w:cs="仿宋"/>
                <w:sz w:val="24"/>
              </w:rPr>
              <w:t>相关公共服务设施，</w:t>
            </w:r>
            <w:r>
              <w:rPr>
                <w:rFonts w:hint="eastAsia" w:ascii="方正兰亭纤黑简体" w:hAnsi="仿宋" w:eastAsia="方正兰亭纤黑简体" w:cs="仿宋"/>
                <w:sz w:val="24"/>
              </w:rPr>
              <w:t>包括大足区人民医院业务综合楼、第二人民医院迁建项目一期、中医院中医特色重点医院建设工程、大足区急诊急救医疗中心等。</w:t>
            </w:r>
          </w:p>
          <w:p>
            <w:pPr>
              <w:pStyle w:val="2"/>
              <w:spacing w:line="480" w:lineRule="auto"/>
              <w:ind w:firstLine="482"/>
            </w:pPr>
            <w:r>
              <w:rPr>
                <w:rFonts w:hint="eastAsia" w:ascii="方正兰亭纤黑简体" w:hAnsi="仿宋" w:eastAsia="方正兰亭纤黑简体" w:cs="仿宋"/>
                <w:b/>
                <w:bCs/>
                <w:sz w:val="24"/>
              </w:rPr>
              <w:t>储备项目</w:t>
            </w:r>
            <w:r>
              <w:t>：</w:t>
            </w:r>
            <w:r>
              <w:rPr>
                <w:rFonts w:hint="eastAsia" w:ascii="方正兰亭纤黑简体" w:hAnsi="仿宋" w:eastAsia="方正兰亭纤黑简体" w:cs="仿宋"/>
                <w:sz w:val="24"/>
              </w:rPr>
              <w:t>龙水路五金加工作坊更新项目</w:t>
            </w:r>
            <w:r>
              <w:rPr>
                <w:rFonts w:hint="eastAsia"/>
              </w:rPr>
              <w:t>、</w:t>
            </w:r>
            <w:r>
              <w:rPr>
                <w:rFonts w:hint="eastAsia" w:ascii="方正兰亭纤黑简体" w:hAnsi="仿宋" w:eastAsia="方正兰亭纤黑简体" w:cs="仿宋"/>
                <w:sz w:val="24"/>
              </w:rPr>
              <w:t>北山更新项目、东门烟火街巷、金都广场生活更新项目、东岳庙两岸老城更新项目、公租房区域更新项目、老旧楼房沿街面立面改造及文化植入；烈士陵园片区棚户区改造、龙岗片区城中村改造及配套基础设施项目、田坝-茅里堡片区城中村改造及配套基础设施项目、龙岗城市更新项目（西禅-翠屏片区）等；五星</w:t>
            </w:r>
            <w:r>
              <w:rPr>
                <w:rFonts w:ascii="方正兰亭纤黑简体" w:hAnsi="仿宋" w:eastAsia="方正兰亭纤黑简体" w:cs="仿宋"/>
                <w:sz w:val="24"/>
              </w:rPr>
              <w:t>小学建设工程</w:t>
            </w:r>
            <w:r>
              <w:rPr>
                <w:rFonts w:hint="eastAsia" w:ascii="方正兰亭纤黑简体" w:hAnsi="仿宋" w:eastAsia="方正兰亭纤黑简体" w:cs="仿宋"/>
                <w:sz w:val="24"/>
              </w:rPr>
              <w:t>、大足石刻</w:t>
            </w:r>
            <w:r>
              <w:rPr>
                <w:rFonts w:ascii="方正兰亭纤黑简体" w:hAnsi="仿宋" w:eastAsia="方正兰亭纤黑简体" w:cs="仿宋"/>
                <w:sz w:val="24"/>
              </w:rPr>
              <w:t>学院建设工程、</w:t>
            </w:r>
            <w:r>
              <w:rPr>
                <w:rFonts w:hint="eastAsia" w:ascii="方正兰亭纤黑简体" w:hAnsi="仿宋" w:eastAsia="方正兰亭纤黑简体" w:cs="仿宋"/>
                <w:sz w:val="24"/>
              </w:rPr>
              <w:t>棠香小学建设工程、大足区</w:t>
            </w:r>
            <w:r>
              <w:rPr>
                <w:rFonts w:ascii="方正兰亭纤黑简体" w:hAnsi="仿宋" w:eastAsia="方正兰亭纤黑简体" w:cs="仿宋"/>
                <w:sz w:val="24"/>
              </w:rPr>
              <w:t>公共卫生医疗救治中心、重庆市大足优</w:t>
            </w:r>
            <w:r>
              <w:rPr>
                <w:rFonts w:hint="eastAsia" w:ascii="方正兰亭纤黑简体" w:hAnsi="仿宋" w:eastAsia="方正兰亭纤黑简体" w:cs="仿宋"/>
                <w:sz w:val="24"/>
              </w:rPr>
              <w:t>大足区早期教育中心建设工程、妇幼保健院附属设施改造项目等。</w:t>
            </w:r>
          </w:p>
        </w:tc>
      </w:tr>
    </w:tbl>
    <w:p>
      <w:pPr>
        <w:pStyle w:val="26"/>
        <w:ind w:firstLine="640"/>
        <w:rPr>
          <w:rFonts w:ascii="方正兰亭纤黑简体" w:hAnsi="仿宋" w:eastAsia="方正兰亭纤黑简体" w:cs="仿宋"/>
        </w:rPr>
      </w:pPr>
    </w:p>
    <w:p>
      <w:pPr>
        <w:pStyle w:val="5"/>
        <w:ind w:left="0"/>
        <w:rPr>
          <w:rFonts w:ascii="方正兰亭纤黑简体" w:hAnsi="仿宋" w:eastAsia="方正兰亭纤黑简体" w:cs="仿宋"/>
          <w:b/>
          <w:bCs w:val="0"/>
        </w:rPr>
      </w:pPr>
      <w:bookmarkStart w:id="154" w:name="_Toc17076"/>
      <w:r>
        <w:rPr>
          <w:rFonts w:hint="eastAsia" w:ascii="方正兰亭纤黑简体" w:hAnsi="仿宋" w:eastAsia="方正兰亭纤黑简体" w:cs="仿宋"/>
          <w:b/>
          <w:bCs w:val="0"/>
        </w:rPr>
        <w:t>推动园林绿化特色</w:t>
      </w:r>
      <w:r>
        <w:rPr>
          <w:rFonts w:ascii="方正兰亭纤黑简体" w:hAnsi="仿宋" w:eastAsia="方正兰亭纤黑简体" w:cs="仿宋"/>
          <w:b/>
          <w:bCs w:val="0"/>
        </w:rPr>
        <w:t>风貌</w:t>
      </w:r>
      <w:r>
        <w:rPr>
          <w:rFonts w:hint="eastAsia" w:ascii="方正兰亭纤黑简体" w:hAnsi="仿宋" w:eastAsia="方正兰亭纤黑简体" w:cs="仿宋"/>
          <w:b/>
          <w:bCs w:val="0"/>
        </w:rPr>
        <w:t>建设</w:t>
      </w:r>
      <w:bookmarkEnd w:id="154"/>
    </w:p>
    <w:p>
      <w:pPr>
        <w:widowControl/>
        <w:ind w:firstLine="560"/>
        <w:jc w:val="left"/>
        <w:rPr>
          <w:rFonts w:ascii="方正兰亭纤黑简体" w:hAnsi="仿宋" w:eastAsia="方正兰亭纤黑简体" w:cs="仿宋"/>
          <w:sz w:val="28"/>
        </w:rPr>
      </w:pPr>
      <w:r>
        <w:rPr>
          <w:rFonts w:hint="eastAsia" w:ascii="方正兰亭纤黑简体" w:hAnsi="仿宋" w:eastAsia="方正兰亭纤黑简体" w:cs="仿宋"/>
          <w:sz w:val="28"/>
        </w:rPr>
        <w:t>建立风景名胜公园、郊野公园、城市文化公园、社区公园四</w:t>
      </w:r>
      <w:r>
        <w:rPr>
          <w:rFonts w:ascii="方正兰亭纤黑简体" w:hAnsi="仿宋" w:eastAsia="方正兰亭纤黑简体" w:cs="仿宋"/>
          <w:sz w:val="28"/>
        </w:rPr>
        <w:t>级</w:t>
      </w:r>
      <w:r>
        <w:rPr>
          <w:rFonts w:hint="eastAsia" w:ascii="方正兰亭纤黑简体" w:hAnsi="仿宋" w:eastAsia="方正兰亭纤黑简体" w:cs="仿宋"/>
          <w:sz w:val="28"/>
        </w:rPr>
        <w:t>公园体系，提升公园绿地游憩服务供给水平，实现“300米见绿，500米见园”的目标，满足100%的公园服务半径覆盖率。</w:t>
      </w:r>
    </w:p>
    <w:p>
      <w:pPr>
        <w:pStyle w:val="2"/>
        <w:ind w:firstLine="562"/>
        <w:rPr>
          <w:rFonts w:ascii="方正兰亭纤黑简体" w:hAnsi="仿宋" w:eastAsia="方正兰亭纤黑简体" w:cs="仿宋"/>
          <w:sz w:val="28"/>
        </w:rPr>
      </w:pPr>
      <w:r>
        <w:rPr>
          <w:rFonts w:hint="eastAsia" w:ascii="方正兰亭纤黑简体" w:hAnsi="仿宋" w:eastAsia="方正兰亭纤黑简体" w:cs="仿宋"/>
          <w:b/>
          <w:bCs/>
          <w:sz w:val="28"/>
        </w:rPr>
        <w:t>建立大足中心城区文化公园体系。</w:t>
      </w:r>
      <w:r>
        <w:rPr>
          <w:rFonts w:hint="eastAsia" w:ascii="方正兰亭纤黑简体" w:hAnsi="仿宋" w:eastAsia="方正兰亭纤黑简体" w:cs="仿宋"/>
          <w:sz w:val="28"/>
        </w:rPr>
        <w:t>加强文化植入，把大足本地特色文化融入公园游园和市政设施，让城在景中、景在城里，打造“十里景观十里城”的花园城市，做到“开门见山、推窗见绿、闻香识路、移步换景、四季有花”，形成大足石刻文化体验的重要空间载体。新建高铁文化公园、鉴湖文化公园、</w:t>
      </w:r>
      <w:r>
        <w:rPr>
          <w:rFonts w:ascii="方正兰亭纤黑简体" w:hAnsi="仿宋" w:eastAsia="方正兰亭纤黑简体" w:cs="仿宋"/>
          <w:sz w:val="28"/>
        </w:rPr>
        <w:t>智凤文化体育公园</w:t>
      </w:r>
      <w:r>
        <w:rPr>
          <w:rFonts w:hint="eastAsia" w:ascii="方正兰亭纤黑简体" w:hAnsi="仿宋" w:eastAsia="方正兰亭纤黑简体" w:cs="仿宋"/>
          <w:sz w:val="28"/>
        </w:rPr>
        <w:t>等，增扩西禅公园、香国公园等。结合居住、办公、产业空间和生活圈进行布局多个社区公园，主要包括小型集中绿地、小型带状公园、小型专类公园，满足市民日常休闲需求，增加城市居住舒适度，单个社区公园面积一般不超过5公顷，服务半径为500－1000米。2021-2025期间新增城区绿地125万平方米，城市建成区绿化覆盖率提高到48%。</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加强城市微公园</w:t>
      </w:r>
      <w:r>
        <w:rPr>
          <w:rFonts w:ascii="方正兰亭纤黑简体" w:hAnsi="仿宋" w:eastAsia="方正兰亭纤黑简体" w:cs="仿宋"/>
          <w:b/>
          <w:bCs/>
          <w:sz w:val="28"/>
        </w:rPr>
        <w:t>微景观</w:t>
      </w:r>
      <w:r>
        <w:rPr>
          <w:rFonts w:hint="eastAsia" w:ascii="方正兰亭纤黑简体" w:hAnsi="仿宋" w:eastAsia="方正兰亭纤黑简体" w:cs="仿宋"/>
          <w:b/>
          <w:bCs/>
          <w:sz w:val="28"/>
        </w:rPr>
        <w:t>微</w:t>
      </w:r>
      <w:r>
        <w:rPr>
          <w:rFonts w:ascii="方正兰亭纤黑简体" w:hAnsi="仿宋" w:eastAsia="方正兰亭纤黑简体" w:cs="仿宋"/>
          <w:b/>
          <w:bCs/>
          <w:sz w:val="28"/>
        </w:rPr>
        <w:t>绿地</w:t>
      </w:r>
      <w:r>
        <w:rPr>
          <w:rFonts w:hint="eastAsia" w:ascii="方正兰亭纤黑简体" w:hAnsi="仿宋" w:eastAsia="方正兰亭纤黑简体" w:cs="仿宋"/>
          <w:b/>
          <w:bCs/>
          <w:sz w:val="28"/>
        </w:rPr>
        <w:t>建设。</w:t>
      </w:r>
      <w:r>
        <w:rPr>
          <w:rFonts w:hint="eastAsia" w:ascii="方正兰亭纤黑简体" w:hAnsi="仿宋" w:eastAsia="方正兰亭纤黑简体" w:cs="仿宋"/>
          <w:sz w:val="28"/>
        </w:rPr>
        <w:t>进一步挖掘边角地、闲置地、垃圾地、待征地等进行微公园、微景观、</w:t>
      </w:r>
      <w:r>
        <w:rPr>
          <w:rFonts w:ascii="方正兰亭纤黑简体" w:hAnsi="仿宋" w:eastAsia="方正兰亭纤黑简体" w:cs="仿宋"/>
          <w:sz w:val="28"/>
        </w:rPr>
        <w:t>口袋公园的</w:t>
      </w:r>
      <w:r>
        <w:rPr>
          <w:rFonts w:hint="eastAsia" w:ascii="方正兰亭纤黑简体" w:hAnsi="仿宋" w:eastAsia="方正兰亭纤黑简体" w:cs="仿宋"/>
          <w:sz w:val="28"/>
        </w:rPr>
        <w:t xml:space="preserve">建设，开展桥、隧、坡、坎、崖等立体绿化，对城区主次干道、广场、游园、转盘等重要节点绿化景观和夜景灯饰进行升级改造，增加城市居住舒适度。 </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加强老旧公园升级改造。</w:t>
      </w:r>
      <w:r>
        <w:rPr>
          <w:rFonts w:hint="eastAsia" w:ascii="方正兰亭纤黑简体" w:hAnsi="仿宋" w:eastAsia="方正兰亭纤黑简体" w:cs="仿宋"/>
          <w:sz w:val="28"/>
        </w:rPr>
        <w:t>2021-2025期间拟对包括人民公园、圣迹公园、南北山公园等进行景观及设施提档升级，对荒、秃坡坎崖进行植物补植、文化植入等绿化、美化工作，围绕各公园文化主题进行景观升级改造以及植物文化创新等，实现我区公园绿地提档升级。</w:t>
      </w:r>
    </w:p>
    <w:p>
      <w:pPr>
        <w:adjustRightInd w:val="0"/>
        <w:snapToGrid w:val="0"/>
        <w:spacing w:line="408" w:lineRule="auto"/>
        <w:ind w:firstLine="0" w:firstLineChars="0"/>
        <w:jc w:val="center"/>
        <w:rPr>
          <w:rFonts w:ascii="方正兰亭纤黑简体" w:hAnsi="仿宋" w:eastAsia="方正兰亭纤黑简体" w:cs="仿宋"/>
          <w:b/>
          <w:sz w:val="28"/>
          <w:szCs w:val="28"/>
        </w:rPr>
      </w:pPr>
      <w:r>
        <w:rPr>
          <w:rFonts w:hint="eastAsia" w:ascii="方正兰亭纤黑简体" w:hAnsi="仿宋" w:eastAsia="方正兰亭纤黑简体" w:cs="仿宋"/>
          <w:b/>
          <w:sz w:val="28"/>
          <w:szCs w:val="28"/>
        </w:rPr>
        <w:t>专栏3  园林绿化建设重点项目</w:t>
      </w:r>
    </w:p>
    <w:tbl>
      <w:tblPr>
        <w:tblStyle w:val="24"/>
        <w:tblW w:w="829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trHeight w:val="274" w:hRule="atLeast"/>
          <w:jc w:val="center"/>
        </w:trPr>
        <w:tc>
          <w:tcPr>
            <w:tcW w:w="8296" w:type="dxa"/>
            <w:tcBorders>
              <w:bottom w:val="single" w:color="auto" w:sz="4" w:space="0"/>
            </w:tcBorders>
          </w:tcPr>
          <w:p>
            <w:pPr>
              <w:adjustRightInd w:val="0"/>
              <w:snapToGrid w:val="0"/>
              <w:spacing w:line="432" w:lineRule="auto"/>
              <w:ind w:firstLine="366" w:firstLineChars="152"/>
              <w:rPr>
                <w:rFonts w:ascii="方正兰亭纤黑简体" w:hAnsi="仿宋" w:eastAsia="方正兰亭纤黑简体" w:cs="仿宋"/>
                <w:sz w:val="24"/>
              </w:rPr>
            </w:pPr>
            <w:r>
              <w:rPr>
                <w:rFonts w:hint="eastAsia" w:ascii="方正兰亭纤黑简体" w:hAnsi="仿宋" w:eastAsia="方正兰亭纤黑简体" w:cs="仿宋"/>
                <w:b/>
                <w:bCs/>
                <w:sz w:val="24"/>
              </w:rPr>
              <w:t>建设项目：</w:t>
            </w:r>
            <w:r>
              <w:rPr>
                <w:rFonts w:hint="eastAsia" w:ascii="方正兰亭纤黑简体" w:hAnsi="仿宋" w:eastAsia="方正兰亭纤黑简体" w:cs="仿宋"/>
                <w:bCs/>
                <w:sz w:val="24"/>
              </w:rPr>
              <w:t>城区闲置地口袋公园建设、法治文化主题公园、</w:t>
            </w:r>
            <w:r>
              <w:rPr>
                <w:rFonts w:hint="eastAsia" w:ascii="方正兰亭纤黑简体" w:hAnsi="仿宋" w:eastAsia="方正兰亭纤黑简体" w:cs="仿宋"/>
                <w:sz w:val="24"/>
              </w:rPr>
              <w:t>城区园林绿化工程、大足区高速路下道口生态品质提升、天宫河片区开发环境建设项目、城市公园维修维护、</w:t>
            </w:r>
            <w:r>
              <w:rPr>
                <w:rFonts w:ascii="方正兰亭纤黑简体" w:hAnsi="仿宋" w:eastAsia="方正兰亭纤黑简体" w:cs="仿宋"/>
                <w:sz w:val="24"/>
              </w:rPr>
              <w:t>大足南山公园改造项目</w:t>
            </w:r>
            <w:r>
              <w:rPr>
                <w:rFonts w:hint="eastAsia" w:ascii="方正兰亭纤黑简体" w:hAnsi="仿宋" w:eastAsia="方正兰亭纤黑简体" w:cs="仿宋"/>
                <w:sz w:val="24"/>
              </w:rPr>
              <w:t>、</w:t>
            </w:r>
            <w:r>
              <w:rPr>
                <w:rFonts w:hint="eastAsia" w:ascii="方正兰亭纤黑简体" w:hAnsi="仿宋" w:eastAsia="方正兰亭纤黑简体" w:cs="仿宋"/>
                <w:color w:val="FF0000"/>
                <w:sz w:val="24"/>
              </w:rPr>
              <w:t>文创园大内高速三驱下道口生态品质提升工程</w:t>
            </w:r>
            <w:r>
              <w:rPr>
                <w:rFonts w:hint="eastAsia" w:ascii="方正兰亭纤黑简体" w:hAnsi="仿宋" w:eastAsia="方正兰亭纤黑简体" w:cs="仿宋"/>
                <w:sz w:val="24"/>
              </w:rPr>
              <w:t>等；</w:t>
            </w:r>
          </w:p>
          <w:p>
            <w:pPr>
              <w:adjustRightInd w:val="0"/>
              <w:snapToGrid w:val="0"/>
              <w:spacing w:line="432" w:lineRule="auto"/>
              <w:ind w:firstLine="366" w:firstLineChars="152"/>
              <w:rPr>
                <w:rFonts w:ascii="方正兰亭纤黑简体" w:hAnsi="仿宋" w:eastAsia="方正兰亭纤黑简体" w:cs="仿宋"/>
              </w:rPr>
            </w:pPr>
            <w:r>
              <w:rPr>
                <w:rFonts w:hint="eastAsia" w:ascii="方正兰亭纤黑简体" w:hAnsi="仿宋" w:eastAsia="方正兰亭纤黑简体" w:cs="仿宋"/>
                <w:b/>
                <w:bCs/>
                <w:sz w:val="24"/>
              </w:rPr>
              <w:t>储备项目：</w:t>
            </w:r>
            <w:r>
              <w:rPr>
                <w:rFonts w:hint="eastAsia" w:ascii="方正兰亭纤黑简体" w:hAnsi="仿宋" w:eastAsia="方正兰亭纤黑简体" w:cs="仿宋"/>
                <w:sz w:val="24"/>
              </w:rPr>
              <w:t>智凤街道健身步道-文化体育公园、高铁文化公园、鉴湖文化公园、湖湾社区公园带、香国公园增扩建工程、城南中央大道公园、三角山公园、龙棠路两侧街旁绿地、G12—01绿化工程、G13—02绿化工程、附属绿地提升、防护绿地建设、屋顶-垂直绿化、香国公园4A级景区提升工程、大足石刻雕塑公园等。</w:t>
            </w:r>
          </w:p>
        </w:tc>
      </w:tr>
    </w:tbl>
    <w:p>
      <w:pPr>
        <w:pStyle w:val="5"/>
        <w:ind w:left="0"/>
        <w:rPr>
          <w:rFonts w:ascii="方正兰亭纤黑简体" w:hAnsi="仿宋" w:eastAsia="方正兰亭纤黑简体" w:cs="仿宋"/>
          <w:b/>
          <w:bCs w:val="0"/>
        </w:rPr>
      </w:pPr>
      <w:bookmarkStart w:id="155" w:name="_Toc31051"/>
      <w:r>
        <w:rPr>
          <w:rFonts w:hint="eastAsia" w:ascii="方正兰亭纤黑简体" w:hAnsi="仿宋" w:eastAsia="方正兰亭纤黑简体" w:cs="仿宋"/>
          <w:b/>
          <w:bCs w:val="0"/>
        </w:rPr>
        <w:t>提升人行道系统品质</w:t>
      </w:r>
      <w:bookmarkEnd w:id="155"/>
    </w:p>
    <w:p>
      <w:pPr>
        <w:widowControl/>
        <w:ind w:firstLine="560"/>
        <w:jc w:val="left"/>
        <w:rPr>
          <w:rFonts w:ascii="方正兰亭纤黑简体" w:hAnsi="仿宋" w:eastAsia="方正兰亭纤黑简体" w:cs="仿宋"/>
          <w:sz w:val="28"/>
        </w:rPr>
      </w:pPr>
      <w:r>
        <w:rPr>
          <w:rFonts w:hint="eastAsia" w:ascii="方正兰亭纤黑简体" w:hAnsi="仿宋" w:eastAsia="方正兰亭纤黑简体" w:cs="仿宋"/>
          <w:sz w:val="28"/>
        </w:rPr>
        <w:t>结合我区人行道建设实际情况和居民需求，全面深化慢行设施隐患整治与品质提升，着力推进老旧社区、公园绿地等人员聚集区域慢行系统改造，有效保障居民出行安全，提升居民出行体验。</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人行道通道补缺，消除安全隐患。</w:t>
      </w:r>
      <w:r>
        <w:rPr>
          <w:rFonts w:hint="eastAsia" w:ascii="方正兰亭纤黑简体" w:hAnsi="仿宋" w:eastAsia="方正兰亭纤黑简体" w:cs="仿宋"/>
          <w:sz w:val="28"/>
        </w:rPr>
        <w:t>2021-2025期间我区将不断完善道路人、车分离建设，消除混行安全隐患。重点实施龙水镇龙湖路（龙水二小-西湖大道）人行道工程，保障周边学生出行安全。</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人行道系统提质，提升出行体验。</w:t>
      </w:r>
      <w:r>
        <w:rPr>
          <w:rFonts w:hint="eastAsia" w:ascii="方正兰亭纤黑简体" w:hAnsi="仿宋" w:eastAsia="方正兰亭纤黑简体" w:cs="仿宋"/>
          <w:sz w:val="28"/>
        </w:rPr>
        <w:t>2021-2025期间我区将针对龙岗片区存在的人行道路面破损、设施缺失、景观品质差等问题，实施都市游步道改造提升、市政设施日常零星维修维护工程，研究储备濑溪河滨河步道提质改造，使现状人行道系统更加舒适化、便捷化、人文化。</w:t>
      </w:r>
    </w:p>
    <w:p>
      <w:pPr>
        <w:adjustRightInd w:val="0"/>
        <w:snapToGrid w:val="0"/>
        <w:spacing w:line="408" w:lineRule="auto"/>
        <w:ind w:firstLine="0" w:firstLineChars="0"/>
        <w:jc w:val="center"/>
        <w:rPr>
          <w:rFonts w:ascii="方正兰亭纤黑简体" w:hAnsi="仿宋" w:eastAsia="方正兰亭纤黑简体" w:cs="仿宋"/>
          <w:b/>
          <w:sz w:val="28"/>
          <w:szCs w:val="28"/>
        </w:rPr>
      </w:pPr>
      <w:r>
        <w:rPr>
          <w:rFonts w:hint="eastAsia" w:ascii="方正兰亭纤黑简体" w:hAnsi="仿宋" w:eastAsia="方正兰亭纤黑简体" w:cs="仿宋"/>
          <w:b/>
          <w:sz w:val="28"/>
          <w:szCs w:val="28"/>
        </w:rPr>
        <w:t>专栏</w:t>
      </w:r>
      <w:r>
        <w:rPr>
          <w:rFonts w:ascii="方正兰亭纤黑简体" w:hAnsi="仿宋" w:eastAsia="方正兰亭纤黑简体" w:cs="仿宋"/>
          <w:b/>
          <w:sz w:val="28"/>
          <w:szCs w:val="28"/>
        </w:rPr>
        <w:t>4</w:t>
      </w:r>
      <w:r>
        <w:rPr>
          <w:rFonts w:hint="eastAsia" w:ascii="方正兰亭纤黑简体" w:hAnsi="仿宋" w:eastAsia="方正兰亭纤黑简体" w:cs="仿宋"/>
          <w:b/>
          <w:sz w:val="28"/>
          <w:szCs w:val="28"/>
        </w:rPr>
        <w:t xml:space="preserve">  人行道系统品质提升重点项目</w:t>
      </w:r>
    </w:p>
    <w:tbl>
      <w:tblPr>
        <w:tblStyle w:val="24"/>
        <w:tblW w:w="829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trHeight w:val="274" w:hRule="atLeast"/>
          <w:jc w:val="center"/>
        </w:trPr>
        <w:tc>
          <w:tcPr>
            <w:tcW w:w="8296" w:type="dxa"/>
          </w:tcPr>
          <w:p>
            <w:pPr>
              <w:pStyle w:val="26"/>
              <w:ind w:firstLine="482"/>
              <w:rPr>
                <w:rFonts w:ascii="方正兰亭纤黑简体" w:hAnsi="仿宋" w:eastAsia="方正兰亭纤黑简体" w:cs="仿宋"/>
                <w:sz w:val="24"/>
              </w:rPr>
            </w:pPr>
            <w:r>
              <w:rPr>
                <w:rFonts w:hint="eastAsia" w:ascii="方正兰亭纤黑简体" w:hAnsi="仿宋" w:eastAsia="方正兰亭纤黑简体" w:cs="仿宋"/>
                <w:b/>
                <w:bCs/>
                <w:sz w:val="24"/>
              </w:rPr>
              <w:t>建设项目：</w:t>
            </w:r>
            <w:r>
              <w:rPr>
                <w:rFonts w:hint="eastAsia" w:ascii="方正兰亭纤黑简体" w:hAnsi="仿宋" w:eastAsia="方正兰亭纤黑简体" w:cs="仿宋"/>
                <w:sz w:val="24"/>
              </w:rPr>
              <w:t>都市游步道改造提升、龙水镇龙湖路（龙水二小-西湖大道）人行道工程、龙棠大道大足工业园区段缺陷治理工程、市政设施日常零星维修维护工程；</w:t>
            </w:r>
          </w:p>
          <w:p>
            <w:pPr>
              <w:pStyle w:val="26"/>
              <w:ind w:firstLine="482"/>
              <w:rPr>
                <w:rFonts w:ascii="方正兰亭纤黑简体" w:hAnsi="仿宋" w:eastAsia="方正兰亭纤黑简体" w:cs="仿宋"/>
              </w:rPr>
            </w:pPr>
            <w:r>
              <w:rPr>
                <w:rFonts w:hint="eastAsia" w:ascii="方正兰亭纤黑简体" w:hAnsi="仿宋" w:eastAsia="方正兰亭纤黑简体" w:cs="仿宋"/>
                <w:b/>
                <w:bCs/>
                <w:sz w:val="24"/>
              </w:rPr>
              <w:t>储备项目：</w:t>
            </w:r>
            <w:r>
              <w:rPr>
                <w:rFonts w:hint="eastAsia" w:ascii="方正兰亭纤黑简体" w:hAnsi="仿宋" w:eastAsia="方正兰亭纤黑简体" w:cs="仿宋"/>
                <w:sz w:val="24"/>
              </w:rPr>
              <w:t>濑溪河滨河步道提质改造、大足老城区老旧市政设施改造工程。</w:t>
            </w:r>
          </w:p>
        </w:tc>
      </w:tr>
    </w:tbl>
    <w:p>
      <w:pPr>
        <w:pStyle w:val="26"/>
        <w:ind w:firstLine="640"/>
        <w:rPr>
          <w:rFonts w:ascii="方正兰亭纤黑简体" w:hAnsi="仿宋" w:eastAsia="方正兰亭纤黑简体" w:cs="仿宋"/>
        </w:rPr>
      </w:pPr>
    </w:p>
    <w:p>
      <w:pPr>
        <w:pStyle w:val="5"/>
        <w:ind w:left="0"/>
        <w:rPr>
          <w:rFonts w:ascii="方正兰亭纤黑简体" w:hAnsi="仿宋" w:eastAsia="方正兰亭纤黑简体" w:cs="仿宋"/>
          <w:b/>
          <w:bCs w:val="0"/>
        </w:rPr>
      </w:pPr>
      <w:bookmarkStart w:id="156" w:name="_Toc15760"/>
      <w:r>
        <w:rPr>
          <w:rFonts w:hint="eastAsia" w:ascii="方正兰亭纤黑简体" w:hAnsi="仿宋" w:eastAsia="方正兰亭纤黑简体" w:cs="仿宋"/>
          <w:b/>
          <w:bCs w:val="0"/>
        </w:rPr>
        <w:t>完善无障碍设施建设</w:t>
      </w:r>
      <w:bookmarkEnd w:id="156"/>
    </w:p>
    <w:p>
      <w:pPr>
        <w:widowControl/>
        <w:ind w:firstLine="560"/>
        <w:jc w:val="left"/>
        <w:rPr>
          <w:rFonts w:ascii="方正兰亭纤黑简体" w:hAnsi="仿宋" w:eastAsia="方正兰亭纤黑简体" w:cs="仿宋"/>
          <w:sz w:val="28"/>
        </w:rPr>
      </w:pPr>
      <w:r>
        <w:rPr>
          <w:rFonts w:hint="eastAsia" w:ascii="方正兰亭纤黑简体" w:hAnsi="仿宋" w:eastAsia="方正兰亭纤黑简体" w:cs="仿宋"/>
          <w:sz w:val="28"/>
        </w:rPr>
        <w:t>深入贯彻以人民为中心的发展理念，以满足市民特别是社会弱势群体对美好生活的需求、提升城市温度、改善人居环境为导向，全面建设中国特色社会主义现代化无障碍城市。</w:t>
      </w:r>
    </w:p>
    <w:p>
      <w:pPr>
        <w:widowControl/>
        <w:ind w:firstLine="560"/>
        <w:jc w:val="left"/>
        <w:rPr>
          <w:rFonts w:ascii="方正兰亭纤黑简体" w:hAnsi="仿宋" w:eastAsia="方正兰亭纤黑简体" w:cs="仿宋"/>
          <w:sz w:val="28"/>
        </w:rPr>
      </w:pPr>
      <w:r>
        <w:rPr>
          <w:rFonts w:hint="eastAsia" w:ascii="方正兰亭纤黑简体" w:hAnsi="仿宋" w:eastAsia="方正兰亭纤黑简体" w:cs="仿宋"/>
          <w:sz w:val="28"/>
        </w:rPr>
        <w:t>2021-2025期间，我区将不断提升优化无障碍人文环境，无障碍设施的系统性、完整性和包容性水平明显提升，加快形成设施齐备、功能完善、信息通畅、体验舒适的无障碍环境，方便残疾人、老年人生产生活，增强人民群众获得感、幸福感、安全感。重点实施大足区人民医院门前人行天桥加装垂梯，便捷看病群众出入；对于新建及储备人行过街天桥项目，均在设计时就要求将垂梯纳入设计，保证垂梯与天桥同时建设、同时使用，保证残障群体出行安全与舒适。</w:t>
      </w:r>
    </w:p>
    <w:p>
      <w:pPr>
        <w:adjustRightInd w:val="0"/>
        <w:snapToGrid w:val="0"/>
        <w:spacing w:line="408" w:lineRule="auto"/>
        <w:ind w:firstLine="0" w:firstLineChars="0"/>
        <w:jc w:val="center"/>
        <w:rPr>
          <w:rFonts w:ascii="方正兰亭纤黑简体" w:hAnsi="仿宋" w:eastAsia="方正兰亭纤黑简体" w:cs="仿宋"/>
          <w:b/>
          <w:sz w:val="28"/>
          <w:szCs w:val="28"/>
        </w:rPr>
      </w:pPr>
      <w:r>
        <w:rPr>
          <w:rFonts w:hint="eastAsia" w:ascii="方正兰亭纤黑简体" w:hAnsi="仿宋" w:eastAsia="方正兰亭纤黑简体" w:cs="仿宋"/>
          <w:b/>
          <w:sz w:val="28"/>
          <w:szCs w:val="28"/>
        </w:rPr>
        <w:t>专栏5  无障碍设施建设重点项目</w:t>
      </w:r>
    </w:p>
    <w:tbl>
      <w:tblPr>
        <w:tblStyle w:val="24"/>
        <w:tblW w:w="829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4" w:hRule="atLeast"/>
          <w:jc w:val="center"/>
        </w:trPr>
        <w:tc>
          <w:tcPr>
            <w:tcW w:w="8296" w:type="dxa"/>
          </w:tcPr>
          <w:p>
            <w:pPr>
              <w:adjustRightInd w:val="0"/>
              <w:snapToGrid w:val="0"/>
              <w:spacing w:line="432" w:lineRule="auto"/>
              <w:ind w:firstLine="366" w:firstLineChars="152"/>
              <w:rPr>
                <w:rFonts w:ascii="方正兰亭纤黑简体" w:hAnsi="仿宋" w:eastAsia="方正兰亭纤黑简体" w:cs="仿宋"/>
                <w:sz w:val="24"/>
              </w:rPr>
            </w:pPr>
            <w:r>
              <w:rPr>
                <w:rFonts w:hint="eastAsia" w:ascii="方正兰亭纤黑简体" w:hAnsi="仿宋" w:eastAsia="方正兰亭纤黑简体" w:cs="仿宋"/>
                <w:b/>
                <w:bCs/>
                <w:sz w:val="24"/>
              </w:rPr>
              <w:t>建设项目：</w:t>
            </w:r>
            <w:r>
              <w:rPr>
                <w:rFonts w:hint="eastAsia" w:ascii="方正兰亭纤黑简体" w:hAnsi="仿宋" w:eastAsia="方正兰亭纤黑简体" w:cs="仿宋"/>
                <w:sz w:val="24"/>
              </w:rPr>
              <w:t>人民医院过街天桥改造、人行天街无障碍设施建设（一期）、配套基础设施建设（含道路、市政设施、老旧小区）</w:t>
            </w:r>
          </w:p>
          <w:p>
            <w:pPr>
              <w:adjustRightInd w:val="0"/>
              <w:snapToGrid w:val="0"/>
              <w:spacing w:line="432" w:lineRule="auto"/>
              <w:ind w:firstLine="366" w:firstLineChars="152"/>
              <w:rPr>
                <w:rFonts w:ascii="方正兰亭纤黑简体" w:hAnsi="仿宋" w:eastAsia="方正兰亭纤黑简体" w:cs="仿宋"/>
              </w:rPr>
            </w:pPr>
            <w:r>
              <w:rPr>
                <w:rFonts w:hint="eastAsia" w:ascii="方正兰亭纤黑简体" w:hAnsi="仿宋" w:eastAsia="方正兰亭纤黑简体" w:cs="仿宋"/>
                <w:b/>
                <w:bCs/>
                <w:sz w:val="24"/>
              </w:rPr>
              <w:t>储备项目：</w:t>
            </w:r>
            <w:r>
              <w:rPr>
                <w:rFonts w:hint="eastAsia" w:ascii="方正兰亭纤黑简体" w:hAnsi="仿宋" w:eastAsia="方正兰亭纤黑简体" w:cs="仿宋"/>
                <w:sz w:val="24"/>
              </w:rPr>
              <w:t>研究储备人行天街无障碍设施建设（二期）、老旧住宅加装电梯</w:t>
            </w:r>
          </w:p>
        </w:tc>
      </w:tr>
    </w:tbl>
    <w:p>
      <w:pPr>
        <w:ind w:firstLine="643"/>
        <w:jc w:val="center"/>
        <w:rPr>
          <w:rFonts w:ascii="方正兰亭纤黑简体" w:hAnsi="仿宋" w:eastAsia="方正兰亭纤黑简体" w:cs="仿宋"/>
          <w:b/>
          <w:szCs w:val="32"/>
        </w:rPr>
      </w:pPr>
    </w:p>
    <w:p>
      <w:pPr>
        <w:pStyle w:val="2"/>
        <w:ind w:firstLine="640"/>
      </w:pPr>
    </w:p>
    <w:p>
      <w:pPr>
        <w:pStyle w:val="2"/>
        <w:ind w:firstLine="640"/>
      </w:pPr>
    </w:p>
    <w:p>
      <w:pPr>
        <w:pStyle w:val="5"/>
        <w:ind w:left="0"/>
        <w:rPr>
          <w:rFonts w:ascii="方正兰亭纤黑简体" w:hAnsi="仿宋" w:eastAsia="方正兰亭纤黑简体" w:cs="仿宋"/>
          <w:b/>
          <w:bCs w:val="0"/>
        </w:rPr>
      </w:pPr>
      <w:r>
        <w:rPr>
          <w:rFonts w:hint="eastAsia" w:ascii="方正兰亭纤黑简体" w:hAnsi="仿宋" w:eastAsia="方正兰亭纤黑简体" w:cs="仿宋"/>
          <w:b/>
          <w:bCs w:val="0"/>
        </w:rPr>
        <w:t>构建</w:t>
      </w:r>
      <w:r>
        <w:rPr>
          <w:rFonts w:ascii="方正兰亭纤黑简体" w:hAnsi="仿宋" w:eastAsia="方正兰亭纤黑简体" w:cs="仿宋"/>
          <w:b/>
          <w:bCs w:val="0"/>
        </w:rPr>
        <w:t>养老</w:t>
      </w:r>
      <w:r>
        <w:rPr>
          <w:rFonts w:hint="eastAsia" w:ascii="方正兰亭纤黑简体" w:hAnsi="仿宋" w:eastAsia="方正兰亭纤黑简体" w:cs="仿宋"/>
          <w:b/>
          <w:bCs w:val="0"/>
        </w:rPr>
        <w:t>托育服务</w:t>
      </w:r>
      <w:r>
        <w:rPr>
          <w:rFonts w:ascii="方正兰亭纤黑简体" w:hAnsi="仿宋" w:eastAsia="方正兰亭纤黑简体" w:cs="仿宋"/>
          <w:b/>
          <w:bCs w:val="0"/>
        </w:rPr>
        <w:t>体系</w:t>
      </w:r>
    </w:p>
    <w:p>
      <w:pPr>
        <w:pStyle w:val="40"/>
        <w:rPr>
          <w:rFonts w:ascii="方正兰亭纤黑简体" w:hAnsi="仿宋" w:eastAsia="方正兰亭纤黑简体" w:cs="仿宋"/>
          <w:kern w:val="2"/>
          <w:szCs w:val="24"/>
        </w:rPr>
      </w:pPr>
      <w:r>
        <w:rPr>
          <w:rFonts w:hint="eastAsia" w:ascii="方正兰亭纤黑简体" w:hAnsi="仿宋" w:eastAsia="方正兰亭纤黑简体" w:cs="仿宋"/>
          <w:kern w:val="2"/>
          <w:szCs w:val="24"/>
        </w:rPr>
        <w:t>落实</w:t>
      </w:r>
      <w:r>
        <w:rPr>
          <w:rFonts w:ascii="方正兰亭纤黑简体" w:hAnsi="仿宋" w:eastAsia="方正兰亭纤黑简体" w:cs="仿宋"/>
          <w:kern w:val="2"/>
          <w:szCs w:val="24"/>
        </w:rPr>
        <w:t>积极应对人口老龄化国家战略，</w:t>
      </w:r>
      <w:r>
        <w:rPr>
          <w:rFonts w:hint="eastAsia" w:ascii="方正兰亭纤黑简体" w:hAnsi="仿宋" w:eastAsia="方正兰亭纤黑简体" w:cs="仿宋"/>
          <w:kern w:val="2"/>
          <w:szCs w:val="24"/>
        </w:rPr>
        <w:t>把积极老龄观、</w:t>
      </w:r>
      <w:r>
        <w:rPr>
          <w:rFonts w:ascii="方正兰亭纤黑简体" w:hAnsi="仿宋" w:eastAsia="方正兰亭纤黑简体" w:cs="仿宋"/>
          <w:kern w:val="2"/>
          <w:szCs w:val="24"/>
        </w:rPr>
        <w:t>健康老龄化理念融入经济社会发展全过程。</w:t>
      </w:r>
      <w:r>
        <w:rPr>
          <w:rFonts w:hint="eastAsia" w:ascii="方正兰亭纤黑简体" w:hAnsi="仿宋" w:eastAsia="方正兰亭纤黑简体" w:cs="仿宋"/>
          <w:kern w:val="2"/>
          <w:szCs w:val="24"/>
        </w:rPr>
        <w:t>老龄工作</w:t>
      </w:r>
      <w:r>
        <w:rPr>
          <w:rFonts w:ascii="方正兰亭纤黑简体" w:hAnsi="仿宋" w:eastAsia="方正兰亭纤黑简体" w:cs="仿宋"/>
          <w:kern w:val="2"/>
          <w:szCs w:val="24"/>
        </w:rPr>
        <w:t>体系、社会保障体系、养老服务体系，失能老人照护体系、健康支撑体系、老年教育和</w:t>
      </w:r>
      <w:r>
        <w:rPr>
          <w:rFonts w:hint="eastAsia" w:ascii="方正兰亭纤黑简体" w:hAnsi="仿宋" w:eastAsia="方正兰亭纤黑简体" w:cs="仿宋"/>
          <w:kern w:val="2"/>
          <w:szCs w:val="24"/>
        </w:rPr>
        <w:t>社会</w:t>
      </w:r>
      <w:r>
        <w:rPr>
          <w:rFonts w:ascii="方正兰亭纤黑简体" w:hAnsi="仿宋" w:eastAsia="方正兰亭纤黑简体" w:cs="仿宋"/>
          <w:kern w:val="2"/>
          <w:szCs w:val="24"/>
        </w:rPr>
        <w:t>参与活动</w:t>
      </w:r>
      <w:r>
        <w:rPr>
          <w:rFonts w:hint="eastAsia" w:ascii="方正兰亭纤黑简体" w:hAnsi="仿宋" w:eastAsia="方正兰亭纤黑简体" w:cs="仿宋"/>
          <w:kern w:val="2"/>
          <w:szCs w:val="24"/>
        </w:rPr>
        <w:t>体系</w:t>
      </w:r>
      <w:r>
        <w:rPr>
          <w:rFonts w:ascii="方正兰亭纤黑简体" w:hAnsi="仿宋" w:eastAsia="方正兰亭纤黑简体" w:cs="仿宋"/>
          <w:kern w:val="2"/>
          <w:szCs w:val="24"/>
        </w:rPr>
        <w:t>不断健全，养老服务</w:t>
      </w:r>
      <w:r>
        <w:rPr>
          <w:rFonts w:hint="eastAsia" w:ascii="方正兰亭纤黑简体" w:hAnsi="仿宋" w:eastAsia="方正兰亭纤黑简体" w:cs="仿宋"/>
          <w:kern w:val="2"/>
          <w:szCs w:val="24"/>
        </w:rPr>
        <w:t>供给</w:t>
      </w:r>
      <w:r>
        <w:rPr>
          <w:rFonts w:ascii="方正兰亭纤黑简体" w:hAnsi="仿宋" w:eastAsia="方正兰亭纤黑简体" w:cs="仿宋"/>
          <w:kern w:val="2"/>
          <w:szCs w:val="24"/>
        </w:rPr>
        <w:t>有效扩大</w:t>
      </w:r>
      <w:r>
        <w:rPr>
          <w:rFonts w:hint="eastAsia" w:ascii="方正兰亭纤黑简体" w:hAnsi="仿宋" w:eastAsia="方正兰亭纤黑简体" w:cs="仿宋"/>
          <w:kern w:val="2"/>
          <w:szCs w:val="24"/>
        </w:rPr>
        <w:t>。到2025年</w:t>
      </w:r>
      <w:r>
        <w:rPr>
          <w:rFonts w:ascii="方正兰亭纤黑简体" w:hAnsi="仿宋" w:eastAsia="方正兰亭纤黑简体" w:cs="仿宋"/>
          <w:kern w:val="2"/>
          <w:szCs w:val="24"/>
        </w:rPr>
        <w:t>，居家社区机构相协调、</w:t>
      </w:r>
      <w:r>
        <w:rPr>
          <w:rFonts w:hint="eastAsia" w:ascii="方正兰亭纤黑简体" w:hAnsi="仿宋" w:eastAsia="方正兰亭纤黑简体" w:cs="仿宋"/>
          <w:kern w:val="2"/>
          <w:szCs w:val="24"/>
        </w:rPr>
        <w:t>医养康养相结合，基本建成</w:t>
      </w:r>
      <w:r>
        <w:rPr>
          <w:rFonts w:ascii="方正兰亭纤黑简体" w:hAnsi="仿宋" w:eastAsia="方正兰亭纤黑简体" w:cs="仿宋"/>
          <w:kern w:val="2"/>
          <w:szCs w:val="24"/>
        </w:rPr>
        <w:t>覆盖城乡</w:t>
      </w:r>
      <w:r>
        <w:rPr>
          <w:rFonts w:hint="eastAsia" w:ascii="方正兰亭纤黑简体" w:hAnsi="仿宋" w:eastAsia="方正兰亭纤黑简体" w:cs="仿宋"/>
          <w:kern w:val="2"/>
          <w:szCs w:val="24"/>
        </w:rPr>
        <w:t>、</w:t>
      </w:r>
      <w:r>
        <w:rPr>
          <w:rFonts w:ascii="方正兰亭纤黑简体" w:hAnsi="仿宋" w:eastAsia="方正兰亭纤黑简体" w:cs="仿宋"/>
          <w:kern w:val="2"/>
          <w:szCs w:val="24"/>
        </w:rPr>
        <w:t>分布均衡</w:t>
      </w:r>
      <w:r>
        <w:rPr>
          <w:rFonts w:hint="eastAsia" w:ascii="方正兰亭纤黑简体" w:hAnsi="仿宋" w:eastAsia="方正兰亭纤黑简体" w:cs="仿宋"/>
          <w:kern w:val="2"/>
          <w:szCs w:val="24"/>
        </w:rPr>
        <w:t>、</w:t>
      </w:r>
      <w:r>
        <w:rPr>
          <w:rFonts w:ascii="方正兰亭纤黑简体" w:hAnsi="仿宋" w:eastAsia="方正兰亭纤黑简体" w:cs="仿宋"/>
          <w:kern w:val="2"/>
          <w:szCs w:val="24"/>
        </w:rPr>
        <w:t>功能完善</w:t>
      </w:r>
      <w:r>
        <w:rPr>
          <w:rFonts w:hint="eastAsia" w:ascii="方正兰亭纤黑简体" w:hAnsi="仿宋" w:eastAsia="方正兰亭纤黑简体" w:cs="仿宋"/>
          <w:kern w:val="2"/>
          <w:szCs w:val="24"/>
        </w:rPr>
        <w:t>、结构</w:t>
      </w:r>
      <w:r>
        <w:rPr>
          <w:rFonts w:ascii="方正兰亭纤黑简体" w:hAnsi="仿宋" w:eastAsia="方正兰亭纤黑简体" w:cs="仿宋"/>
          <w:kern w:val="2"/>
          <w:szCs w:val="24"/>
        </w:rPr>
        <w:t>合理的养老服务体系，要素支撑</w:t>
      </w:r>
      <w:r>
        <w:rPr>
          <w:rFonts w:hint="eastAsia" w:ascii="方正兰亭纤黑简体" w:hAnsi="仿宋" w:eastAsia="方正兰亭纤黑简体" w:cs="仿宋"/>
          <w:kern w:val="2"/>
          <w:szCs w:val="24"/>
        </w:rPr>
        <w:t>坚实有力</w:t>
      </w:r>
      <w:r>
        <w:rPr>
          <w:rFonts w:ascii="方正兰亭纤黑简体" w:hAnsi="仿宋" w:eastAsia="方正兰亭纤黑简体" w:cs="仿宋"/>
          <w:kern w:val="2"/>
          <w:szCs w:val="24"/>
        </w:rPr>
        <w:t>，养老服务质量显著提升，养老产品更加丰富多元，老年人关爱服务体系不断完善，老年人获得感、幸福感、安全感显著提升。</w:t>
      </w:r>
      <w:r>
        <w:rPr>
          <w:rFonts w:hint="eastAsia" w:ascii="方正兰亭纤黑简体" w:hAnsi="仿宋" w:eastAsia="方正兰亭纤黑简体" w:cs="仿宋"/>
          <w:kern w:val="2"/>
          <w:szCs w:val="24"/>
        </w:rPr>
        <w:t>托育</w:t>
      </w:r>
      <w:r>
        <w:rPr>
          <w:rFonts w:ascii="方正兰亭纤黑简体" w:hAnsi="仿宋" w:eastAsia="方正兰亭纤黑简体" w:cs="仿宋"/>
          <w:kern w:val="2"/>
          <w:szCs w:val="24"/>
        </w:rPr>
        <w:t>方面，到</w:t>
      </w:r>
      <w:r>
        <w:rPr>
          <w:rFonts w:hint="eastAsia" w:ascii="方正兰亭纤黑简体" w:hAnsi="仿宋" w:eastAsia="方正兰亭纤黑简体" w:cs="仿宋"/>
          <w:kern w:val="2"/>
          <w:szCs w:val="24"/>
        </w:rPr>
        <w:t>2025年</w:t>
      </w:r>
      <w:r>
        <w:rPr>
          <w:rFonts w:ascii="方正兰亭纤黑简体" w:hAnsi="仿宋" w:eastAsia="方正兰亭纤黑简体" w:cs="仿宋"/>
          <w:kern w:val="2"/>
          <w:szCs w:val="24"/>
        </w:rPr>
        <w:t>，基本建</w:t>
      </w:r>
      <w:r>
        <w:rPr>
          <w:rFonts w:hint="eastAsia" w:ascii="方正兰亭纤黑简体" w:hAnsi="仿宋" w:eastAsia="方正兰亭纤黑简体" w:cs="仿宋"/>
          <w:kern w:val="2"/>
          <w:szCs w:val="24"/>
        </w:rPr>
        <w:t>成</w:t>
      </w:r>
      <w:r>
        <w:rPr>
          <w:rFonts w:ascii="方正兰亭纤黑简体" w:hAnsi="仿宋" w:eastAsia="方正兰亭纤黑简体" w:cs="仿宋"/>
          <w:kern w:val="2"/>
          <w:szCs w:val="24"/>
        </w:rPr>
        <w:t>功能完善、规模适度、覆盖城乡，与全区经济社会发展水平相适应的托育服务体系</w:t>
      </w:r>
      <w:r>
        <w:rPr>
          <w:rFonts w:hint="eastAsia" w:ascii="方正兰亭纤黑简体" w:hAnsi="仿宋" w:eastAsia="方正兰亭纤黑简体" w:cs="仿宋"/>
          <w:kern w:val="2"/>
          <w:szCs w:val="24"/>
        </w:rPr>
        <w:t>，</w:t>
      </w:r>
      <w:r>
        <w:rPr>
          <w:rFonts w:ascii="方正兰亭纤黑简体" w:hAnsi="仿宋" w:eastAsia="方正兰亭纤黑简体" w:cs="仿宋"/>
          <w:kern w:val="2"/>
          <w:szCs w:val="24"/>
        </w:rPr>
        <w:t>托育服务范围持续扩大，婴幼儿照护服务能力明显提升，育龄群众的婴幼儿照护服务需求得到进一步满足。</w:t>
      </w:r>
    </w:p>
    <w:p>
      <w:pPr>
        <w:pStyle w:val="26"/>
        <w:ind w:firstLine="425" w:firstLineChars="152"/>
        <w:rPr>
          <w:rFonts w:ascii="方正兰亭纤黑简体" w:hAnsi="仿宋" w:eastAsia="方正兰亭纤黑简体" w:cs="仿宋"/>
          <w:sz w:val="28"/>
          <w:szCs w:val="28"/>
        </w:rPr>
      </w:pPr>
      <w:r>
        <w:rPr>
          <w:rFonts w:hint="eastAsia" w:ascii="方正兰亭纤黑简体" w:hAnsi="仿宋" w:eastAsia="方正兰亭纤黑简体" w:cs="仿宋"/>
          <w:sz w:val="28"/>
          <w:szCs w:val="28"/>
        </w:rPr>
        <w:t>2021-2025期间我区养老托育</w:t>
      </w:r>
      <w:r>
        <w:rPr>
          <w:rFonts w:ascii="方正兰亭纤黑简体" w:hAnsi="仿宋" w:eastAsia="方正兰亭纤黑简体" w:cs="仿宋"/>
          <w:sz w:val="28"/>
          <w:szCs w:val="28"/>
        </w:rPr>
        <w:t>服务</w:t>
      </w:r>
      <w:r>
        <w:rPr>
          <w:rFonts w:hint="eastAsia" w:ascii="方正兰亭纤黑简体" w:hAnsi="仿宋" w:eastAsia="方正兰亭纤黑简体" w:cs="仿宋"/>
          <w:sz w:val="28"/>
          <w:szCs w:val="28"/>
        </w:rPr>
        <w:t>基础</w:t>
      </w:r>
      <w:r>
        <w:rPr>
          <w:rFonts w:ascii="方正兰亭纤黑简体" w:hAnsi="仿宋" w:eastAsia="方正兰亭纤黑简体" w:cs="仿宋"/>
          <w:sz w:val="28"/>
          <w:szCs w:val="28"/>
        </w:rPr>
        <w:t>设施发展主要指标要求：</w:t>
      </w:r>
    </w:p>
    <w:tbl>
      <w:tblPr>
        <w:tblStyle w:val="25"/>
        <w:tblW w:w="852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2"/>
        <w:gridCol w:w="3932"/>
        <w:gridCol w:w="1311"/>
        <w:gridCol w:w="1311"/>
        <w:gridCol w:w="12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0" w:hRule="atLeast"/>
          <w:jc w:val="center"/>
        </w:trPr>
        <w:tc>
          <w:tcPr>
            <w:tcW w:w="722"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序号</w:t>
            </w:r>
          </w:p>
        </w:tc>
        <w:tc>
          <w:tcPr>
            <w:tcW w:w="3932"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指标名称</w:t>
            </w:r>
          </w:p>
        </w:tc>
        <w:tc>
          <w:tcPr>
            <w:tcW w:w="1311"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2</w:t>
            </w:r>
            <w:r>
              <w:rPr>
                <w:rFonts w:ascii="方正兰亭纤黑简体" w:hAnsi="仿宋" w:eastAsia="方正兰亭纤黑简体" w:cs="仿宋"/>
                <w:sz w:val="24"/>
                <w:szCs w:val="22"/>
              </w:rPr>
              <w:t>020</w:t>
            </w:r>
            <w:r>
              <w:rPr>
                <w:rFonts w:hint="eastAsia" w:ascii="方正兰亭纤黑简体" w:hAnsi="仿宋" w:eastAsia="方正兰亭纤黑简体" w:cs="仿宋"/>
                <w:sz w:val="24"/>
                <w:szCs w:val="22"/>
              </w:rPr>
              <w:t>年</w:t>
            </w:r>
          </w:p>
        </w:tc>
        <w:tc>
          <w:tcPr>
            <w:tcW w:w="1311"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2</w:t>
            </w:r>
            <w:r>
              <w:rPr>
                <w:rFonts w:ascii="方正兰亭纤黑简体" w:hAnsi="仿宋" w:eastAsia="方正兰亭纤黑简体" w:cs="仿宋"/>
                <w:sz w:val="24"/>
                <w:szCs w:val="22"/>
              </w:rPr>
              <w:t>025</w:t>
            </w:r>
            <w:r>
              <w:rPr>
                <w:rFonts w:hint="eastAsia" w:ascii="方正兰亭纤黑简体" w:hAnsi="仿宋" w:eastAsia="方正兰亭纤黑简体" w:cs="仿宋"/>
                <w:sz w:val="24"/>
                <w:szCs w:val="22"/>
              </w:rPr>
              <w:t>年</w:t>
            </w:r>
          </w:p>
        </w:tc>
        <w:tc>
          <w:tcPr>
            <w:tcW w:w="1246"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指标属性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2" w:type="dxa"/>
            <w:vAlign w:val="center"/>
          </w:tcPr>
          <w:p>
            <w:pPr>
              <w:pStyle w:val="37"/>
              <w:ind w:firstLine="0" w:firstLineChars="0"/>
              <w:jc w:val="center"/>
              <w:rPr>
                <w:rFonts w:ascii="方正兰亭纤黑简体" w:hAnsi="仿宋" w:eastAsia="方正兰亭纤黑简体" w:cs="仿宋"/>
                <w:sz w:val="24"/>
                <w:szCs w:val="22"/>
              </w:rPr>
            </w:pPr>
            <w:r>
              <w:rPr>
                <w:rFonts w:ascii="方正兰亭纤黑简体" w:hAnsi="仿宋" w:eastAsia="方正兰亭纤黑简体" w:cs="仿宋"/>
                <w:sz w:val="24"/>
                <w:szCs w:val="22"/>
              </w:rPr>
              <w:t>1</w:t>
            </w:r>
          </w:p>
        </w:tc>
        <w:tc>
          <w:tcPr>
            <w:tcW w:w="3932"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社区日间</w:t>
            </w:r>
            <w:r>
              <w:rPr>
                <w:rFonts w:ascii="方正兰亭纤黑简体" w:hAnsi="仿宋" w:eastAsia="方正兰亭纤黑简体" w:cs="仿宋"/>
                <w:sz w:val="24"/>
                <w:szCs w:val="22"/>
              </w:rPr>
              <w:t>照料机构覆盖率</w:t>
            </w:r>
          </w:p>
        </w:tc>
        <w:tc>
          <w:tcPr>
            <w:tcW w:w="1311" w:type="dxa"/>
            <w:vAlign w:val="center"/>
          </w:tcPr>
          <w:p>
            <w:pPr>
              <w:pStyle w:val="37"/>
              <w:ind w:firstLine="0" w:firstLineChars="0"/>
              <w:jc w:val="center"/>
              <w:rPr>
                <w:rFonts w:ascii="方正兰亭纤黑简体" w:hAnsi="仿宋" w:eastAsia="方正兰亭纤黑简体" w:cs="仿宋"/>
                <w:sz w:val="24"/>
                <w:szCs w:val="22"/>
              </w:rPr>
            </w:pPr>
            <w:r>
              <w:rPr>
                <w:rFonts w:ascii="方正兰亭纤黑简体" w:hAnsi="仿宋" w:eastAsia="方正兰亭纤黑简体" w:cs="仿宋"/>
                <w:sz w:val="24"/>
                <w:szCs w:val="22"/>
              </w:rPr>
              <w:t>90%</w:t>
            </w:r>
          </w:p>
        </w:tc>
        <w:tc>
          <w:tcPr>
            <w:tcW w:w="1311"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100</w:t>
            </w:r>
            <w:r>
              <w:rPr>
                <w:rFonts w:ascii="方正兰亭纤黑简体" w:hAnsi="仿宋" w:eastAsia="方正兰亭纤黑简体" w:cs="仿宋"/>
                <w:sz w:val="24"/>
                <w:szCs w:val="22"/>
              </w:rPr>
              <w:t>%</w:t>
            </w:r>
          </w:p>
        </w:tc>
        <w:tc>
          <w:tcPr>
            <w:tcW w:w="1246"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2" w:type="dxa"/>
            <w:vAlign w:val="center"/>
          </w:tcPr>
          <w:p>
            <w:pPr>
              <w:pStyle w:val="37"/>
              <w:ind w:firstLine="0" w:firstLineChars="0"/>
              <w:jc w:val="center"/>
              <w:rPr>
                <w:rFonts w:ascii="方正兰亭纤黑简体" w:hAnsi="仿宋" w:eastAsia="方正兰亭纤黑简体" w:cs="仿宋"/>
                <w:sz w:val="24"/>
                <w:szCs w:val="22"/>
              </w:rPr>
            </w:pPr>
            <w:r>
              <w:rPr>
                <w:rFonts w:ascii="方正兰亭纤黑简体" w:hAnsi="仿宋" w:eastAsia="方正兰亭纤黑简体" w:cs="仿宋"/>
                <w:sz w:val="24"/>
                <w:szCs w:val="22"/>
              </w:rPr>
              <w:t>2</w:t>
            </w:r>
          </w:p>
        </w:tc>
        <w:tc>
          <w:tcPr>
            <w:tcW w:w="3932"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新建城区</w:t>
            </w:r>
            <w:r>
              <w:rPr>
                <w:rFonts w:ascii="方正兰亭纤黑简体" w:hAnsi="仿宋" w:eastAsia="方正兰亭纤黑简体" w:cs="仿宋"/>
                <w:sz w:val="24"/>
                <w:szCs w:val="22"/>
              </w:rPr>
              <w:t>、新建居民住宅小区配套建设养老服务设施达标率</w:t>
            </w:r>
          </w:p>
        </w:tc>
        <w:tc>
          <w:tcPr>
            <w:tcW w:w="1311" w:type="dxa"/>
            <w:vAlign w:val="center"/>
          </w:tcPr>
          <w:p>
            <w:pPr>
              <w:pStyle w:val="37"/>
              <w:ind w:firstLine="0" w:firstLineChars="0"/>
              <w:jc w:val="center"/>
              <w:rPr>
                <w:rFonts w:ascii="方正兰亭纤黑简体" w:hAnsi="仿宋" w:eastAsia="方正兰亭纤黑简体" w:cs="仿宋"/>
                <w:sz w:val="24"/>
                <w:szCs w:val="22"/>
              </w:rPr>
            </w:pPr>
            <w:r>
              <w:rPr>
                <w:rFonts w:ascii="方正兰亭纤黑简体" w:hAnsi="仿宋" w:eastAsia="方正兰亭纤黑简体" w:cs="仿宋"/>
                <w:sz w:val="24"/>
                <w:szCs w:val="22"/>
              </w:rPr>
              <w:t>/</w:t>
            </w:r>
          </w:p>
        </w:tc>
        <w:tc>
          <w:tcPr>
            <w:tcW w:w="1311"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100</w:t>
            </w:r>
            <w:r>
              <w:rPr>
                <w:rFonts w:ascii="方正兰亭纤黑简体" w:hAnsi="仿宋" w:eastAsia="方正兰亭纤黑简体" w:cs="仿宋"/>
                <w:sz w:val="24"/>
                <w:szCs w:val="22"/>
              </w:rPr>
              <w:t>%</w:t>
            </w:r>
          </w:p>
        </w:tc>
        <w:tc>
          <w:tcPr>
            <w:tcW w:w="1246"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2" w:type="dxa"/>
            <w:vAlign w:val="center"/>
          </w:tcPr>
          <w:p>
            <w:pPr>
              <w:pStyle w:val="37"/>
              <w:ind w:firstLine="0" w:firstLineChars="0"/>
              <w:jc w:val="center"/>
              <w:rPr>
                <w:rFonts w:ascii="方正兰亭纤黑简体" w:hAnsi="仿宋" w:eastAsia="方正兰亭纤黑简体" w:cs="仿宋"/>
                <w:sz w:val="24"/>
                <w:szCs w:val="22"/>
              </w:rPr>
            </w:pPr>
            <w:r>
              <w:rPr>
                <w:rFonts w:ascii="方正兰亭纤黑简体" w:hAnsi="仿宋" w:eastAsia="方正兰亭纤黑简体" w:cs="仿宋"/>
                <w:sz w:val="24"/>
                <w:szCs w:val="22"/>
              </w:rPr>
              <w:t>3</w:t>
            </w:r>
          </w:p>
        </w:tc>
        <w:tc>
          <w:tcPr>
            <w:tcW w:w="3932"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养老</w:t>
            </w:r>
            <w:r>
              <w:rPr>
                <w:rFonts w:ascii="方正兰亭纤黑简体" w:hAnsi="仿宋" w:eastAsia="方正兰亭纤黑简体" w:cs="仿宋"/>
                <w:sz w:val="24"/>
                <w:szCs w:val="22"/>
              </w:rPr>
              <w:t>机构</w:t>
            </w:r>
            <w:r>
              <w:rPr>
                <w:rFonts w:hint="eastAsia" w:ascii="方正兰亭纤黑简体" w:hAnsi="仿宋" w:eastAsia="方正兰亭纤黑简体" w:cs="仿宋"/>
                <w:sz w:val="24"/>
                <w:szCs w:val="22"/>
              </w:rPr>
              <w:t>护理型</w:t>
            </w:r>
            <w:r>
              <w:rPr>
                <w:rFonts w:ascii="方正兰亭纤黑简体" w:hAnsi="仿宋" w:eastAsia="方正兰亭纤黑简体" w:cs="仿宋"/>
                <w:sz w:val="24"/>
                <w:szCs w:val="22"/>
              </w:rPr>
              <w:t>床位占比</w:t>
            </w:r>
          </w:p>
        </w:tc>
        <w:tc>
          <w:tcPr>
            <w:tcW w:w="1311" w:type="dxa"/>
            <w:vAlign w:val="center"/>
          </w:tcPr>
          <w:p>
            <w:pPr>
              <w:pStyle w:val="37"/>
              <w:ind w:firstLine="0" w:firstLineChars="0"/>
              <w:jc w:val="center"/>
              <w:rPr>
                <w:rFonts w:ascii="方正兰亭纤黑简体" w:hAnsi="仿宋" w:eastAsia="方正兰亭纤黑简体" w:cs="仿宋"/>
                <w:sz w:val="24"/>
                <w:szCs w:val="22"/>
              </w:rPr>
            </w:pPr>
            <w:r>
              <w:rPr>
                <w:rFonts w:ascii="方正兰亭纤黑简体" w:hAnsi="仿宋" w:eastAsia="方正兰亭纤黑简体" w:cs="仿宋"/>
                <w:sz w:val="24"/>
                <w:szCs w:val="22"/>
              </w:rPr>
              <w:t>32.3%</w:t>
            </w:r>
          </w:p>
        </w:tc>
        <w:tc>
          <w:tcPr>
            <w:tcW w:w="1311"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60</w:t>
            </w:r>
            <w:r>
              <w:rPr>
                <w:rFonts w:ascii="方正兰亭纤黑简体" w:hAnsi="仿宋" w:eastAsia="方正兰亭纤黑简体" w:cs="仿宋"/>
                <w:sz w:val="24"/>
                <w:szCs w:val="22"/>
              </w:rPr>
              <w:t>%</w:t>
            </w:r>
          </w:p>
        </w:tc>
        <w:tc>
          <w:tcPr>
            <w:tcW w:w="1246"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2" w:type="dxa"/>
            <w:vAlign w:val="center"/>
          </w:tcPr>
          <w:p>
            <w:pPr>
              <w:pStyle w:val="37"/>
              <w:ind w:firstLine="0" w:firstLineChars="0"/>
              <w:jc w:val="center"/>
              <w:rPr>
                <w:rFonts w:ascii="方正兰亭纤黑简体" w:hAnsi="仿宋" w:eastAsia="方正兰亭纤黑简体" w:cs="仿宋"/>
                <w:sz w:val="24"/>
                <w:szCs w:val="22"/>
              </w:rPr>
            </w:pPr>
            <w:r>
              <w:rPr>
                <w:rFonts w:ascii="方正兰亭纤黑简体" w:hAnsi="仿宋" w:eastAsia="方正兰亭纤黑简体" w:cs="仿宋"/>
                <w:sz w:val="24"/>
                <w:szCs w:val="22"/>
              </w:rPr>
              <w:t>4</w:t>
            </w:r>
          </w:p>
        </w:tc>
        <w:tc>
          <w:tcPr>
            <w:tcW w:w="3932"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生活</w:t>
            </w:r>
            <w:r>
              <w:rPr>
                <w:rFonts w:ascii="方正兰亭纤黑简体" w:hAnsi="仿宋" w:eastAsia="方正兰亭纤黑简体" w:cs="仿宋"/>
                <w:sz w:val="24"/>
                <w:szCs w:val="22"/>
              </w:rPr>
              <w:t>不能自理</w:t>
            </w:r>
            <w:r>
              <w:rPr>
                <w:rFonts w:hint="eastAsia" w:ascii="方正兰亭纤黑简体" w:hAnsi="仿宋" w:eastAsia="方正兰亭纤黑简体" w:cs="仿宋"/>
                <w:sz w:val="24"/>
                <w:szCs w:val="22"/>
              </w:rPr>
              <w:t>特困</w:t>
            </w:r>
            <w:r>
              <w:rPr>
                <w:rFonts w:ascii="方正兰亭纤黑简体" w:hAnsi="仿宋" w:eastAsia="方正兰亭纤黑简体" w:cs="仿宋"/>
                <w:sz w:val="24"/>
                <w:szCs w:val="22"/>
              </w:rPr>
              <w:t>人员集中供养率</w:t>
            </w:r>
          </w:p>
        </w:tc>
        <w:tc>
          <w:tcPr>
            <w:tcW w:w="1311" w:type="dxa"/>
            <w:vAlign w:val="center"/>
          </w:tcPr>
          <w:p>
            <w:pPr>
              <w:pStyle w:val="37"/>
              <w:ind w:firstLine="0" w:firstLineChars="0"/>
              <w:jc w:val="center"/>
              <w:rPr>
                <w:rFonts w:ascii="方正兰亭纤黑简体" w:hAnsi="仿宋" w:eastAsia="方正兰亭纤黑简体" w:cs="仿宋"/>
                <w:sz w:val="24"/>
                <w:szCs w:val="22"/>
              </w:rPr>
            </w:pPr>
            <w:r>
              <w:rPr>
                <w:rFonts w:ascii="方正兰亭纤黑简体" w:hAnsi="仿宋" w:eastAsia="方正兰亭纤黑简体" w:cs="仿宋"/>
                <w:sz w:val="24"/>
                <w:szCs w:val="22"/>
              </w:rPr>
              <w:t>37.3%</w:t>
            </w:r>
          </w:p>
        </w:tc>
        <w:tc>
          <w:tcPr>
            <w:tcW w:w="1311" w:type="dxa"/>
            <w:vAlign w:val="center"/>
          </w:tcPr>
          <w:p>
            <w:pPr>
              <w:pStyle w:val="37"/>
              <w:ind w:firstLine="0" w:firstLineChars="0"/>
              <w:jc w:val="center"/>
              <w:rPr>
                <w:rFonts w:ascii="方正兰亭纤黑简体" w:hAnsi="仿宋" w:eastAsia="方正兰亭纤黑简体" w:cs="仿宋"/>
                <w:sz w:val="24"/>
                <w:szCs w:val="22"/>
              </w:rPr>
            </w:pPr>
            <w:r>
              <w:rPr>
                <w:rFonts w:ascii="方正兰亭纤黑简体" w:hAnsi="仿宋" w:eastAsia="方正兰亭纤黑简体" w:cs="仿宋"/>
                <w:sz w:val="24"/>
                <w:szCs w:val="22"/>
              </w:rPr>
              <w:t>50%</w:t>
            </w:r>
          </w:p>
        </w:tc>
        <w:tc>
          <w:tcPr>
            <w:tcW w:w="1246"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2" w:type="dxa"/>
            <w:vAlign w:val="center"/>
          </w:tcPr>
          <w:p>
            <w:pPr>
              <w:pStyle w:val="37"/>
              <w:ind w:firstLine="0" w:firstLineChars="0"/>
              <w:jc w:val="center"/>
              <w:rPr>
                <w:rFonts w:ascii="方正兰亭纤黑简体" w:hAnsi="仿宋" w:eastAsia="方正兰亭纤黑简体" w:cs="仿宋"/>
                <w:sz w:val="24"/>
                <w:szCs w:val="22"/>
              </w:rPr>
            </w:pPr>
            <w:r>
              <w:rPr>
                <w:rFonts w:ascii="方正兰亭纤黑简体" w:hAnsi="仿宋" w:eastAsia="方正兰亭纤黑简体" w:cs="仿宋"/>
                <w:sz w:val="24"/>
                <w:szCs w:val="22"/>
              </w:rPr>
              <w:t>5</w:t>
            </w:r>
          </w:p>
        </w:tc>
        <w:tc>
          <w:tcPr>
            <w:tcW w:w="3932"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有集中供养意愿</w:t>
            </w:r>
            <w:r>
              <w:rPr>
                <w:rFonts w:ascii="方正兰亭纤黑简体" w:hAnsi="仿宋" w:eastAsia="方正兰亭纤黑简体" w:cs="仿宋"/>
                <w:sz w:val="24"/>
                <w:szCs w:val="22"/>
              </w:rPr>
              <w:t>的特困人员集中供养率</w:t>
            </w:r>
          </w:p>
        </w:tc>
        <w:tc>
          <w:tcPr>
            <w:tcW w:w="1311" w:type="dxa"/>
            <w:vAlign w:val="center"/>
          </w:tcPr>
          <w:p>
            <w:pPr>
              <w:pStyle w:val="37"/>
              <w:ind w:firstLine="0" w:firstLineChars="0"/>
              <w:jc w:val="center"/>
              <w:rPr>
                <w:rFonts w:ascii="方正兰亭纤黑简体" w:hAnsi="仿宋" w:eastAsia="方正兰亭纤黑简体" w:cs="仿宋"/>
                <w:sz w:val="24"/>
                <w:szCs w:val="22"/>
              </w:rPr>
            </w:pPr>
            <w:r>
              <w:rPr>
                <w:rFonts w:ascii="方正兰亭纤黑简体" w:hAnsi="仿宋" w:eastAsia="方正兰亭纤黑简体" w:cs="仿宋"/>
                <w:sz w:val="24"/>
                <w:szCs w:val="22"/>
              </w:rPr>
              <w:t>100%</w:t>
            </w:r>
          </w:p>
        </w:tc>
        <w:tc>
          <w:tcPr>
            <w:tcW w:w="1311"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100</w:t>
            </w:r>
            <w:r>
              <w:rPr>
                <w:rFonts w:ascii="方正兰亭纤黑简体" w:hAnsi="仿宋" w:eastAsia="方正兰亭纤黑简体" w:cs="仿宋"/>
                <w:sz w:val="24"/>
                <w:szCs w:val="22"/>
              </w:rPr>
              <w:t>%</w:t>
            </w:r>
          </w:p>
        </w:tc>
        <w:tc>
          <w:tcPr>
            <w:tcW w:w="1246"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2"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6</w:t>
            </w:r>
          </w:p>
        </w:tc>
        <w:tc>
          <w:tcPr>
            <w:tcW w:w="3932"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老年大学</w:t>
            </w:r>
            <w:r>
              <w:rPr>
                <w:rFonts w:ascii="方正兰亭纤黑简体" w:hAnsi="仿宋" w:eastAsia="方正兰亭纤黑简体" w:cs="仿宋"/>
                <w:sz w:val="24"/>
                <w:szCs w:val="22"/>
              </w:rPr>
              <w:t>覆盖率</w:t>
            </w:r>
          </w:p>
        </w:tc>
        <w:tc>
          <w:tcPr>
            <w:tcW w:w="1311"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90</w:t>
            </w:r>
            <w:r>
              <w:rPr>
                <w:rFonts w:ascii="方正兰亭纤黑简体" w:hAnsi="仿宋" w:eastAsia="方正兰亭纤黑简体" w:cs="仿宋"/>
                <w:sz w:val="24"/>
                <w:szCs w:val="22"/>
              </w:rPr>
              <w:t>%</w:t>
            </w:r>
          </w:p>
        </w:tc>
        <w:tc>
          <w:tcPr>
            <w:tcW w:w="1311"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100</w:t>
            </w:r>
            <w:r>
              <w:rPr>
                <w:rFonts w:ascii="方正兰亭纤黑简体" w:hAnsi="仿宋" w:eastAsia="方正兰亭纤黑简体" w:cs="仿宋"/>
                <w:sz w:val="24"/>
                <w:szCs w:val="22"/>
              </w:rPr>
              <w:t>%</w:t>
            </w:r>
          </w:p>
        </w:tc>
        <w:tc>
          <w:tcPr>
            <w:tcW w:w="1246"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约束性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2" w:type="dxa"/>
            <w:vAlign w:val="center"/>
          </w:tcPr>
          <w:p>
            <w:pPr>
              <w:pStyle w:val="37"/>
              <w:ind w:firstLine="0" w:firstLineChars="0"/>
              <w:jc w:val="center"/>
              <w:rPr>
                <w:rFonts w:ascii="方正兰亭纤黑简体" w:hAnsi="仿宋" w:eastAsia="方正兰亭纤黑简体" w:cs="仿宋"/>
                <w:sz w:val="24"/>
                <w:szCs w:val="22"/>
              </w:rPr>
            </w:pPr>
            <w:r>
              <w:rPr>
                <w:rFonts w:ascii="方正兰亭纤黑简体" w:hAnsi="仿宋" w:eastAsia="方正兰亭纤黑简体" w:cs="仿宋"/>
                <w:sz w:val="24"/>
                <w:szCs w:val="22"/>
              </w:rPr>
              <w:t>7</w:t>
            </w:r>
          </w:p>
        </w:tc>
        <w:tc>
          <w:tcPr>
            <w:tcW w:w="3932"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公益性兜底保障</w:t>
            </w:r>
            <w:r>
              <w:rPr>
                <w:rFonts w:ascii="方正兰亭纤黑简体" w:hAnsi="仿宋" w:eastAsia="方正兰亭纤黑简体" w:cs="仿宋"/>
                <w:sz w:val="24"/>
                <w:szCs w:val="22"/>
              </w:rPr>
              <w:t>养老床位达标率</w:t>
            </w:r>
          </w:p>
        </w:tc>
        <w:tc>
          <w:tcPr>
            <w:tcW w:w="1311" w:type="dxa"/>
            <w:vAlign w:val="center"/>
          </w:tcPr>
          <w:p>
            <w:pPr>
              <w:pStyle w:val="37"/>
              <w:ind w:firstLine="0" w:firstLineChars="0"/>
              <w:jc w:val="center"/>
              <w:rPr>
                <w:rFonts w:ascii="方正兰亭纤黑简体" w:hAnsi="仿宋" w:eastAsia="方正兰亭纤黑简体" w:cs="仿宋"/>
                <w:sz w:val="24"/>
                <w:szCs w:val="22"/>
              </w:rPr>
            </w:pPr>
            <w:r>
              <w:rPr>
                <w:rFonts w:ascii="方正兰亭纤黑简体" w:hAnsi="仿宋" w:eastAsia="方正兰亭纤黑简体" w:cs="仿宋"/>
                <w:sz w:val="24"/>
                <w:szCs w:val="22"/>
              </w:rPr>
              <w:t>100%</w:t>
            </w:r>
          </w:p>
        </w:tc>
        <w:tc>
          <w:tcPr>
            <w:tcW w:w="1311"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100</w:t>
            </w:r>
            <w:r>
              <w:rPr>
                <w:rFonts w:ascii="方正兰亭纤黑简体" w:hAnsi="仿宋" w:eastAsia="方正兰亭纤黑简体" w:cs="仿宋"/>
                <w:sz w:val="24"/>
                <w:szCs w:val="22"/>
              </w:rPr>
              <w:t>%</w:t>
            </w:r>
          </w:p>
        </w:tc>
        <w:tc>
          <w:tcPr>
            <w:tcW w:w="1246"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2"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8</w:t>
            </w:r>
          </w:p>
        </w:tc>
        <w:tc>
          <w:tcPr>
            <w:tcW w:w="3932"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普惠性</w:t>
            </w:r>
            <w:r>
              <w:rPr>
                <w:rFonts w:ascii="方正兰亭纤黑简体" w:hAnsi="仿宋" w:eastAsia="方正兰亭纤黑简体" w:cs="仿宋"/>
                <w:sz w:val="24"/>
                <w:szCs w:val="22"/>
              </w:rPr>
              <w:t>养老机构床位占比</w:t>
            </w:r>
          </w:p>
        </w:tc>
        <w:tc>
          <w:tcPr>
            <w:tcW w:w="1311" w:type="dxa"/>
            <w:vAlign w:val="center"/>
          </w:tcPr>
          <w:p>
            <w:pPr>
              <w:pStyle w:val="37"/>
              <w:ind w:firstLine="0" w:firstLineChars="0"/>
              <w:jc w:val="center"/>
              <w:rPr>
                <w:rFonts w:ascii="方正兰亭纤黑简体" w:hAnsi="仿宋" w:eastAsia="方正兰亭纤黑简体" w:cs="仿宋"/>
                <w:sz w:val="24"/>
                <w:szCs w:val="22"/>
              </w:rPr>
            </w:pPr>
            <w:r>
              <w:rPr>
                <w:rFonts w:ascii="方正兰亭纤黑简体" w:hAnsi="仿宋" w:eastAsia="方正兰亭纤黑简体" w:cs="仿宋"/>
                <w:sz w:val="24"/>
                <w:szCs w:val="22"/>
              </w:rPr>
              <w:t>60%</w:t>
            </w:r>
          </w:p>
        </w:tc>
        <w:tc>
          <w:tcPr>
            <w:tcW w:w="1311"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80</w:t>
            </w:r>
            <w:r>
              <w:rPr>
                <w:rFonts w:ascii="方正兰亭纤黑简体" w:hAnsi="仿宋" w:eastAsia="方正兰亭纤黑简体" w:cs="仿宋"/>
                <w:sz w:val="24"/>
                <w:szCs w:val="22"/>
              </w:rPr>
              <w:t>%</w:t>
            </w:r>
          </w:p>
        </w:tc>
        <w:tc>
          <w:tcPr>
            <w:tcW w:w="1246"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2"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9</w:t>
            </w:r>
          </w:p>
        </w:tc>
        <w:tc>
          <w:tcPr>
            <w:tcW w:w="3932"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每</w:t>
            </w:r>
            <w:r>
              <w:rPr>
                <w:rFonts w:ascii="方正兰亭纤黑简体" w:hAnsi="仿宋" w:eastAsia="方正兰亭纤黑简体" w:cs="仿宋"/>
                <w:sz w:val="24"/>
                <w:szCs w:val="22"/>
              </w:rPr>
              <w:t>千</w:t>
            </w:r>
            <w:r>
              <w:rPr>
                <w:rFonts w:hint="eastAsia" w:ascii="方正兰亭纤黑简体" w:hAnsi="仿宋" w:eastAsia="方正兰亭纤黑简体" w:cs="仿宋"/>
                <w:sz w:val="24"/>
                <w:szCs w:val="22"/>
              </w:rPr>
              <w:t>人口</w:t>
            </w:r>
            <w:r>
              <w:rPr>
                <w:rFonts w:ascii="方正兰亭纤黑简体" w:hAnsi="仿宋" w:eastAsia="方正兰亭纤黑简体" w:cs="仿宋"/>
                <w:sz w:val="24"/>
                <w:szCs w:val="22"/>
              </w:rPr>
              <w:t>拥有</w:t>
            </w:r>
            <w:r>
              <w:rPr>
                <w:rFonts w:hint="eastAsia" w:ascii="方正兰亭纤黑简体" w:hAnsi="仿宋" w:eastAsia="方正兰亭纤黑简体" w:cs="仿宋"/>
                <w:sz w:val="24"/>
                <w:szCs w:val="22"/>
              </w:rPr>
              <w:t>3岁</w:t>
            </w:r>
            <w:r>
              <w:rPr>
                <w:rFonts w:ascii="方正兰亭纤黑简体" w:hAnsi="仿宋" w:eastAsia="方正兰亭纤黑简体" w:cs="仿宋"/>
                <w:sz w:val="24"/>
                <w:szCs w:val="22"/>
              </w:rPr>
              <w:t>以下婴幼儿托位数</w:t>
            </w:r>
          </w:p>
        </w:tc>
        <w:tc>
          <w:tcPr>
            <w:tcW w:w="1311" w:type="dxa"/>
            <w:vAlign w:val="center"/>
          </w:tcPr>
          <w:p>
            <w:pPr>
              <w:pStyle w:val="37"/>
              <w:ind w:firstLine="0" w:firstLineChars="0"/>
              <w:jc w:val="center"/>
              <w:rPr>
                <w:rFonts w:ascii="方正兰亭纤黑简体" w:hAnsi="仿宋" w:eastAsia="方正兰亭纤黑简体" w:cs="仿宋"/>
                <w:sz w:val="24"/>
                <w:szCs w:val="22"/>
              </w:rPr>
            </w:pPr>
            <w:r>
              <w:rPr>
                <w:rFonts w:ascii="方正兰亭纤黑简体" w:hAnsi="仿宋" w:eastAsia="方正兰亭纤黑简体" w:cs="仿宋"/>
                <w:sz w:val="24"/>
                <w:szCs w:val="22"/>
              </w:rPr>
              <w:t>1.03</w:t>
            </w:r>
          </w:p>
        </w:tc>
        <w:tc>
          <w:tcPr>
            <w:tcW w:w="1311"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≥4.5</w:t>
            </w:r>
          </w:p>
        </w:tc>
        <w:tc>
          <w:tcPr>
            <w:tcW w:w="1246"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2"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10</w:t>
            </w:r>
          </w:p>
        </w:tc>
        <w:tc>
          <w:tcPr>
            <w:tcW w:w="3932"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镇</w:t>
            </w:r>
            <w:r>
              <w:rPr>
                <w:rFonts w:ascii="方正兰亭纤黑简体" w:hAnsi="仿宋" w:eastAsia="方正兰亭纤黑简体" w:cs="仿宋"/>
                <w:sz w:val="24"/>
                <w:szCs w:val="22"/>
              </w:rPr>
              <w:t>（</w:t>
            </w:r>
            <w:r>
              <w:rPr>
                <w:rFonts w:hint="eastAsia" w:ascii="方正兰亭纤黑简体" w:hAnsi="仿宋" w:eastAsia="方正兰亭纤黑简体" w:cs="仿宋"/>
                <w:sz w:val="24"/>
                <w:szCs w:val="22"/>
              </w:rPr>
              <w:t>街道</w:t>
            </w:r>
            <w:r>
              <w:rPr>
                <w:rFonts w:ascii="方正兰亭纤黑简体" w:hAnsi="仿宋" w:eastAsia="方正兰亭纤黑简体" w:cs="仿宋"/>
                <w:sz w:val="24"/>
                <w:szCs w:val="22"/>
              </w:rPr>
              <w:t>）</w:t>
            </w:r>
            <w:r>
              <w:rPr>
                <w:rFonts w:hint="eastAsia" w:ascii="方正兰亭纤黑简体" w:hAnsi="仿宋" w:eastAsia="方正兰亭纤黑简体" w:cs="仿宋"/>
                <w:sz w:val="24"/>
                <w:szCs w:val="22"/>
              </w:rPr>
              <w:t>普惠性</w:t>
            </w:r>
            <w:r>
              <w:rPr>
                <w:rFonts w:ascii="方正兰亭纤黑简体" w:hAnsi="仿宋" w:eastAsia="方正兰亭纤黑简体" w:cs="仿宋"/>
                <w:sz w:val="24"/>
                <w:szCs w:val="22"/>
              </w:rPr>
              <w:t>托育点覆盖率</w:t>
            </w:r>
          </w:p>
        </w:tc>
        <w:tc>
          <w:tcPr>
            <w:tcW w:w="1311" w:type="dxa"/>
            <w:vAlign w:val="center"/>
          </w:tcPr>
          <w:p>
            <w:pPr>
              <w:pStyle w:val="37"/>
              <w:ind w:firstLine="0" w:firstLineChars="0"/>
              <w:jc w:val="center"/>
              <w:rPr>
                <w:rFonts w:ascii="方正兰亭纤黑简体" w:hAnsi="仿宋" w:eastAsia="方正兰亭纤黑简体" w:cs="仿宋"/>
                <w:sz w:val="24"/>
                <w:szCs w:val="22"/>
              </w:rPr>
            </w:pPr>
            <w:r>
              <w:rPr>
                <w:rFonts w:ascii="方正兰亭纤黑简体" w:hAnsi="仿宋" w:eastAsia="方正兰亭纤黑简体" w:cs="仿宋"/>
                <w:sz w:val="24"/>
                <w:szCs w:val="22"/>
              </w:rPr>
              <w:t>-</w:t>
            </w:r>
          </w:p>
        </w:tc>
        <w:tc>
          <w:tcPr>
            <w:tcW w:w="1311" w:type="dxa"/>
            <w:vAlign w:val="center"/>
          </w:tcPr>
          <w:p>
            <w:pPr>
              <w:pStyle w:val="37"/>
              <w:ind w:firstLine="0" w:firstLineChars="0"/>
              <w:jc w:val="center"/>
              <w:rPr>
                <w:rFonts w:ascii="方正兰亭纤黑简体" w:hAnsi="仿宋" w:eastAsia="方正兰亭纤黑简体" w:cs="仿宋"/>
                <w:sz w:val="24"/>
                <w:szCs w:val="22"/>
              </w:rPr>
            </w:pPr>
            <w:r>
              <w:rPr>
                <w:rFonts w:ascii="方正兰亭纤黑简体" w:hAnsi="仿宋" w:eastAsia="方正兰亭纤黑简体" w:cs="仿宋"/>
                <w:sz w:val="24"/>
                <w:szCs w:val="22"/>
              </w:rPr>
              <w:t>60%</w:t>
            </w:r>
          </w:p>
        </w:tc>
        <w:tc>
          <w:tcPr>
            <w:tcW w:w="1246"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2"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11</w:t>
            </w:r>
          </w:p>
        </w:tc>
        <w:tc>
          <w:tcPr>
            <w:tcW w:w="3932"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“一刻钟”居家</w:t>
            </w:r>
            <w:r>
              <w:rPr>
                <w:rFonts w:ascii="方正兰亭纤黑简体" w:hAnsi="仿宋" w:eastAsia="方正兰亭纤黑简体" w:cs="仿宋"/>
                <w:sz w:val="24"/>
                <w:szCs w:val="22"/>
              </w:rPr>
              <w:t>养老服务圈，</w:t>
            </w:r>
            <w:r>
              <w:rPr>
                <w:rFonts w:hint="eastAsia" w:ascii="方正兰亭纤黑简体" w:hAnsi="仿宋" w:eastAsia="方正兰亭纤黑简体" w:cs="仿宋"/>
                <w:sz w:val="24"/>
                <w:szCs w:val="22"/>
              </w:rPr>
              <w:t>助餐、助浴、助医、助急、助行等</w:t>
            </w:r>
            <w:r>
              <w:rPr>
                <w:rFonts w:ascii="方正兰亭纤黑简体" w:hAnsi="仿宋" w:eastAsia="方正兰亭纤黑简体" w:cs="仿宋"/>
                <w:sz w:val="24"/>
                <w:szCs w:val="22"/>
              </w:rPr>
              <w:t>服务机制覆盖率</w:t>
            </w:r>
          </w:p>
        </w:tc>
        <w:tc>
          <w:tcPr>
            <w:tcW w:w="1311" w:type="dxa"/>
            <w:vAlign w:val="center"/>
          </w:tcPr>
          <w:p>
            <w:pPr>
              <w:pStyle w:val="37"/>
              <w:ind w:firstLine="0" w:firstLineChars="0"/>
              <w:jc w:val="center"/>
              <w:rPr>
                <w:rFonts w:ascii="方正兰亭纤黑简体" w:hAnsi="仿宋" w:eastAsia="方正兰亭纤黑简体" w:cs="仿宋"/>
                <w:sz w:val="24"/>
                <w:szCs w:val="22"/>
              </w:rPr>
            </w:pPr>
            <w:r>
              <w:rPr>
                <w:rFonts w:ascii="方正兰亭纤黑简体" w:hAnsi="仿宋" w:eastAsia="方正兰亭纤黑简体" w:cs="仿宋"/>
                <w:sz w:val="24"/>
                <w:szCs w:val="22"/>
              </w:rPr>
              <w:t>100%</w:t>
            </w:r>
          </w:p>
        </w:tc>
        <w:tc>
          <w:tcPr>
            <w:tcW w:w="1311"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100</w:t>
            </w:r>
            <w:r>
              <w:rPr>
                <w:rFonts w:ascii="方正兰亭纤黑简体" w:hAnsi="仿宋" w:eastAsia="方正兰亭纤黑简体" w:cs="仿宋"/>
                <w:sz w:val="24"/>
                <w:szCs w:val="22"/>
              </w:rPr>
              <w:t>%</w:t>
            </w:r>
          </w:p>
        </w:tc>
        <w:tc>
          <w:tcPr>
            <w:tcW w:w="1246"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预期性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22"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12</w:t>
            </w:r>
          </w:p>
        </w:tc>
        <w:tc>
          <w:tcPr>
            <w:tcW w:w="3932"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居家</w:t>
            </w:r>
            <w:r>
              <w:rPr>
                <w:rFonts w:ascii="方正兰亭纤黑简体" w:hAnsi="仿宋" w:eastAsia="方正兰亭纤黑简体" w:cs="仿宋"/>
                <w:sz w:val="24"/>
                <w:szCs w:val="22"/>
              </w:rPr>
              <w:t>社区养老紧急救援系统覆盖率</w:t>
            </w:r>
          </w:p>
        </w:tc>
        <w:tc>
          <w:tcPr>
            <w:tcW w:w="1311" w:type="dxa"/>
            <w:vAlign w:val="center"/>
          </w:tcPr>
          <w:p>
            <w:pPr>
              <w:pStyle w:val="37"/>
              <w:ind w:firstLine="0" w:firstLineChars="0"/>
              <w:jc w:val="center"/>
              <w:rPr>
                <w:rFonts w:ascii="方正兰亭纤黑简体" w:hAnsi="仿宋" w:eastAsia="方正兰亭纤黑简体" w:cs="仿宋"/>
                <w:sz w:val="24"/>
                <w:szCs w:val="22"/>
              </w:rPr>
            </w:pPr>
            <w:r>
              <w:rPr>
                <w:rFonts w:ascii="方正兰亭纤黑简体" w:hAnsi="仿宋" w:eastAsia="方正兰亭纤黑简体" w:cs="仿宋"/>
                <w:sz w:val="24"/>
                <w:szCs w:val="22"/>
              </w:rPr>
              <w:t>100%</w:t>
            </w:r>
          </w:p>
        </w:tc>
        <w:tc>
          <w:tcPr>
            <w:tcW w:w="1311"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100</w:t>
            </w:r>
            <w:r>
              <w:rPr>
                <w:rFonts w:ascii="方正兰亭纤黑简体" w:hAnsi="仿宋" w:eastAsia="方正兰亭纤黑简体" w:cs="仿宋"/>
                <w:sz w:val="24"/>
                <w:szCs w:val="22"/>
              </w:rPr>
              <w:t>%</w:t>
            </w:r>
          </w:p>
        </w:tc>
        <w:tc>
          <w:tcPr>
            <w:tcW w:w="1246"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预期性</w:t>
            </w:r>
          </w:p>
        </w:tc>
      </w:tr>
    </w:tbl>
    <w:p>
      <w:pPr>
        <w:pStyle w:val="40"/>
        <w:rPr>
          <w:rFonts w:ascii="方正兰亭纤黑简体" w:hAnsi="仿宋" w:eastAsia="方正兰亭纤黑简体" w:cs="仿宋"/>
          <w:kern w:val="2"/>
          <w:szCs w:val="24"/>
        </w:rPr>
      </w:pPr>
      <w:r>
        <w:rPr>
          <w:rFonts w:hint="eastAsia" w:ascii="方正兰亭纤黑简体" w:hAnsi="仿宋" w:eastAsia="方正兰亭纤黑简体" w:cs="仿宋"/>
          <w:b/>
          <w:kern w:val="2"/>
          <w:szCs w:val="24"/>
        </w:rPr>
        <w:t>加快推动养老</w:t>
      </w:r>
      <w:r>
        <w:rPr>
          <w:rFonts w:ascii="方正兰亭纤黑简体" w:hAnsi="仿宋" w:eastAsia="方正兰亭纤黑简体" w:cs="仿宋"/>
          <w:b/>
          <w:kern w:val="2"/>
          <w:szCs w:val="24"/>
        </w:rPr>
        <w:t>服务设施均衡布局</w:t>
      </w:r>
      <w:r>
        <w:rPr>
          <w:rFonts w:hint="eastAsia" w:ascii="方正兰亭纤黑简体" w:hAnsi="仿宋" w:eastAsia="方正兰亭纤黑简体" w:cs="仿宋"/>
          <w:b/>
          <w:kern w:val="2"/>
          <w:szCs w:val="24"/>
        </w:rPr>
        <w:t>。</w:t>
      </w:r>
      <w:r>
        <w:rPr>
          <w:rFonts w:ascii="方正兰亭纤黑简体" w:hAnsi="仿宋" w:eastAsia="方正兰亭纤黑简体" w:cs="仿宋"/>
          <w:kern w:val="2"/>
          <w:szCs w:val="24"/>
        </w:rPr>
        <w:t>大力</w:t>
      </w:r>
      <w:r>
        <w:rPr>
          <w:rFonts w:hint="eastAsia" w:ascii="方正兰亭纤黑简体" w:hAnsi="仿宋" w:eastAsia="方正兰亭纤黑简体" w:cs="仿宋"/>
          <w:kern w:val="2"/>
          <w:szCs w:val="24"/>
        </w:rPr>
        <w:t>发展</w:t>
      </w:r>
      <w:r>
        <w:rPr>
          <w:rFonts w:ascii="方正兰亭纤黑简体" w:hAnsi="仿宋" w:eastAsia="方正兰亭纤黑简体" w:cs="仿宋"/>
          <w:kern w:val="2"/>
          <w:szCs w:val="24"/>
        </w:rPr>
        <w:t>家庭养老床位，完善居家养老政策支撑体系，推进居家适老化改造，引导养老服务机构建设、运营家庭养老床位，支持利用社区养老服务设施为家庭养老床位提供</w:t>
      </w:r>
      <w:r>
        <w:rPr>
          <w:rFonts w:hint="eastAsia" w:ascii="方正兰亭纤黑简体" w:hAnsi="仿宋" w:eastAsia="方正兰亭纤黑简体" w:cs="仿宋"/>
          <w:kern w:val="2"/>
          <w:szCs w:val="24"/>
        </w:rPr>
        <w:t>助餐</w:t>
      </w:r>
      <w:r>
        <w:rPr>
          <w:rFonts w:ascii="方正兰亭纤黑简体" w:hAnsi="仿宋" w:eastAsia="方正兰亭纤黑简体" w:cs="仿宋"/>
          <w:kern w:val="2"/>
          <w:szCs w:val="24"/>
        </w:rPr>
        <w:t>、助</w:t>
      </w:r>
      <w:r>
        <w:rPr>
          <w:rFonts w:hint="eastAsia" w:ascii="方正兰亭纤黑简体" w:hAnsi="仿宋" w:eastAsia="方正兰亭纤黑简体" w:cs="仿宋"/>
          <w:kern w:val="2"/>
          <w:szCs w:val="24"/>
        </w:rPr>
        <w:t>浴</w:t>
      </w:r>
      <w:r>
        <w:rPr>
          <w:rFonts w:ascii="方正兰亭纤黑简体" w:hAnsi="仿宋" w:eastAsia="方正兰亭纤黑简体" w:cs="仿宋"/>
          <w:kern w:val="2"/>
          <w:szCs w:val="24"/>
        </w:rPr>
        <w:t>、助医、助急、助洁、康复、寻访关爱等，将专业服务延伸至家庭。加强</w:t>
      </w:r>
      <w:r>
        <w:rPr>
          <w:rFonts w:hint="eastAsia" w:ascii="方正兰亭纤黑简体" w:hAnsi="仿宋" w:eastAsia="方正兰亭纤黑简体" w:cs="仿宋"/>
          <w:kern w:val="2"/>
          <w:szCs w:val="24"/>
        </w:rPr>
        <w:t>社区</w:t>
      </w:r>
      <w:r>
        <w:rPr>
          <w:rFonts w:ascii="方正兰亭纤黑简体" w:hAnsi="仿宋" w:eastAsia="方正兰亭纤黑简体" w:cs="仿宋"/>
          <w:kern w:val="2"/>
          <w:szCs w:val="24"/>
        </w:rPr>
        <w:t>养老服务体系建设，根据老龄人口分布状况，科学布局养老服务设施，加快社会化养老服务中心，日间照料服务中心、托老所等养老服务设施建设</w:t>
      </w:r>
      <w:r>
        <w:rPr>
          <w:rFonts w:hint="eastAsia" w:ascii="方正兰亭纤黑简体" w:hAnsi="仿宋" w:eastAsia="方正兰亭纤黑简体" w:cs="仿宋"/>
          <w:kern w:val="2"/>
          <w:szCs w:val="24"/>
        </w:rPr>
        <w:t>。</w:t>
      </w:r>
      <w:r>
        <w:rPr>
          <w:rFonts w:ascii="方正兰亭纤黑简体" w:hAnsi="仿宋" w:eastAsia="方正兰亭纤黑简体" w:cs="仿宋"/>
          <w:kern w:val="2"/>
          <w:szCs w:val="24"/>
        </w:rPr>
        <w:t>补齐</w:t>
      </w:r>
      <w:r>
        <w:rPr>
          <w:rFonts w:hint="eastAsia" w:ascii="方正兰亭纤黑简体" w:hAnsi="仿宋" w:eastAsia="方正兰亭纤黑简体" w:cs="仿宋"/>
          <w:kern w:val="2"/>
          <w:szCs w:val="24"/>
        </w:rPr>
        <w:t>农村</w:t>
      </w:r>
      <w:r>
        <w:rPr>
          <w:rFonts w:ascii="方正兰亭纤黑简体" w:hAnsi="仿宋" w:eastAsia="方正兰亭纤黑简体" w:cs="仿宋"/>
          <w:kern w:val="2"/>
          <w:szCs w:val="24"/>
        </w:rPr>
        <w:t>养老服务设施短板，</w:t>
      </w:r>
      <w:r>
        <w:rPr>
          <w:rFonts w:hint="eastAsia" w:ascii="方正兰亭纤黑简体" w:hAnsi="仿宋" w:eastAsia="方正兰亭纤黑简体" w:cs="仿宋"/>
          <w:kern w:val="2"/>
          <w:szCs w:val="24"/>
        </w:rPr>
        <w:t>通过</w:t>
      </w:r>
      <w:r>
        <w:rPr>
          <w:rFonts w:ascii="方正兰亭纤黑简体" w:hAnsi="仿宋" w:eastAsia="方正兰亭纤黑简体" w:cs="仿宋"/>
          <w:kern w:val="2"/>
          <w:szCs w:val="24"/>
        </w:rPr>
        <w:t>新建或依托乡镇敬老院等设施，提高失能</w:t>
      </w:r>
      <w:r>
        <w:rPr>
          <w:rFonts w:hint="eastAsia" w:ascii="方正兰亭纤黑简体" w:hAnsi="仿宋" w:eastAsia="方正兰亭纤黑简体" w:cs="仿宋"/>
          <w:kern w:val="2"/>
          <w:szCs w:val="24"/>
        </w:rPr>
        <w:t>特困</w:t>
      </w:r>
      <w:r>
        <w:rPr>
          <w:rFonts w:ascii="方正兰亭纤黑简体" w:hAnsi="仿宋" w:eastAsia="方正兰亭纤黑简体" w:cs="仿宋"/>
          <w:kern w:val="2"/>
          <w:szCs w:val="24"/>
        </w:rPr>
        <w:t>人员集中照护水平，实现农村失能特困人员集中照护“</w:t>
      </w:r>
      <w:r>
        <w:rPr>
          <w:rFonts w:hint="eastAsia" w:ascii="方正兰亭纤黑简体" w:hAnsi="仿宋" w:eastAsia="方正兰亭纤黑简体" w:cs="仿宋"/>
          <w:kern w:val="2"/>
          <w:szCs w:val="24"/>
        </w:rPr>
        <w:t>应</w:t>
      </w:r>
      <w:r>
        <w:rPr>
          <w:rFonts w:ascii="方正兰亭纤黑简体" w:hAnsi="仿宋" w:eastAsia="方正兰亭纤黑简体" w:cs="仿宋"/>
          <w:kern w:val="2"/>
          <w:szCs w:val="24"/>
        </w:rPr>
        <w:t>护尽护”</w:t>
      </w:r>
      <w:r>
        <w:rPr>
          <w:rFonts w:hint="eastAsia" w:ascii="方正兰亭纤黑简体" w:hAnsi="仿宋" w:eastAsia="方正兰亭纤黑简体" w:cs="仿宋"/>
          <w:kern w:val="2"/>
          <w:szCs w:val="24"/>
        </w:rPr>
        <w:t>；</w:t>
      </w:r>
      <w:r>
        <w:rPr>
          <w:rFonts w:ascii="方正兰亭纤黑简体" w:hAnsi="仿宋" w:eastAsia="方正兰亭纤黑简体" w:cs="仿宋"/>
          <w:kern w:val="2"/>
          <w:szCs w:val="24"/>
        </w:rPr>
        <w:t>推进乡镇敬老院</w:t>
      </w:r>
      <w:r>
        <w:rPr>
          <w:rFonts w:hint="eastAsia" w:ascii="方正兰亭纤黑简体" w:hAnsi="仿宋" w:eastAsia="方正兰亭纤黑简体" w:cs="仿宋"/>
          <w:kern w:val="2"/>
          <w:szCs w:val="24"/>
        </w:rPr>
        <w:t>提档升级</w:t>
      </w:r>
      <w:r>
        <w:rPr>
          <w:rFonts w:ascii="方正兰亭纤黑简体" w:hAnsi="仿宋" w:eastAsia="方正兰亭纤黑简体" w:cs="仿宋"/>
          <w:kern w:val="2"/>
          <w:szCs w:val="24"/>
        </w:rPr>
        <w:t>和乡镇养老服务中心全覆盖，实现农村特困人员集中供养“</w:t>
      </w:r>
      <w:r>
        <w:rPr>
          <w:rFonts w:hint="eastAsia" w:ascii="方正兰亭纤黑简体" w:hAnsi="仿宋" w:eastAsia="方正兰亭纤黑简体" w:cs="仿宋"/>
          <w:kern w:val="2"/>
          <w:szCs w:val="24"/>
        </w:rPr>
        <w:t>应养</w:t>
      </w:r>
      <w:r>
        <w:rPr>
          <w:rFonts w:ascii="方正兰亭纤黑简体" w:hAnsi="仿宋" w:eastAsia="方正兰亭纤黑简体" w:cs="仿宋"/>
          <w:kern w:val="2"/>
          <w:szCs w:val="24"/>
        </w:rPr>
        <w:t>尽养”</w:t>
      </w:r>
      <w:r>
        <w:rPr>
          <w:rFonts w:hint="eastAsia" w:ascii="方正兰亭纤黑简体" w:hAnsi="仿宋" w:eastAsia="方正兰亭纤黑简体" w:cs="仿宋"/>
          <w:kern w:val="2"/>
          <w:szCs w:val="24"/>
        </w:rPr>
        <w:t>、</w:t>
      </w:r>
      <w:r>
        <w:rPr>
          <w:rFonts w:ascii="方正兰亭纤黑简体" w:hAnsi="仿宋" w:eastAsia="方正兰亭纤黑简体" w:cs="仿宋"/>
          <w:kern w:val="2"/>
          <w:szCs w:val="24"/>
        </w:rPr>
        <w:t>社会失能老年人“</w:t>
      </w:r>
      <w:r>
        <w:rPr>
          <w:rFonts w:hint="eastAsia" w:ascii="方正兰亭纤黑简体" w:hAnsi="仿宋" w:eastAsia="方正兰亭纤黑简体" w:cs="仿宋"/>
          <w:kern w:val="2"/>
          <w:szCs w:val="24"/>
        </w:rPr>
        <w:t>需</w:t>
      </w:r>
      <w:r>
        <w:rPr>
          <w:rFonts w:ascii="方正兰亭纤黑简体" w:hAnsi="仿宋" w:eastAsia="方正兰亭纤黑简体" w:cs="仿宋"/>
          <w:kern w:val="2"/>
          <w:szCs w:val="24"/>
        </w:rPr>
        <w:t>托尽托”</w:t>
      </w:r>
      <w:r>
        <w:rPr>
          <w:rFonts w:hint="eastAsia" w:ascii="方正兰亭纤黑简体" w:hAnsi="仿宋" w:eastAsia="方正兰亭纤黑简体" w:cs="仿宋"/>
          <w:kern w:val="2"/>
          <w:szCs w:val="24"/>
        </w:rPr>
        <w:t>；</w:t>
      </w:r>
      <w:r>
        <w:rPr>
          <w:rFonts w:ascii="方正兰亭纤黑简体" w:hAnsi="仿宋" w:eastAsia="方正兰亭纤黑简体" w:cs="仿宋"/>
          <w:kern w:val="2"/>
          <w:szCs w:val="24"/>
        </w:rPr>
        <w:t>有序推进村级互助养老点建设，实现农村社会老年人基本养老需求“</w:t>
      </w:r>
      <w:r>
        <w:rPr>
          <w:rFonts w:hint="eastAsia" w:ascii="方正兰亭纤黑简体" w:hAnsi="仿宋" w:eastAsia="方正兰亭纤黑简体" w:cs="仿宋"/>
          <w:kern w:val="2"/>
          <w:szCs w:val="24"/>
        </w:rPr>
        <w:t>有</w:t>
      </w:r>
      <w:r>
        <w:rPr>
          <w:rFonts w:ascii="方正兰亭纤黑简体" w:hAnsi="仿宋" w:eastAsia="方正兰亭纤黑简体" w:cs="仿宋"/>
          <w:kern w:val="2"/>
          <w:szCs w:val="24"/>
        </w:rPr>
        <w:t>需</w:t>
      </w:r>
      <w:r>
        <w:rPr>
          <w:rFonts w:hint="eastAsia" w:ascii="方正兰亭纤黑简体" w:hAnsi="仿宋" w:eastAsia="方正兰亭纤黑简体" w:cs="仿宋"/>
          <w:kern w:val="2"/>
          <w:szCs w:val="24"/>
        </w:rPr>
        <w:t>必应</w:t>
      </w:r>
      <w:r>
        <w:rPr>
          <w:rFonts w:ascii="方正兰亭纤黑简体" w:hAnsi="仿宋" w:eastAsia="方正兰亭纤黑简体" w:cs="仿宋"/>
          <w:kern w:val="2"/>
          <w:szCs w:val="24"/>
        </w:rPr>
        <w:t>”</w:t>
      </w:r>
      <w:r>
        <w:rPr>
          <w:rFonts w:hint="eastAsia" w:ascii="方正兰亭纤黑简体" w:hAnsi="仿宋" w:eastAsia="方正兰亭纤黑简体" w:cs="仿宋"/>
          <w:kern w:val="2"/>
          <w:szCs w:val="24"/>
        </w:rPr>
        <w:t>。</w:t>
      </w:r>
    </w:p>
    <w:p>
      <w:pPr>
        <w:pStyle w:val="40"/>
        <w:rPr>
          <w:rFonts w:ascii="方正兰亭纤黑简体" w:hAnsi="仿宋" w:eastAsia="方正兰亭纤黑简体" w:cs="仿宋"/>
          <w:kern w:val="2"/>
          <w:szCs w:val="24"/>
        </w:rPr>
      </w:pPr>
      <w:r>
        <w:rPr>
          <w:rFonts w:hint="eastAsia" w:ascii="方正兰亭纤黑简体" w:hAnsi="仿宋" w:eastAsia="方正兰亭纤黑简体" w:cs="仿宋"/>
          <w:b/>
          <w:kern w:val="2"/>
          <w:szCs w:val="24"/>
        </w:rPr>
        <w:t>稳步推动养老</w:t>
      </w:r>
      <w:r>
        <w:rPr>
          <w:rFonts w:ascii="方正兰亭纤黑简体" w:hAnsi="仿宋" w:eastAsia="方正兰亭纤黑简体" w:cs="仿宋"/>
          <w:b/>
          <w:kern w:val="2"/>
          <w:szCs w:val="24"/>
        </w:rPr>
        <w:t>服务能力提质扩容。</w:t>
      </w:r>
      <w:r>
        <w:rPr>
          <w:rFonts w:hint="eastAsia" w:ascii="方正兰亭纤黑简体" w:hAnsi="仿宋" w:eastAsia="方正兰亭纤黑简体" w:cs="仿宋"/>
          <w:kern w:val="2"/>
          <w:szCs w:val="24"/>
        </w:rPr>
        <w:t>实施</w:t>
      </w:r>
      <w:r>
        <w:rPr>
          <w:rFonts w:ascii="方正兰亭纤黑简体" w:hAnsi="仿宋" w:eastAsia="方正兰亭纤黑简体" w:cs="仿宋"/>
          <w:kern w:val="2"/>
          <w:szCs w:val="24"/>
        </w:rPr>
        <w:t>适老化改造工程，积极引导城镇老旧小区通过开展场所无障碍改造</w:t>
      </w:r>
      <w:r>
        <w:rPr>
          <w:rFonts w:hint="eastAsia" w:ascii="方正兰亭纤黑简体" w:hAnsi="仿宋" w:eastAsia="方正兰亭纤黑简体" w:cs="仿宋"/>
          <w:kern w:val="2"/>
          <w:szCs w:val="24"/>
        </w:rPr>
        <w:t>、</w:t>
      </w:r>
      <w:r>
        <w:rPr>
          <w:rFonts w:ascii="方正兰亭纤黑简体" w:hAnsi="仿宋" w:eastAsia="方正兰亭纤黑简体" w:cs="仿宋"/>
          <w:kern w:val="2"/>
          <w:szCs w:val="24"/>
        </w:rPr>
        <w:t>消防设施改造、</w:t>
      </w:r>
      <w:r>
        <w:rPr>
          <w:rFonts w:hint="eastAsia" w:ascii="方正兰亭纤黑简体" w:hAnsi="仿宋" w:eastAsia="方正兰亭纤黑简体" w:cs="仿宋"/>
          <w:kern w:val="2"/>
          <w:szCs w:val="24"/>
        </w:rPr>
        <w:t>因地制宜</w:t>
      </w:r>
      <w:r>
        <w:rPr>
          <w:rFonts w:ascii="方正兰亭纤黑简体" w:hAnsi="仿宋" w:eastAsia="方正兰亭纤黑简体" w:cs="仿宋"/>
          <w:kern w:val="2"/>
          <w:szCs w:val="24"/>
        </w:rPr>
        <w:t>增加活动场地设施、有条件的加装电梯等措施，提升</w:t>
      </w:r>
      <w:r>
        <w:rPr>
          <w:rFonts w:hint="eastAsia" w:ascii="方正兰亭纤黑简体" w:hAnsi="仿宋" w:eastAsia="方正兰亭纤黑简体" w:cs="仿宋"/>
          <w:kern w:val="2"/>
          <w:szCs w:val="24"/>
        </w:rPr>
        <w:t>社区</w:t>
      </w:r>
      <w:r>
        <w:rPr>
          <w:rFonts w:ascii="方正兰亭纤黑简体" w:hAnsi="仿宋" w:eastAsia="方正兰亭纤黑简体" w:cs="仿宋"/>
          <w:kern w:val="2"/>
          <w:szCs w:val="24"/>
        </w:rPr>
        <w:t>适老化水平，为老年人提供安全、</w:t>
      </w:r>
      <w:r>
        <w:rPr>
          <w:rFonts w:hint="eastAsia" w:ascii="方正兰亭纤黑简体" w:hAnsi="仿宋" w:eastAsia="方正兰亭纤黑简体" w:cs="仿宋"/>
          <w:kern w:val="2"/>
          <w:szCs w:val="24"/>
        </w:rPr>
        <w:t>舒适</w:t>
      </w:r>
      <w:r>
        <w:rPr>
          <w:rFonts w:ascii="方正兰亭纤黑简体" w:hAnsi="仿宋" w:eastAsia="方正兰亭纤黑简体" w:cs="仿宋"/>
          <w:kern w:val="2"/>
          <w:szCs w:val="24"/>
        </w:rPr>
        <w:t>、便利的社区</w:t>
      </w:r>
      <w:r>
        <w:rPr>
          <w:rFonts w:hint="eastAsia" w:ascii="方正兰亭纤黑简体" w:hAnsi="仿宋" w:eastAsia="方正兰亭纤黑简体" w:cs="仿宋"/>
          <w:kern w:val="2"/>
          <w:szCs w:val="24"/>
        </w:rPr>
        <w:t>环境</w:t>
      </w:r>
      <w:r>
        <w:rPr>
          <w:rFonts w:ascii="方正兰亭纤黑简体" w:hAnsi="仿宋" w:eastAsia="方正兰亭纤黑简体" w:cs="仿宋"/>
          <w:kern w:val="2"/>
          <w:szCs w:val="24"/>
        </w:rPr>
        <w:t>。支持</w:t>
      </w:r>
      <w:r>
        <w:rPr>
          <w:rFonts w:hint="eastAsia" w:ascii="方正兰亭纤黑简体" w:hAnsi="仿宋" w:eastAsia="方正兰亭纤黑简体" w:cs="仿宋"/>
          <w:kern w:val="2"/>
          <w:szCs w:val="24"/>
        </w:rPr>
        <w:t>利用</w:t>
      </w:r>
      <w:r>
        <w:rPr>
          <w:rFonts w:ascii="方正兰亭纤黑简体" w:hAnsi="仿宋" w:eastAsia="方正兰亭纤黑简体" w:cs="仿宋"/>
          <w:kern w:val="2"/>
          <w:szCs w:val="24"/>
        </w:rPr>
        <w:t>社区养老服务设施提供</w:t>
      </w:r>
      <w:r>
        <w:rPr>
          <w:rFonts w:hint="eastAsia" w:ascii="方正兰亭纤黑简体" w:hAnsi="仿宋" w:eastAsia="方正兰亭纤黑简体" w:cs="仿宋"/>
          <w:kern w:val="2"/>
          <w:szCs w:val="24"/>
        </w:rPr>
        <w:t>助餐</w:t>
      </w:r>
      <w:r>
        <w:rPr>
          <w:rFonts w:ascii="方正兰亭纤黑简体" w:hAnsi="仿宋" w:eastAsia="方正兰亭纤黑简体" w:cs="仿宋"/>
          <w:kern w:val="2"/>
          <w:szCs w:val="24"/>
        </w:rPr>
        <w:t>、助</w:t>
      </w:r>
      <w:r>
        <w:rPr>
          <w:rFonts w:hint="eastAsia" w:ascii="方正兰亭纤黑简体" w:hAnsi="仿宋" w:eastAsia="方正兰亭纤黑简体" w:cs="仿宋"/>
          <w:kern w:val="2"/>
          <w:szCs w:val="24"/>
        </w:rPr>
        <w:t>浴</w:t>
      </w:r>
      <w:r>
        <w:rPr>
          <w:rFonts w:ascii="方正兰亭纤黑简体" w:hAnsi="仿宋" w:eastAsia="方正兰亭纤黑简体" w:cs="仿宋"/>
          <w:kern w:val="2"/>
          <w:szCs w:val="24"/>
        </w:rPr>
        <w:t>、助医、助急、助洁、康复、寻访关爱等</w:t>
      </w:r>
      <w:r>
        <w:rPr>
          <w:rFonts w:hint="eastAsia" w:ascii="方正兰亭纤黑简体" w:hAnsi="仿宋" w:eastAsia="方正兰亭纤黑简体" w:cs="仿宋"/>
          <w:kern w:val="2"/>
          <w:szCs w:val="24"/>
        </w:rPr>
        <w:t>服务</w:t>
      </w:r>
      <w:r>
        <w:rPr>
          <w:rFonts w:ascii="方正兰亭纤黑简体" w:hAnsi="仿宋" w:eastAsia="方正兰亭纤黑简体" w:cs="仿宋"/>
          <w:kern w:val="2"/>
          <w:szCs w:val="24"/>
        </w:rPr>
        <w:t>，具备条件的重点开展失能</w:t>
      </w:r>
      <w:r>
        <w:rPr>
          <w:rFonts w:hint="eastAsia" w:ascii="方正兰亭纤黑简体" w:hAnsi="仿宋" w:eastAsia="方正兰亭纤黑简体" w:cs="仿宋"/>
          <w:kern w:val="2"/>
          <w:szCs w:val="24"/>
        </w:rPr>
        <w:t>老年人</w:t>
      </w:r>
      <w:r>
        <w:rPr>
          <w:rFonts w:ascii="方正兰亭纤黑简体" w:hAnsi="仿宋" w:eastAsia="方正兰亭纤黑简体" w:cs="仿宋"/>
          <w:kern w:val="2"/>
          <w:szCs w:val="24"/>
        </w:rPr>
        <w:t>全托服务。推进</w:t>
      </w:r>
      <w:r>
        <w:rPr>
          <w:rFonts w:hint="eastAsia" w:ascii="方正兰亭纤黑简体" w:hAnsi="仿宋" w:eastAsia="方正兰亭纤黑简体" w:cs="仿宋"/>
          <w:kern w:val="2"/>
          <w:szCs w:val="24"/>
        </w:rPr>
        <w:t>社区</w:t>
      </w:r>
      <w:r>
        <w:rPr>
          <w:rFonts w:ascii="方正兰亭纤黑简体" w:hAnsi="仿宋" w:eastAsia="方正兰亭纤黑简体" w:cs="仿宋"/>
          <w:kern w:val="2"/>
          <w:szCs w:val="24"/>
        </w:rPr>
        <w:t>居家和机构养老服务融合发展</w:t>
      </w:r>
      <w:r>
        <w:rPr>
          <w:rFonts w:hint="eastAsia" w:ascii="方正兰亭纤黑简体" w:hAnsi="仿宋" w:eastAsia="方正兰亭纤黑简体" w:cs="仿宋"/>
          <w:kern w:val="2"/>
          <w:szCs w:val="24"/>
        </w:rPr>
        <w:t>，</w:t>
      </w:r>
      <w:r>
        <w:rPr>
          <w:rFonts w:ascii="方正兰亭纤黑简体" w:hAnsi="仿宋" w:eastAsia="方正兰亭纤黑简体" w:cs="仿宋"/>
          <w:kern w:val="2"/>
          <w:szCs w:val="24"/>
        </w:rPr>
        <w:t>共同</w:t>
      </w:r>
      <w:r>
        <w:rPr>
          <w:rFonts w:hint="eastAsia" w:ascii="方正兰亭纤黑简体" w:hAnsi="仿宋" w:eastAsia="方正兰亭纤黑简体" w:cs="仿宋"/>
          <w:kern w:val="2"/>
          <w:szCs w:val="24"/>
        </w:rPr>
        <w:t>构建</w:t>
      </w:r>
      <w:r>
        <w:rPr>
          <w:rFonts w:ascii="方正兰亭纤黑简体" w:hAnsi="仿宋" w:eastAsia="方正兰亭纤黑简体" w:cs="仿宋"/>
          <w:kern w:val="2"/>
          <w:szCs w:val="24"/>
        </w:rPr>
        <w:t>定位精准、功能互补的居家社区养老服务</w:t>
      </w:r>
      <w:r>
        <w:rPr>
          <w:rFonts w:hint="eastAsia" w:ascii="方正兰亭纤黑简体" w:hAnsi="仿宋" w:eastAsia="方正兰亭纤黑简体" w:cs="仿宋"/>
          <w:kern w:val="2"/>
          <w:szCs w:val="24"/>
        </w:rPr>
        <w:t>网络</w:t>
      </w:r>
      <w:r>
        <w:rPr>
          <w:rFonts w:ascii="方正兰亭纤黑简体" w:hAnsi="仿宋" w:eastAsia="方正兰亭纤黑简体" w:cs="仿宋"/>
          <w:kern w:val="2"/>
          <w:szCs w:val="24"/>
        </w:rPr>
        <w:t>，建</w:t>
      </w:r>
      <w:r>
        <w:rPr>
          <w:rFonts w:hint="eastAsia" w:ascii="方正兰亭纤黑简体" w:hAnsi="仿宋" w:eastAsia="方正兰亭纤黑简体" w:cs="仿宋"/>
          <w:kern w:val="2"/>
          <w:szCs w:val="24"/>
        </w:rPr>
        <w:t>成</w:t>
      </w:r>
      <w:r>
        <w:rPr>
          <w:rFonts w:ascii="方正兰亭纤黑简体" w:hAnsi="仿宋" w:eastAsia="方正兰亭纤黑简体" w:cs="仿宋"/>
          <w:kern w:val="2"/>
          <w:szCs w:val="24"/>
        </w:rPr>
        <w:t>“</w:t>
      </w:r>
      <w:r>
        <w:rPr>
          <w:rFonts w:hint="eastAsia" w:ascii="方正兰亭纤黑简体" w:hAnsi="仿宋" w:eastAsia="方正兰亭纤黑简体" w:cs="仿宋"/>
          <w:kern w:val="2"/>
          <w:szCs w:val="24"/>
        </w:rPr>
        <w:t>一刻钟</w:t>
      </w:r>
      <w:r>
        <w:rPr>
          <w:rFonts w:ascii="方正兰亭纤黑简体" w:hAnsi="仿宋" w:eastAsia="方正兰亭纤黑简体" w:cs="仿宋"/>
          <w:kern w:val="2"/>
          <w:szCs w:val="24"/>
        </w:rPr>
        <w:t>”</w:t>
      </w:r>
      <w:r>
        <w:rPr>
          <w:rFonts w:hint="eastAsia" w:ascii="方正兰亭纤黑简体" w:hAnsi="仿宋" w:eastAsia="方正兰亭纤黑简体" w:cs="仿宋"/>
          <w:kern w:val="2"/>
          <w:szCs w:val="24"/>
        </w:rPr>
        <w:t>养老</w:t>
      </w:r>
      <w:r>
        <w:rPr>
          <w:rFonts w:ascii="方正兰亭纤黑简体" w:hAnsi="仿宋" w:eastAsia="方正兰亭纤黑简体" w:cs="仿宋"/>
          <w:kern w:val="2"/>
          <w:szCs w:val="24"/>
        </w:rPr>
        <w:t>服务圈。</w:t>
      </w:r>
    </w:p>
    <w:p>
      <w:pPr>
        <w:pStyle w:val="40"/>
        <w:rPr>
          <w:rFonts w:ascii="方正兰亭纤黑简体" w:hAnsi="仿宋" w:eastAsia="方正兰亭纤黑简体" w:cs="仿宋"/>
          <w:kern w:val="2"/>
          <w:szCs w:val="24"/>
        </w:rPr>
      </w:pPr>
      <w:r>
        <w:rPr>
          <w:rFonts w:hint="eastAsia" w:ascii="方正兰亭纤黑简体" w:hAnsi="仿宋" w:eastAsia="方正兰亭纤黑简体" w:cs="仿宋"/>
          <w:b/>
          <w:kern w:val="2"/>
          <w:szCs w:val="24"/>
        </w:rPr>
        <w:t>深化促进</w:t>
      </w:r>
      <w:r>
        <w:rPr>
          <w:rFonts w:ascii="方正兰亭纤黑简体" w:hAnsi="仿宋" w:eastAsia="方正兰亭纤黑简体" w:cs="仿宋"/>
          <w:b/>
          <w:kern w:val="2"/>
          <w:szCs w:val="24"/>
        </w:rPr>
        <w:t>医养康养</w:t>
      </w:r>
      <w:r>
        <w:rPr>
          <w:rFonts w:hint="eastAsia" w:ascii="方正兰亭纤黑简体" w:hAnsi="仿宋" w:eastAsia="方正兰亭纤黑简体" w:cs="仿宋"/>
          <w:b/>
          <w:kern w:val="2"/>
          <w:szCs w:val="24"/>
        </w:rPr>
        <w:t>服务</w:t>
      </w:r>
      <w:r>
        <w:rPr>
          <w:rFonts w:ascii="方正兰亭纤黑简体" w:hAnsi="仿宋" w:eastAsia="方正兰亭纤黑简体" w:cs="仿宋"/>
          <w:b/>
          <w:kern w:val="2"/>
          <w:szCs w:val="24"/>
        </w:rPr>
        <w:t>有机融合</w:t>
      </w:r>
      <w:r>
        <w:rPr>
          <w:rFonts w:hint="eastAsia" w:ascii="方正兰亭纤黑简体" w:hAnsi="仿宋" w:eastAsia="方正兰亭纤黑简体" w:cs="仿宋"/>
          <w:b/>
          <w:kern w:val="2"/>
          <w:szCs w:val="24"/>
        </w:rPr>
        <w:t>。</w:t>
      </w:r>
      <w:r>
        <w:rPr>
          <w:rFonts w:hint="eastAsia" w:ascii="方正兰亭纤黑简体" w:hAnsi="仿宋" w:eastAsia="方正兰亭纤黑简体" w:cs="仿宋"/>
          <w:kern w:val="2"/>
          <w:szCs w:val="24"/>
        </w:rPr>
        <w:t>支持</w:t>
      </w:r>
      <w:r>
        <w:rPr>
          <w:rFonts w:ascii="方正兰亭纤黑简体" w:hAnsi="仿宋" w:eastAsia="方正兰亭纤黑简体" w:cs="仿宋"/>
          <w:kern w:val="2"/>
          <w:szCs w:val="24"/>
        </w:rPr>
        <w:t>新建社区养老服务设施与社区卫生服务机构统筹规划、毗邻建设</w:t>
      </w:r>
      <w:r>
        <w:rPr>
          <w:rFonts w:hint="eastAsia" w:ascii="方正兰亭纤黑简体" w:hAnsi="仿宋" w:eastAsia="方正兰亭纤黑简体" w:cs="仿宋"/>
          <w:kern w:val="2"/>
          <w:szCs w:val="24"/>
        </w:rPr>
        <w:t>，</w:t>
      </w:r>
      <w:r>
        <w:rPr>
          <w:rFonts w:ascii="方正兰亭纤黑简体" w:hAnsi="仿宋" w:eastAsia="方正兰亭纤黑简体" w:cs="仿宋"/>
          <w:kern w:val="2"/>
          <w:szCs w:val="24"/>
        </w:rPr>
        <w:t>推动</w:t>
      </w:r>
      <w:r>
        <w:rPr>
          <w:rFonts w:hint="eastAsia" w:ascii="方正兰亭纤黑简体" w:hAnsi="仿宋" w:eastAsia="方正兰亭纤黑简体" w:cs="仿宋"/>
          <w:kern w:val="2"/>
          <w:szCs w:val="24"/>
        </w:rPr>
        <w:t>一批基层</w:t>
      </w:r>
      <w:r>
        <w:rPr>
          <w:rFonts w:ascii="方正兰亭纤黑简体" w:hAnsi="仿宋" w:eastAsia="方正兰亭纤黑简体" w:cs="仿宋"/>
          <w:kern w:val="2"/>
          <w:szCs w:val="24"/>
        </w:rPr>
        <w:t>医疗卫生机构改扩建为医养结合服务设施。聚焦</w:t>
      </w:r>
      <w:r>
        <w:rPr>
          <w:rFonts w:hint="eastAsia" w:ascii="方正兰亭纤黑简体" w:hAnsi="仿宋" w:eastAsia="方正兰亭纤黑简体" w:cs="仿宋"/>
          <w:kern w:val="2"/>
          <w:szCs w:val="24"/>
        </w:rPr>
        <w:t>失能</w:t>
      </w:r>
      <w:r>
        <w:rPr>
          <w:rFonts w:ascii="方正兰亭纤黑简体" w:hAnsi="仿宋" w:eastAsia="方正兰亭纤黑简体" w:cs="仿宋"/>
          <w:kern w:val="2"/>
          <w:szCs w:val="24"/>
        </w:rPr>
        <w:t>、半失能、失</w:t>
      </w:r>
      <w:r>
        <w:rPr>
          <w:rFonts w:hint="eastAsia" w:ascii="方正兰亭纤黑简体" w:hAnsi="仿宋" w:eastAsia="方正兰亭纤黑简体" w:cs="仿宋"/>
          <w:kern w:val="2"/>
          <w:szCs w:val="24"/>
        </w:rPr>
        <w:t>智、</w:t>
      </w:r>
      <w:r>
        <w:rPr>
          <w:rFonts w:ascii="方正兰亭纤黑简体" w:hAnsi="仿宋" w:eastAsia="方正兰亭纤黑简体" w:cs="仿宋"/>
          <w:kern w:val="2"/>
          <w:szCs w:val="24"/>
        </w:rPr>
        <w:t>高龄等老人需求，</w:t>
      </w:r>
      <w:r>
        <w:rPr>
          <w:rFonts w:hint="eastAsia" w:ascii="方正兰亭纤黑简体" w:hAnsi="仿宋" w:eastAsia="方正兰亭纤黑简体" w:cs="仿宋"/>
          <w:kern w:val="2"/>
          <w:szCs w:val="24"/>
        </w:rPr>
        <w:t>支持</w:t>
      </w:r>
      <w:r>
        <w:rPr>
          <w:rFonts w:ascii="方正兰亭纤黑简体" w:hAnsi="仿宋" w:eastAsia="方正兰亭纤黑简体" w:cs="仿宋"/>
          <w:kern w:val="2"/>
          <w:szCs w:val="24"/>
        </w:rPr>
        <w:t>有条件的养老机构按相关</w:t>
      </w:r>
      <w:r>
        <w:rPr>
          <w:rFonts w:hint="eastAsia" w:ascii="方正兰亭纤黑简体" w:hAnsi="仿宋" w:eastAsia="方正兰亭纤黑简体" w:cs="仿宋"/>
          <w:kern w:val="2"/>
          <w:szCs w:val="24"/>
        </w:rPr>
        <w:t>规定</w:t>
      </w:r>
      <w:r>
        <w:rPr>
          <w:rFonts w:ascii="方正兰亭纤黑简体" w:hAnsi="仿宋" w:eastAsia="方正兰亭纤黑简体" w:cs="仿宋"/>
          <w:kern w:val="2"/>
          <w:szCs w:val="24"/>
        </w:rPr>
        <w:t>申请开</w:t>
      </w:r>
      <w:r>
        <w:rPr>
          <w:rFonts w:hint="eastAsia" w:ascii="方正兰亭纤黑简体" w:hAnsi="仿宋" w:eastAsia="方正兰亭纤黑简体" w:cs="仿宋"/>
          <w:kern w:val="2"/>
          <w:szCs w:val="24"/>
        </w:rPr>
        <w:t>办</w:t>
      </w:r>
      <w:r>
        <w:rPr>
          <w:rFonts w:ascii="方正兰亭纤黑简体" w:hAnsi="仿宋" w:eastAsia="方正兰亭纤黑简体" w:cs="仿宋"/>
          <w:kern w:val="2"/>
          <w:szCs w:val="24"/>
        </w:rPr>
        <w:t>康复</w:t>
      </w:r>
      <w:r>
        <w:rPr>
          <w:rFonts w:hint="eastAsia" w:ascii="方正兰亭纤黑简体" w:hAnsi="仿宋" w:eastAsia="方正兰亭纤黑简体" w:cs="仿宋"/>
          <w:kern w:val="2"/>
          <w:szCs w:val="24"/>
        </w:rPr>
        <w:t>医院</w:t>
      </w:r>
      <w:r>
        <w:rPr>
          <w:rFonts w:ascii="方正兰亭纤黑简体" w:hAnsi="仿宋" w:eastAsia="方正兰亭纤黑简体" w:cs="仿宋"/>
          <w:kern w:val="2"/>
          <w:szCs w:val="24"/>
        </w:rPr>
        <w:t>、护理</w:t>
      </w:r>
      <w:r>
        <w:rPr>
          <w:rFonts w:hint="eastAsia" w:ascii="方正兰亭纤黑简体" w:hAnsi="仿宋" w:eastAsia="方正兰亭纤黑简体" w:cs="仿宋"/>
          <w:kern w:val="2"/>
          <w:szCs w:val="24"/>
        </w:rPr>
        <w:t>院</w:t>
      </w:r>
      <w:r>
        <w:rPr>
          <w:rFonts w:ascii="方正兰亭纤黑简体" w:hAnsi="仿宋" w:eastAsia="方正兰亭纤黑简体" w:cs="仿宋"/>
          <w:kern w:val="2"/>
          <w:szCs w:val="24"/>
        </w:rPr>
        <w:t>、安宁疗</w:t>
      </w:r>
      <w:r>
        <w:rPr>
          <w:rFonts w:hint="eastAsia" w:ascii="方正兰亭纤黑简体" w:hAnsi="仿宋" w:eastAsia="方正兰亭纤黑简体" w:cs="仿宋"/>
          <w:kern w:val="2"/>
          <w:szCs w:val="24"/>
        </w:rPr>
        <w:t>护</w:t>
      </w:r>
      <w:r>
        <w:rPr>
          <w:rFonts w:ascii="方正兰亭纤黑简体" w:hAnsi="仿宋" w:eastAsia="方正兰亭纤黑简体" w:cs="仿宋"/>
          <w:kern w:val="2"/>
          <w:szCs w:val="24"/>
        </w:rPr>
        <w:t>等机构，积极开展家庭病床服务。</w:t>
      </w:r>
      <w:r>
        <w:rPr>
          <w:rFonts w:hint="eastAsia" w:ascii="方正兰亭纤黑简体" w:hAnsi="仿宋" w:eastAsia="方正兰亭纤黑简体" w:cs="仿宋"/>
          <w:kern w:val="2"/>
          <w:szCs w:val="24"/>
        </w:rPr>
        <w:t>鼓励</w:t>
      </w:r>
      <w:r>
        <w:rPr>
          <w:rFonts w:ascii="方正兰亭纤黑简体" w:hAnsi="仿宋" w:eastAsia="方正兰亭纤黑简体" w:cs="仿宋"/>
          <w:kern w:val="2"/>
          <w:szCs w:val="24"/>
        </w:rPr>
        <w:t>采用政府</w:t>
      </w:r>
      <w:r>
        <w:rPr>
          <w:rFonts w:hint="eastAsia" w:ascii="方正兰亭纤黑简体" w:hAnsi="仿宋" w:eastAsia="方正兰亭纤黑简体" w:cs="仿宋"/>
          <w:kern w:val="2"/>
          <w:szCs w:val="24"/>
        </w:rPr>
        <w:t>和</w:t>
      </w:r>
      <w:r>
        <w:rPr>
          <w:rFonts w:ascii="方正兰亭纤黑简体" w:hAnsi="仿宋" w:eastAsia="方正兰亭纤黑简体" w:cs="仿宋"/>
          <w:kern w:val="2"/>
          <w:szCs w:val="24"/>
        </w:rPr>
        <w:t>社会资本合作，为老年人提供多层次、多样化医养结合服务。开展</w:t>
      </w:r>
      <w:r>
        <w:rPr>
          <w:rFonts w:hint="eastAsia" w:ascii="方正兰亭纤黑简体" w:hAnsi="仿宋" w:eastAsia="方正兰亭纤黑简体" w:cs="仿宋"/>
          <w:kern w:val="2"/>
          <w:szCs w:val="24"/>
        </w:rPr>
        <w:t>医养</w:t>
      </w:r>
      <w:r>
        <w:rPr>
          <w:rFonts w:ascii="方正兰亭纤黑简体" w:hAnsi="仿宋" w:eastAsia="方正兰亭纤黑简体" w:cs="仿宋"/>
          <w:kern w:val="2"/>
          <w:szCs w:val="24"/>
        </w:rPr>
        <w:t>结合试点合作示范，</w:t>
      </w:r>
      <w:r>
        <w:rPr>
          <w:rFonts w:hint="eastAsia" w:ascii="方正兰亭纤黑简体" w:hAnsi="仿宋" w:eastAsia="方正兰亭纤黑简体" w:cs="仿宋"/>
          <w:kern w:val="2"/>
          <w:szCs w:val="24"/>
        </w:rPr>
        <w:t>鼓励</w:t>
      </w:r>
      <w:r>
        <w:rPr>
          <w:rFonts w:ascii="方正兰亭纤黑简体" w:hAnsi="仿宋" w:eastAsia="方正兰亭纤黑简体" w:cs="仿宋"/>
          <w:kern w:val="2"/>
          <w:szCs w:val="24"/>
        </w:rPr>
        <w:t>社会力量举办医养结合机构，</w:t>
      </w:r>
      <w:r>
        <w:rPr>
          <w:rFonts w:hint="eastAsia" w:ascii="方正兰亭纤黑简体" w:hAnsi="仿宋" w:eastAsia="方正兰亭纤黑简体" w:cs="仿宋"/>
          <w:kern w:val="2"/>
          <w:szCs w:val="24"/>
        </w:rPr>
        <w:t>全面</w:t>
      </w:r>
      <w:r>
        <w:rPr>
          <w:rFonts w:ascii="方正兰亭纤黑简体" w:hAnsi="仿宋" w:eastAsia="方正兰亭纤黑简体" w:cs="仿宋"/>
          <w:kern w:val="2"/>
          <w:szCs w:val="24"/>
        </w:rPr>
        <w:t>促进医养融合发展。</w:t>
      </w:r>
    </w:p>
    <w:p>
      <w:pPr>
        <w:pStyle w:val="40"/>
        <w:rPr>
          <w:rFonts w:ascii="方正兰亭纤黑简体" w:hAnsi="仿宋" w:eastAsia="方正兰亭纤黑简体" w:cs="仿宋"/>
        </w:rPr>
      </w:pPr>
      <w:r>
        <w:rPr>
          <w:rFonts w:hint="eastAsia" w:ascii="方正兰亭纤黑简体" w:hAnsi="仿宋" w:eastAsia="方正兰亭纤黑简体" w:cs="仿宋"/>
          <w:b/>
        </w:rPr>
        <w:t>积极扩大</w:t>
      </w:r>
      <w:r>
        <w:rPr>
          <w:rFonts w:ascii="方正兰亭纤黑简体" w:hAnsi="仿宋" w:eastAsia="方正兰亭纤黑简体" w:cs="仿宋"/>
          <w:b/>
        </w:rPr>
        <w:t>老年人社会参与</w:t>
      </w:r>
      <w:r>
        <w:rPr>
          <w:rFonts w:hint="eastAsia" w:ascii="方正兰亭纤黑简体" w:hAnsi="仿宋" w:eastAsia="方正兰亭纤黑简体" w:cs="仿宋"/>
          <w:b/>
        </w:rPr>
        <w:t>程度。</w:t>
      </w:r>
      <w:r>
        <w:rPr>
          <w:rFonts w:hint="eastAsia" w:ascii="方正兰亭纤黑简体" w:hAnsi="仿宋" w:eastAsia="方正兰亭纤黑简体" w:cs="仿宋"/>
        </w:rPr>
        <w:t>完善</w:t>
      </w:r>
      <w:r>
        <w:rPr>
          <w:rFonts w:ascii="方正兰亭纤黑简体" w:hAnsi="仿宋" w:eastAsia="方正兰亭纤黑简体" w:cs="仿宋"/>
        </w:rPr>
        <w:t>老年教育体系，整合各类教育资源，</w:t>
      </w:r>
      <w:r>
        <w:rPr>
          <w:rFonts w:hint="eastAsia" w:ascii="方正兰亭纤黑简体" w:hAnsi="仿宋" w:eastAsia="方正兰亭纤黑简体" w:cs="仿宋"/>
        </w:rPr>
        <w:t>建立</w:t>
      </w:r>
      <w:r>
        <w:rPr>
          <w:rFonts w:ascii="方正兰亭纤黑简体" w:hAnsi="仿宋" w:eastAsia="方正兰亭纤黑简体" w:cs="仿宋"/>
        </w:rPr>
        <w:t>区老年大学-</w:t>
      </w:r>
      <w:r>
        <w:rPr>
          <w:rFonts w:hint="eastAsia" w:ascii="方正兰亭纤黑简体" w:hAnsi="仿宋" w:eastAsia="方正兰亭纤黑简体" w:cs="仿宋"/>
        </w:rPr>
        <w:t>乡镇</w:t>
      </w:r>
      <w:r>
        <w:rPr>
          <w:rFonts w:ascii="方正兰亭纤黑简体" w:hAnsi="仿宋" w:eastAsia="方正兰亭纤黑简体" w:cs="仿宋"/>
        </w:rPr>
        <w:t>（</w:t>
      </w:r>
      <w:r>
        <w:rPr>
          <w:rFonts w:hint="eastAsia" w:ascii="方正兰亭纤黑简体" w:hAnsi="仿宋" w:eastAsia="方正兰亭纤黑简体" w:cs="仿宋"/>
        </w:rPr>
        <w:t>街道</w:t>
      </w:r>
      <w:r>
        <w:rPr>
          <w:rFonts w:ascii="方正兰亭纤黑简体" w:hAnsi="仿宋" w:eastAsia="方正兰亭纤黑简体" w:cs="仿宋"/>
        </w:rPr>
        <w:t>）</w:t>
      </w:r>
      <w:r>
        <w:rPr>
          <w:rFonts w:hint="eastAsia" w:ascii="方正兰亭纤黑简体" w:hAnsi="仿宋" w:eastAsia="方正兰亭纤黑简体" w:cs="仿宋"/>
        </w:rPr>
        <w:t>老年</w:t>
      </w:r>
      <w:r>
        <w:rPr>
          <w:rFonts w:ascii="方正兰亭纤黑简体" w:hAnsi="仿宋" w:eastAsia="方正兰亭纤黑简体" w:cs="仿宋"/>
        </w:rPr>
        <w:t>学校-村（</w:t>
      </w:r>
      <w:r>
        <w:rPr>
          <w:rFonts w:hint="eastAsia" w:ascii="方正兰亭纤黑简体" w:hAnsi="仿宋" w:eastAsia="方正兰亭纤黑简体" w:cs="仿宋"/>
        </w:rPr>
        <w:t>居委会</w:t>
      </w:r>
      <w:r>
        <w:rPr>
          <w:rFonts w:ascii="方正兰亭纤黑简体" w:hAnsi="仿宋" w:eastAsia="方正兰亭纤黑简体" w:cs="仿宋"/>
        </w:rPr>
        <w:t>）</w:t>
      </w:r>
      <w:r>
        <w:rPr>
          <w:rFonts w:hint="eastAsia" w:ascii="方正兰亭纤黑简体" w:hAnsi="仿宋" w:eastAsia="方正兰亭纤黑简体" w:cs="仿宋"/>
        </w:rPr>
        <w:t>老年</w:t>
      </w:r>
      <w:r>
        <w:rPr>
          <w:rFonts w:ascii="方正兰亭纤黑简体" w:hAnsi="仿宋" w:eastAsia="方正兰亭纤黑简体" w:cs="仿宋"/>
        </w:rPr>
        <w:t>学习点三级</w:t>
      </w:r>
      <w:r>
        <w:rPr>
          <w:rFonts w:hint="eastAsia" w:ascii="方正兰亭纤黑简体" w:hAnsi="仿宋" w:eastAsia="方正兰亭纤黑简体" w:cs="仿宋"/>
        </w:rPr>
        <w:t>老年</w:t>
      </w:r>
      <w:r>
        <w:rPr>
          <w:rFonts w:ascii="方正兰亭纤黑简体" w:hAnsi="仿宋" w:eastAsia="方正兰亭纤黑简体" w:cs="仿宋"/>
        </w:rPr>
        <w:t>大学教育体系。</w:t>
      </w:r>
      <w:r>
        <w:rPr>
          <w:rFonts w:hint="eastAsia" w:ascii="方正兰亭纤黑简体" w:hAnsi="仿宋" w:eastAsia="方正兰亭纤黑简体" w:cs="仿宋"/>
        </w:rPr>
        <w:t>扩大老年</w:t>
      </w:r>
      <w:r>
        <w:rPr>
          <w:rFonts w:ascii="方正兰亭纤黑简体" w:hAnsi="仿宋" w:eastAsia="方正兰亭纤黑简体" w:cs="仿宋"/>
        </w:rPr>
        <w:t>教育资源</w:t>
      </w:r>
      <w:r>
        <w:rPr>
          <w:rFonts w:hint="eastAsia" w:ascii="方正兰亭纤黑简体" w:hAnsi="仿宋" w:eastAsia="方正兰亭纤黑简体" w:cs="仿宋"/>
        </w:rPr>
        <w:t>供给</w:t>
      </w:r>
      <w:r>
        <w:rPr>
          <w:rFonts w:ascii="方正兰亭纤黑简体" w:hAnsi="仿宋" w:eastAsia="方正兰亭纤黑简体" w:cs="仿宋"/>
        </w:rPr>
        <w:t>，加快搭建综合老年大学信息服务平台，把老年大学的课程开发</w:t>
      </w:r>
      <w:r>
        <w:rPr>
          <w:rFonts w:hint="eastAsia" w:ascii="方正兰亭纤黑简体" w:hAnsi="仿宋" w:eastAsia="方正兰亭纤黑简体" w:cs="仿宋"/>
        </w:rPr>
        <w:t>成</w:t>
      </w:r>
      <w:r>
        <w:rPr>
          <w:rFonts w:ascii="方正兰亭纤黑简体" w:hAnsi="仿宋" w:eastAsia="方正兰亭纤黑简体" w:cs="仿宋"/>
        </w:rPr>
        <w:t>网上教学，培育一批老年大学数字化精品课程，满足</w:t>
      </w:r>
      <w:r>
        <w:rPr>
          <w:rFonts w:hint="eastAsia" w:ascii="方正兰亭纤黑简体" w:hAnsi="仿宋" w:eastAsia="方正兰亭纤黑简体" w:cs="仿宋"/>
        </w:rPr>
        <w:t>老年人</w:t>
      </w:r>
      <w:r>
        <w:rPr>
          <w:rFonts w:ascii="方正兰亭纤黑简体" w:hAnsi="仿宋" w:eastAsia="方正兰亭纤黑简体" w:cs="仿宋"/>
        </w:rPr>
        <w:t>的</w:t>
      </w:r>
      <w:r>
        <w:rPr>
          <w:rFonts w:hint="eastAsia" w:ascii="方正兰亭纤黑简体" w:hAnsi="仿宋" w:eastAsia="方正兰亭纤黑简体" w:cs="仿宋"/>
        </w:rPr>
        <w:t>“</w:t>
      </w:r>
      <w:r>
        <w:rPr>
          <w:rFonts w:ascii="方正兰亭纤黑简体" w:hAnsi="仿宋" w:eastAsia="方正兰亭纤黑简体" w:cs="仿宋"/>
        </w:rPr>
        <w:t>线上</w:t>
      </w:r>
      <w:r>
        <w:rPr>
          <w:rFonts w:hint="eastAsia" w:ascii="方正兰亭纤黑简体" w:hAnsi="仿宋" w:eastAsia="方正兰亭纤黑简体" w:cs="仿宋"/>
        </w:rPr>
        <w:t>服务</w:t>
      </w:r>
      <w:r>
        <w:rPr>
          <w:rFonts w:ascii="方正兰亭纤黑简体" w:hAnsi="仿宋" w:eastAsia="方正兰亭纤黑简体" w:cs="仿宋"/>
        </w:rPr>
        <w:t>需求</w:t>
      </w:r>
      <w:r>
        <w:rPr>
          <w:rFonts w:hint="eastAsia" w:ascii="方正兰亭纤黑简体" w:hAnsi="仿宋" w:eastAsia="方正兰亭纤黑简体" w:cs="仿宋"/>
        </w:rPr>
        <w:t>”。到2025年</w:t>
      </w:r>
      <w:r>
        <w:rPr>
          <w:rFonts w:ascii="方正兰亭纤黑简体" w:hAnsi="仿宋" w:eastAsia="方正兰亭纤黑简体" w:cs="仿宋"/>
        </w:rPr>
        <w:t>，实现老年大学全覆盖。</w:t>
      </w:r>
    </w:p>
    <w:p>
      <w:pPr>
        <w:pStyle w:val="40"/>
        <w:rPr>
          <w:rFonts w:ascii="方正兰亭纤黑简体" w:hAnsi="仿宋" w:eastAsia="方正兰亭纤黑简体" w:cs="仿宋"/>
        </w:rPr>
      </w:pPr>
      <w:r>
        <w:rPr>
          <w:rFonts w:hint="eastAsia" w:ascii="方正兰亭纤黑简体" w:hAnsi="仿宋" w:eastAsia="方正兰亭纤黑简体" w:cs="仿宋"/>
          <w:b/>
        </w:rPr>
        <w:t>推动养老服务领域数字化转型。</w:t>
      </w:r>
      <w:r>
        <w:rPr>
          <w:rFonts w:hint="eastAsia" w:ascii="方正兰亭纤黑简体" w:hAnsi="仿宋" w:eastAsia="方正兰亭纤黑简体" w:cs="仿宋"/>
        </w:rPr>
        <w:t>推行</w:t>
      </w:r>
      <w:r>
        <w:rPr>
          <w:rFonts w:ascii="方正兰亭纤黑简体" w:hAnsi="仿宋" w:eastAsia="方正兰亭纤黑简体" w:cs="仿宋"/>
        </w:rPr>
        <w:t>“</w:t>
      </w:r>
      <w:r>
        <w:rPr>
          <w:rFonts w:hint="eastAsia" w:ascii="方正兰亭纤黑简体" w:hAnsi="仿宋" w:eastAsia="方正兰亭纤黑简体" w:cs="仿宋"/>
        </w:rPr>
        <w:t>互联网</w:t>
      </w:r>
      <w:r>
        <w:rPr>
          <w:rFonts w:ascii="方正兰亭纤黑简体" w:hAnsi="仿宋" w:eastAsia="方正兰亭纤黑简体" w:cs="仿宋"/>
        </w:rPr>
        <w:t>+养老”</w:t>
      </w:r>
      <w:r>
        <w:rPr>
          <w:rFonts w:hint="eastAsia" w:ascii="方正兰亭纤黑简体" w:hAnsi="仿宋" w:eastAsia="方正兰亭纤黑简体" w:cs="仿宋"/>
        </w:rPr>
        <w:t>发展</w:t>
      </w:r>
      <w:r>
        <w:rPr>
          <w:rFonts w:ascii="方正兰亭纤黑简体" w:hAnsi="仿宋" w:eastAsia="方正兰亭纤黑简体" w:cs="仿宋"/>
        </w:rPr>
        <w:t>，支持运用</w:t>
      </w:r>
      <w:r>
        <w:rPr>
          <w:rFonts w:hint="eastAsia" w:ascii="方正兰亭纤黑简体" w:hAnsi="仿宋" w:eastAsia="方正兰亭纤黑简体" w:cs="仿宋"/>
        </w:rPr>
        <w:t>移动</w:t>
      </w:r>
      <w:r>
        <w:rPr>
          <w:rFonts w:ascii="方正兰亭纤黑简体" w:hAnsi="仿宋" w:eastAsia="方正兰亭纤黑简体" w:cs="仿宋"/>
        </w:rPr>
        <w:t>互联网、云计算、大数据、物联网等技术</w:t>
      </w:r>
      <w:r>
        <w:rPr>
          <w:rFonts w:hint="eastAsia" w:ascii="方正兰亭纤黑简体" w:hAnsi="仿宋" w:eastAsia="方正兰亭纤黑简体" w:cs="仿宋"/>
        </w:rPr>
        <w:t>手段</w:t>
      </w:r>
      <w:r>
        <w:rPr>
          <w:rFonts w:ascii="方正兰亭纤黑简体" w:hAnsi="仿宋" w:eastAsia="方正兰亭纤黑简体" w:cs="仿宋"/>
        </w:rPr>
        <w:t>，</w:t>
      </w:r>
      <w:r>
        <w:rPr>
          <w:rFonts w:hint="eastAsia" w:ascii="方正兰亭纤黑简体" w:hAnsi="仿宋" w:eastAsia="方正兰亭纤黑简体" w:cs="仿宋"/>
        </w:rPr>
        <w:t>发展采用“互联网+”服务模式的专业服务机构，为居家老年人提供远程照护服务，</w:t>
      </w:r>
      <w:r>
        <w:rPr>
          <w:rFonts w:ascii="方正兰亭纤黑简体" w:hAnsi="仿宋" w:eastAsia="方正兰亭纤黑简体" w:cs="仿宋"/>
        </w:rPr>
        <w:t>创新发展</w:t>
      </w:r>
      <w:r>
        <w:rPr>
          <w:rFonts w:hint="eastAsia" w:ascii="方正兰亭纤黑简体" w:hAnsi="仿宋" w:eastAsia="方正兰亭纤黑简体" w:cs="仿宋"/>
        </w:rPr>
        <w:t>智慧</w:t>
      </w:r>
      <w:r>
        <w:rPr>
          <w:rFonts w:ascii="方正兰亭纤黑简体" w:hAnsi="仿宋" w:eastAsia="方正兰亭纤黑简体" w:cs="仿宋"/>
        </w:rPr>
        <w:t>健康养老服务。</w:t>
      </w:r>
      <w:r>
        <w:rPr>
          <w:rFonts w:hint="eastAsia" w:ascii="方正兰亭纤黑简体" w:hAnsi="仿宋" w:eastAsia="方正兰亭纤黑简体" w:cs="仿宋"/>
        </w:rPr>
        <w:t>依托“智慧</w:t>
      </w:r>
      <w:r>
        <w:rPr>
          <w:rFonts w:ascii="方正兰亭纤黑简体" w:hAnsi="仿宋" w:eastAsia="方正兰亭纤黑简体" w:cs="仿宋"/>
        </w:rPr>
        <w:t>民政</w:t>
      </w:r>
      <w:r>
        <w:rPr>
          <w:rFonts w:hint="eastAsia" w:ascii="方正兰亭纤黑简体" w:hAnsi="仿宋" w:eastAsia="方正兰亭纤黑简体" w:cs="仿宋"/>
        </w:rPr>
        <w:t>”平台</w:t>
      </w:r>
      <w:r>
        <w:rPr>
          <w:rFonts w:ascii="方正兰亭纤黑简体" w:hAnsi="仿宋" w:eastAsia="方正兰亭纤黑简体" w:cs="仿宋"/>
        </w:rPr>
        <w:t>建设，强化对居家老年人提供“</w:t>
      </w:r>
      <w:r>
        <w:rPr>
          <w:rFonts w:hint="eastAsia" w:ascii="方正兰亭纤黑简体" w:hAnsi="仿宋" w:eastAsia="方正兰亭纤黑简体" w:cs="仿宋"/>
        </w:rPr>
        <w:t>菜单式</w:t>
      </w:r>
      <w:r>
        <w:rPr>
          <w:rFonts w:ascii="方正兰亭纤黑简体" w:hAnsi="仿宋" w:eastAsia="方正兰亭纤黑简体" w:cs="仿宋"/>
        </w:rPr>
        <w:t>”</w:t>
      </w:r>
      <w:r>
        <w:rPr>
          <w:rFonts w:hint="eastAsia" w:ascii="方正兰亭纤黑简体" w:hAnsi="仿宋" w:eastAsia="方正兰亭纤黑简体" w:cs="仿宋"/>
        </w:rPr>
        <w:t>就近</w:t>
      </w:r>
      <w:r>
        <w:rPr>
          <w:rFonts w:ascii="方正兰亭纤黑简体" w:hAnsi="仿宋" w:eastAsia="方正兰亭纤黑简体" w:cs="仿宋"/>
        </w:rPr>
        <w:t>就便养老服务，</w:t>
      </w:r>
      <w:r>
        <w:rPr>
          <w:rFonts w:hint="eastAsia" w:ascii="方正兰亭纤黑简体" w:hAnsi="仿宋" w:eastAsia="方正兰亭纤黑简体" w:cs="仿宋"/>
        </w:rPr>
        <w:t>实现个人</w:t>
      </w:r>
      <w:r>
        <w:rPr>
          <w:rFonts w:ascii="方正兰亭纤黑简体" w:hAnsi="仿宋" w:eastAsia="方正兰亭纤黑简体" w:cs="仿宋"/>
        </w:rPr>
        <w:t>、家庭、社区、机构与养老资源的有效对接和优化配置。</w:t>
      </w:r>
    </w:p>
    <w:p>
      <w:pPr>
        <w:pStyle w:val="40"/>
        <w:rPr>
          <w:rFonts w:ascii="方正兰亭纤黑简体" w:hAnsi="仿宋" w:eastAsia="方正兰亭纤黑简体" w:cs="仿宋"/>
        </w:rPr>
      </w:pPr>
      <w:r>
        <w:rPr>
          <w:rFonts w:hint="eastAsia" w:ascii="方正兰亭纤黑简体" w:hAnsi="仿宋" w:eastAsia="方正兰亭纤黑简体" w:cs="仿宋"/>
          <w:b/>
        </w:rPr>
        <w:t>推进</w:t>
      </w:r>
      <w:r>
        <w:rPr>
          <w:rFonts w:ascii="方正兰亭纤黑简体" w:hAnsi="仿宋" w:eastAsia="方正兰亭纤黑简体" w:cs="仿宋"/>
          <w:b/>
        </w:rPr>
        <w:t>托育服务机构建设</w:t>
      </w:r>
      <w:r>
        <w:rPr>
          <w:rFonts w:hint="eastAsia" w:ascii="方正兰亭纤黑简体" w:hAnsi="仿宋" w:eastAsia="方正兰亭纤黑简体" w:cs="仿宋"/>
          <w:b/>
        </w:rPr>
        <w:t>。</w:t>
      </w:r>
      <w:r>
        <w:rPr>
          <w:rFonts w:ascii="方正兰亭纤黑简体" w:hAnsi="仿宋" w:eastAsia="方正兰亭纤黑简体" w:cs="仿宋"/>
        </w:rPr>
        <w:t>充分利用居住区场地、土地、房产等各类资源，</w:t>
      </w:r>
      <w:r>
        <w:rPr>
          <w:rFonts w:hint="eastAsia" w:ascii="方正兰亭纤黑简体" w:hAnsi="仿宋" w:eastAsia="方正兰亭纤黑简体" w:cs="仿宋"/>
        </w:rPr>
        <w:t>建设</w:t>
      </w:r>
      <w:r>
        <w:rPr>
          <w:rFonts w:ascii="方正兰亭纤黑简体" w:hAnsi="仿宋" w:eastAsia="方正兰亭纤黑简体" w:cs="仿宋"/>
        </w:rPr>
        <w:t>一批普惠性托育服务机构。</w:t>
      </w:r>
      <w:r>
        <w:rPr>
          <w:rFonts w:hint="eastAsia" w:ascii="方正兰亭纤黑简体" w:hAnsi="仿宋" w:eastAsia="方正兰亭纤黑简体" w:cs="仿宋"/>
        </w:rPr>
        <w:t>实施“托幼</w:t>
      </w:r>
      <w:r>
        <w:rPr>
          <w:rFonts w:ascii="方正兰亭纤黑简体" w:hAnsi="仿宋" w:eastAsia="方正兰亭纤黑简体" w:cs="仿宋"/>
        </w:rPr>
        <w:t>一体化</w:t>
      </w:r>
      <w:r>
        <w:rPr>
          <w:rFonts w:hint="eastAsia" w:ascii="方正兰亭纤黑简体" w:hAnsi="仿宋" w:eastAsia="方正兰亭纤黑简体" w:cs="仿宋"/>
        </w:rPr>
        <w:t>”服务</w:t>
      </w:r>
      <w:r>
        <w:rPr>
          <w:rFonts w:ascii="方正兰亭纤黑简体" w:hAnsi="仿宋" w:eastAsia="方正兰亭纤黑简体" w:cs="仿宋"/>
        </w:rPr>
        <w:t>，</w:t>
      </w:r>
      <w:r>
        <w:rPr>
          <w:rFonts w:hint="eastAsia" w:ascii="方正兰亭纤黑简体" w:hAnsi="仿宋" w:eastAsia="方正兰亭纤黑简体" w:cs="仿宋"/>
        </w:rPr>
        <w:t>扩大</w:t>
      </w:r>
      <w:r>
        <w:rPr>
          <w:rFonts w:ascii="方正兰亭纤黑简体" w:hAnsi="仿宋" w:eastAsia="方正兰亭纤黑简体" w:cs="仿宋"/>
        </w:rPr>
        <w:t>普惠托育服务供给，鼓励婴幼儿照护服务机构、普惠性幼儿园提供普惠性托育服务</w:t>
      </w:r>
      <w:r>
        <w:rPr>
          <w:rFonts w:hint="eastAsia" w:ascii="方正兰亭纤黑简体" w:hAnsi="仿宋" w:eastAsia="方正兰亭纤黑简体" w:cs="仿宋"/>
        </w:rPr>
        <w:t>。引导</w:t>
      </w:r>
      <w:r>
        <w:rPr>
          <w:rFonts w:ascii="方正兰亭纤黑简体" w:hAnsi="仿宋" w:eastAsia="方正兰亭纤黑简体" w:cs="仿宋"/>
        </w:rPr>
        <w:t>社会力量根据婴幼儿家庭实际需求以及场地、供餐等条件举办托育机构，为婴幼儿家庭提供服务质量</w:t>
      </w:r>
      <w:r>
        <w:rPr>
          <w:rFonts w:hint="eastAsia" w:ascii="方正兰亭纤黑简体" w:hAnsi="仿宋" w:eastAsia="方正兰亭纤黑简体" w:cs="仿宋"/>
        </w:rPr>
        <w:t>好、</w:t>
      </w:r>
      <w:r>
        <w:rPr>
          <w:rFonts w:ascii="方正兰亭纤黑简体" w:hAnsi="仿宋" w:eastAsia="方正兰亭纤黑简体" w:cs="仿宋"/>
        </w:rPr>
        <w:t>价格可承受、方便可及的托育服务。到</w:t>
      </w:r>
      <w:r>
        <w:rPr>
          <w:rFonts w:hint="eastAsia" w:ascii="方正兰亭纤黑简体" w:hAnsi="仿宋" w:eastAsia="方正兰亭纤黑简体" w:cs="仿宋"/>
        </w:rPr>
        <w:t>2025年</w:t>
      </w:r>
      <w:r>
        <w:rPr>
          <w:rFonts w:ascii="方正兰亭纤黑简体" w:hAnsi="仿宋" w:eastAsia="方正兰亭纤黑简体" w:cs="仿宋"/>
        </w:rPr>
        <w:t>，每个镇街</w:t>
      </w:r>
      <w:r>
        <w:rPr>
          <w:rFonts w:hint="eastAsia" w:ascii="方正兰亭纤黑简体" w:hAnsi="仿宋" w:eastAsia="方正兰亭纤黑简体" w:cs="仿宋"/>
        </w:rPr>
        <w:t>设置</w:t>
      </w:r>
      <w:r>
        <w:rPr>
          <w:rFonts w:ascii="方正兰亭纤黑简体" w:hAnsi="仿宋" w:eastAsia="方正兰亭纤黑简体" w:cs="仿宋"/>
        </w:rPr>
        <w:t>“</w:t>
      </w:r>
      <w:r>
        <w:rPr>
          <w:rFonts w:hint="eastAsia" w:ascii="方正兰亭纤黑简体" w:hAnsi="仿宋" w:eastAsia="方正兰亭纤黑简体" w:cs="仿宋"/>
        </w:rPr>
        <w:t>托幼</w:t>
      </w:r>
      <w:r>
        <w:rPr>
          <w:rFonts w:ascii="方正兰亭纤黑简体" w:hAnsi="仿宋" w:eastAsia="方正兰亭纤黑简体" w:cs="仿宋"/>
        </w:rPr>
        <w:t>一体化”</w:t>
      </w:r>
      <w:r>
        <w:rPr>
          <w:rFonts w:hint="eastAsia" w:ascii="方正兰亭纤黑简体" w:hAnsi="仿宋" w:eastAsia="方正兰亭纤黑简体" w:cs="仿宋"/>
        </w:rPr>
        <w:t>幼儿园</w:t>
      </w:r>
      <w:r>
        <w:rPr>
          <w:rFonts w:ascii="方正兰亭纤黑简体" w:hAnsi="仿宋" w:eastAsia="方正兰亭纤黑简体" w:cs="仿宋"/>
        </w:rPr>
        <w:t>不低于一所，全区</w:t>
      </w:r>
      <w:r>
        <w:rPr>
          <w:rFonts w:hint="eastAsia" w:ascii="方正兰亭纤黑简体" w:hAnsi="仿宋" w:eastAsia="方正兰亭纤黑简体" w:cs="仿宋"/>
        </w:rPr>
        <w:t>“托幼</w:t>
      </w:r>
      <w:r>
        <w:rPr>
          <w:rFonts w:ascii="方正兰亭纤黑简体" w:hAnsi="仿宋" w:eastAsia="方正兰亭纤黑简体" w:cs="仿宋"/>
        </w:rPr>
        <w:t>一体化</w:t>
      </w:r>
      <w:r>
        <w:rPr>
          <w:rFonts w:hint="eastAsia" w:ascii="方正兰亭纤黑简体" w:hAnsi="仿宋" w:eastAsia="方正兰亭纤黑简体" w:cs="仿宋"/>
        </w:rPr>
        <w:t>”幼儿园</w:t>
      </w:r>
      <w:r>
        <w:rPr>
          <w:rFonts w:ascii="方正兰亭纤黑简体" w:hAnsi="仿宋" w:eastAsia="方正兰亭纤黑简体" w:cs="仿宋"/>
        </w:rPr>
        <w:t>占比不低于</w:t>
      </w:r>
      <w:r>
        <w:rPr>
          <w:rFonts w:hint="eastAsia" w:ascii="方正兰亭纤黑简体" w:hAnsi="仿宋" w:eastAsia="方正兰亭纤黑简体" w:cs="仿宋"/>
        </w:rPr>
        <w:t>60</w:t>
      </w:r>
      <w:r>
        <w:rPr>
          <w:rFonts w:ascii="方正兰亭纤黑简体" w:hAnsi="仿宋" w:eastAsia="方正兰亭纤黑简体" w:cs="仿宋"/>
        </w:rPr>
        <w:t>%。</w:t>
      </w:r>
    </w:p>
    <w:p>
      <w:pPr>
        <w:adjustRightInd w:val="0"/>
        <w:snapToGrid w:val="0"/>
        <w:spacing w:line="408" w:lineRule="auto"/>
        <w:ind w:firstLine="0" w:firstLineChars="0"/>
        <w:jc w:val="center"/>
        <w:rPr>
          <w:rFonts w:ascii="方正兰亭纤黑简体" w:hAnsi="仿宋" w:eastAsia="方正兰亭纤黑简体" w:cs="仿宋"/>
          <w:b/>
          <w:sz w:val="28"/>
          <w:szCs w:val="28"/>
        </w:rPr>
      </w:pPr>
      <w:r>
        <w:rPr>
          <w:rFonts w:hint="eastAsia" w:ascii="方正兰亭纤黑简体" w:hAnsi="仿宋" w:eastAsia="方正兰亭纤黑简体" w:cs="仿宋"/>
          <w:b/>
          <w:sz w:val="28"/>
          <w:szCs w:val="28"/>
        </w:rPr>
        <w:t>专栏</w:t>
      </w:r>
      <w:r>
        <w:rPr>
          <w:rFonts w:ascii="方正兰亭纤黑简体" w:hAnsi="仿宋" w:eastAsia="方正兰亭纤黑简体" w:cs="仿宋"/>
          <w:b/>
          <w:sz w:val="28"/>
          <w:szCs w:val="28"/>
        </w:rPr>
        <w:t>6</w:t>
      </w:r>
      <w:r>
        <w:rPr>
          <w:rFonts w:hint="eastAsia" w:ascii="方正兰亭纤黑简体" w:hAnsi="仿宋" w:eastAsia="方正兰亭纤黑简体" w:cs="仿宋"/>
          <w:b/>
          <w:sz w:val="28"/>
          <w:szCs w:val="28"/>
        </w:rPr>
        <w:t xml:space="preserve">  养老托育服务建设重点项目</w:t>
      </w:r>
    </w:p>
    <w:tbl>
      <w:tblPr>
        <w:tblStyle w:val="24"/>
        <w:tblW w:w="829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Ex>
        <w:trPr>
          <w:trHeight w:val="274" w:hRule="atLeast"/>
          <w:jc w:val="center"/>
        </w:trPr>
        <w:tc>
          <w:tcPr>
            <w:tcW w:w="8296" w:type="dxa"/>
          </w:tcPr>
          <w:p>
            <w:pPr>
              <w:adjustRightInd w:val="0"/>
              <w:snapToGrid w:val="0"/>
              <w:spacing w:line="432" w:lineRule="auto"/>
              <w:ind w:firstLine="366" w:firstLineChars="152"/>
              <w:rPr>
                <w:rFonts w:ascii="方正兰亭纤黑简体" w:hAnsi="仿宋" w:eastAsia="方正兰亭纤黑简体" w:cs="仿宋"/>
                <w:sz w:val="24"/>
              </w:rPr>
            </w:pPr>
            <w:r>
              <w:rPr>
                <w:rFonts w:hint="eastAsia" w:ascii="方正兰亭纤黑简体" w:hAnsi="仿宋" w:eastAsia="方正兰亭纤黑简体" w:cs="仿宋"/>
                <w:b/>
                <w:bCs/>
                <w:sz w:val="24"/>
              </w:rPr>
              <w:t>建设项目：</w:t>
            </w:r>
            <w:r>
              <w:rPr>
                <w:rFonts w:hint="eastAsia" w:ascii="方正兰亭纤黑简体" w:hAnsi="仿宋" w:eastAsia="方正兰亭纤黑简体" w:cs="仿宋"/>
                <w:bCs/>
                <w:sz w:val="24"/>
              </w:rPr>
              <w:t>大足区人民医院医养中心建设工程（与社会资本合作）、第二人民医院医养中心建设工程、大足区人民医院失能老人养护中心建设工程、长者照护之家、西北/东北/中</w:t>
            </w:r>
            <w:r>
              <w:rPr>
                <w:rFonts w:ascii="方正兰亭纤黑简体" w:hAnsi="仿宋" w:eastAsia="方正兰亭纤黑简体" w:cs="仿宋"/>
                <w:bCs/>
                <w:sz w:val="24"/>
              </w:rPr>
              <w:t>南</w:t>
            </w:r>
            <w:r>
              <w:rPr>
                <w:rFonts w:hint="eastAsia" w:ascii="方正兰亭纤黑简体" w:hAnsi="仿宋" w:eastAsia="方正兰亭纤黑简体" w:cs="仿宋"/>
                <w:bCs/>
                <w:sz w:val="24"/>
              </w:rPr>
              <w:t>片区老年养护中心、大足区护理型养老院建设项目、ppp模式建设3个养老机构、大足区特困供养服务机构、大足区农村养老服务全覆盖工程、老旧小区适老化改造、人民医院过街天桥改造、人行天街无障碍设施建设（一期）、重庆市大足区金星托育中心等</w:t>
            </w:r>
            <w:r>
              <w:rPr>
                <w:rFonts w:ascii="方正兰亭纤黑简体" w:hAnsi="仿宋" w:eastAsia="方正兰亭纤黑简体" w:cs="仿宋"/>
                <w:sz w:val="24"/>
              </w:rPr>
              <w:t>；</w:t>
            </w:r>
          </w:p>
          <w:p>
            <w:pPr>
              <w:adjustRightInd w:val="0"/>
              <w:snapToGrid w:val="0"/>
              <w:spacing w:line="432" w:lineRule="auto"/>
              <w:ind w:firstLine="366" w:firstLineChars="152"/>
              <w:rPr>
                <w:rFonts w:ascii="方正兰亭纤黑简体" w:hAnsi="仿宋" w:eastAsia="方正兰亭纤黑简体" w:cs="仿宋"/>
              </w:rPr>
            </w:pPr>
            <w:r>
              <w:rPr>
                <w:rFonts w:hint="eastAsia" w:ascii="方正兰亭纤黑简体" w:hAnsi="仿宋" w:eastAsia="方正兰亭纤黑简体" w:cs="仿宋"/>
                <w:b/>
                <w:bCs/>
                <w:sz w:val="24"/>
              </w:rPr>
              <w:t>储备项目：</w:t>
            </w:r>
            <w:r>
              <w:rPr>
                <w:rFonts w:hint="eastAsia" w:ascii="方正兰亭纤黑简体" w:hAnsi="仿宋" w:eastAsia="方正兰亭纤黑简体" w:cs="仿宋"/>
                <w:sz w:val="24"/>
              </w:rPr>
              <w:t>研究储备人行天街无障碍设施建设（二期）、渝西老年养护中心、长者运动健康之家、社区长者食堂·学堂建设、公共空间（广场、公园、景区等）适老化改造、龙水湖医疗康养中心、未成年人救助保护中心、大足区早期教育中心建设工程 、大足区托育服务中心示范机构建设项目</w:t>
            </w:r>
            <w:r>
              <w:rPr>
                <w:rFonts w:ascii="方正兰亭纤黑简体" w:hAnsi="仿宋" w:eastAsia="方正兰亭纤黑简体" w:cs="仿宋"/>
                <w:sz w:val="24"/>
              </w:rPr>
              <w:t>等</w:t>
            </w:r>
            <w:r>
              <w:rPr>
                <w:rFonts w:hint="eastAsia" w:ascii="方正兰亭纤黑简体" w:hAnsi="仿宋" w:eastAsia="方正兰亭纤黑简体" w:cs="仿宋"/>
                <w:sz w:val="24"/>
              </w:rPr>
              <w:t>。</w:t>
            </w:r>
          </w:p>
        </w:tc>
      </w:tr>
    </w:tbl>
    <w:p>
      <w:pPr>
        <w:pStyle w:val="26"/>
        <w:ind w:firstLine="640"/>
        <w:rPr>
          <w:rFonts w:ascii="方正兰亭纤黑简体" w:hAnsi="仿宋" w:eastAsia="方正兰亭纤黑简体" w:cs="仿宋"/>
        </w:rPr>
      </w:pPr>
    </w:p>
    <w:p>
      <w:pPr>
        <w:pStyle w:val="5"/>
        <w:ind w:left="0"/>
        <w:rPr>
          <w:rFonts w:ascii="方正兰亭纤黑简体" w:hAnsi="仿宋" w:eastAsia="方正兰亭纤黑简体" w:cs="仿宋"/>
          <w:b/>
          <w:bCs w:val="0"/>
        </w:rPr>
      </w:pPr>
      <w:bookmarkStart w:id="157" w:name="_Toc26711"/>
      <w:bookmarkStart w:id="158" w:name="_Toc9054"/>
      <w:r>
        <w:rPr>
          <w:rFonts w:hint="eastAsia" w:ascii="方正兰亭纤黑简体" w:hAnsi="仿宋" w:eastAsia="方正兰亭纤黑简体" w:cs="仿宋"/>
          <w:b/>
          <w:bCs w:val="0"/>
        </w:rPr>
        <w:t>打造自然循环的“海绵城市”</w:t>
      </w:r>
      <w:bookmarkEnd w:id="157"/>
    </w:p>
    <w:p>
      <w:pPr>
        <w:pStyle w:val="26"/>
        <w:ind w:firstLine="560"/>
        <w:rPr>
          <w:rFonts w:ascii="方正兰亭纤黑简体" w:hAnsi="仿宋" w:eastAsia="方正兰亭纤黑简体" w:cs="仿宋"/>
          <w:sz w:val="28"/>
          <w:szCs w:val="28"/>
        </w:rPr>
      </w:pPr>
      <w:r>
        <w:rPr>
          <w:rFonts w:hint="eastAsia" w:ascii="方正兰亭纤黑简体" w:hAnsi="仿宋" w:eastAsia="方正兰亭纤黑简体" w:cs="仿宋"/>
          <w:sz w:val="28"/>
          <w:szCs w:val="28"/>
        </w:rPr>
        <w:t>以习近平新时代中国特色社会主义思想为指导，全面贯彻党的二十大精神，深化落实习近平总书记对重庆提出的营造良好政治生态，坚持“两点”定位、“两地”“两高”目标、发挥“三个作用”和推动成渝地区双城经济圈建设等重要指示要求，坚持以人民为中心，总结“十三五”实施经验，坚持以问题为导向，顺应城市发展规律，尊重地域特色，系统化全域化推进海绵城市建设，贯彻海绵理念至城未来市建设各个方面，为我区“做靓享誉世界的文化会客厅、建强链接成渝的‘两高’桥头堡”夯实生态保护基底。</w:t>
      </w:r>
    </w:p>
    <w:p>
      <w:pPr>
        <w:pStyle w:val="26"/>
        <w:ind w:firstLine="562"/>
        <w:rPr>
          <w:rFonts w:ascii="方正兰亭纤黑简体" w:hAnsi="仿宋" w:eastAsia="方正兰亭纤黑简体" w:cs="仿宋"/>
          <w:sz w:val="28"/>
          <w:szCs w:val="28"/>
        </w:rPr>
      </w:pPr>
      <w:r>
        <w:rPr>
          <w:rFonts w:hint="eastAsia" w:ascii="方正兰亭纤黑简体" w:hAnsi="仿宋" w:eastAsia="方正兰亭纤黑简体" w:cs="仿宋"/>
          <w:b/>
          <w:bCs/>
          <w:sz w:val="28"/>
          <w:szCs w:val="28"/>
        </w:rPr>
        <w:t>系统化全域推进海绵城市建设。</w:t>
      </w:r>
      <w:r>
        <w:rPr>
          <w:rFonts w:hint="eastAsia" w:ascii="方正兰亭纤黑简体" w:hAnsi="仿宋" w:eastAsia="方正兰亭纤黑简体" w:cs="仿宋"/>
          <w:sz w:val="28"/>
          <w:szCs w:val="28"/>
        </w:rPr>
        <w:t>强化海绵城市规化引领作用，推进海绵城市规划全覆盖，加强规划指标系统衔接，探索海绵城市划管控指标动态调整机制。推进涉水海绵城市工程建设，保护生态空间格局，修复水生态。系统推进排水防涝工作，保障水安全。系统开展流域水体整治，改善水环境。统筹新老城区海绵城市建设，做好新城区建设统筹，补齐老城区建设短板，确保海绵城市与相关项目同步建设、同步使用。</w:t>
      </w:r>
      <w:r>
        <w:rPr>
          <w:rFonts w:hint="eastAsia" w:ascii="方正兰亭纤黑简体" w:hAnsi="仿宋" w:eastAsia="方正兰亭纤黑简体" w:cs="仿宋"/>
          <w:sz w:val="28"/>
          <w:szCs w:val="28"/>
          <w:lang w:bidi="ar"/>
        </w:rPr>
        <w:t>老城区结合城市更新项目，构建安全可靠、经济合理、技术可行的“源头-过程-末端”海绵城市运行脉络，解决区域内涝问题、水环境问题及人居问题。</w:t>
      </w:r>
      <w:r>
        <w:rPr>
          <w:rFonts w:hint="eastAsia" w:ascii="方正兰亭纤黑简体" w:hAnsi="仿宋" w:eastAsia="方正兰亭纤黑简体" w:cs="仿宋"/>
          <w:sz w:val="28"/>
          <w:szCs w:val="28"/>
          <w:lang w:eastAsia="zh-CN" w:bidi="ar"/>
        </w:rPr>
        <w:t>“十四五”</w:t>
      </w:r>
      <w:r>
        <w:rPr>
          <w:rFonts w:hint="eastAsia" w:ascii="方正兰亭纤黑简体" w:hAnsi="仿宋" w:eastAsia="方正兰亭纤黑简体" w:cs="仿宋"/>
          <w:sz w:val="28"/>
          <w:szCs w:val="28"/>
          <w:lang w:bidi="ar"/>
        </w:rPr>
        <w:t>期末，力争龙岗-棠香片区建成区海绵城市达标面积达到建成区面积45%以上。</w:t>
      </w:r>
    </w:p>
    <w:p>
      <w:pPr>
        <w:pStyle w:val="26"/>
        <w:ind w:firstLine="562"/>
        <w:rPr>
          <w:rFonts w:ascii="方正兰亭纤黑简体" w:hAnsi="仿宋" w:eastAsia="方正兰亭纤黑简体" w:cs="仿宋"/>
          <w:sz w:val="28"/>
          <w:szCs w:val="28"/>
        </w:rPr>
      </w:pPr>
      <w:r>
        <w:rPr>
          <w:rFonts w:hint="eastAsia" w:ascii="方正兰亭纤黑简体" w:hAnsi="仿宋" w:eastAsia="方正兰亭纤黑简体" w:cs="仿宋"/>
          <w:b/>
          <w:bCs/>
          <w:sz w:val="28"/>
          <w:szCs w:val="28"/>
          <w:lang w:bidi="ar"/>
        </w:rPr>
        <w:t>差异化建设海绵城市。结合我区实际，</w:t>
      </w:r>
      <w:r>
        <w:rPr>
          <w:rFonts w:hint="eastAsia" w:ascii="方正兰亭纤黑简体" w:hAnsi="仿宋" w:eastAsia="方正兰亭纤黑简体" w:cs="仿宋"/>
          <w:sz w:val="28"/>
          <w:szCs w:val="28"/>
          <w:lang w:bidi="ar"/>
        </w:rPr>
        <w:t>根据地块不同功能，科学的制定各地块海绵城市指标，形成绿色安全、经济合理的建设目标体系，为实现海绵城市总体建设目标打下基础。</w:t>
      </w:r>
      <w:r>
        <w:rPr>
          <w:rFonts w:hint="eastAsia" w:ascii="方正兰亭纤黑简体" w:hAnsi="仿宋" w:eastAsia="方正兰亭纤黑简体" w:cs="仿宋"/>
          <w:sz w:val="28"/>
          <w:szCs w:val="28"/>
        </w:rPr>
        <w:t>2021-2025期间我区城市建设规划范围内新建项目均应达到以下海绵城市建设指标要求：</w:t>
      </w:r>
    </w:p>
    <w:tbl>
      <w:tblPr>
        <w:tblStyle w:val="25"/>
        <w:tblW w:w="8294"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6"/>
        <w:gridCol w:w="2167"/>
        <w:gridCol w:w="2908"/>
        <w:gridCol w:w="25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0" w:hRule="atLeast"/>
          <w:jc w:val="center"/>
        </w:trPr>
        <w:tc>
          <w:tcPr>
            <w:tcW w:w="706"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序号</w:t>
            </w:r>
          </w:p>
        </w:tc>
        <w:tc>
          <w:tcPr>
            <w:tcW w:w="2167"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用地类型</w:t>
            </w:r>
          </w:p>
        </w:tc>
        <w:tc>
          <w:tcPr>
            <w:tcW w:w="2908"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年径流总量控制率（%）</w:t>
            </w:r>
          </w:p>
        </w:tc>
        <w:tc>
          <w:tcPr>
            <w:tcW w:w="2513"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年径流污染去除率（%）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4" w:hRule="atLeast"/>
          <w:jc w:val="center"/>
        </w:trPr>
        <w:tc>
          <w:tcPr>
            <w:tcW w:w="706"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1</w:t>
            </w:r>
          </w:p>
        </w:tc>
        <w:tc>
          <w:tcPr>
            <w:tcW w:w="2167"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居住用地</w:t>
            </w:r>
          </w:p>
        </w:tc>
        <w:tc>
          <w:tcPr>
            <w:tcW w:w="2908"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60~80</w:t>
            </w:r>
          </w:p>
        </w:tc>
        <w:tc>
          <w:tcPr>
            <w:tcW w:w="2513"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45~60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06"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2</w:t>
            </w:r>
          </w:p>
        </w:tc>
        <w:tc>
          <w:tcPr>
            <w:tcW w:w="2167"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公共管理和公共服务用地</w:t>
            </w:r>
          </w:p>
        </w:tc>
        <w:tc>
          <w:tcPr>
            <w:tcW w:w="2908"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60~80</w:t>
            </w:r>
          </w:p>
        </w:tc>
        <w:tc>
          <w:tcPr>
            <w:tcW w:w="2513"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45~60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06"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3</w:t>
            </w:r>
          </w:p>
        </w:tc>
        <w:tc>
          <w:tcPr>
            <w:tcW w:w="2167"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商业服务设施用地</w:t>
            </w:r>
          </w:p>
        </w:tc>
        <w:tc>
          <w:tcPr>
            <w:tcW w:w="2908"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60~80</w:t>
            </w:r>
          </w:p>
        </w:tc>
        <w:tc>
          <w:tcPr>
            <w:tcW w:w="2513"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45~60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06"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4</w:t>
            </w:r>
          </w:p>
        </w:tc>
        <w:tc>
          <w:tcPr>
            <w:tcW w:w="2167"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物流仓储用地</w:t>
            </w:r>
          </w:p>
        </w:tc>
        <w:tc>
          <w:tcPr>
            <w:tcW w:w="2908"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55~75</w:t>
            </w:r>
          </w:p>
        </w:tc>
        <w:tc>
          <w:tcPr>
            <w:tcW w:w="2513"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42~57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06"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5</w:t>
            </w:r>
          </w:p>
        </w:tc>
        <w:tc>
          <w:tcPr>
            <w:tcW w:w="2167"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交通设施用地</w:t>
            </w:r>
          </w:p>
        </w:tc>
        <w:tc>
          <w:tcPr>
            <w:tcW w:w="2908"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55~75</w:t>
            </w:r>
          </w:p>
        </w:tc>
        <w:tc>
          <w:tcPr>
            <w:tcW w:w="2513"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42~57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06"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6</w:t>
            </w:r>
          </w:p>
        </w:tc>
        <w:tc>
          <w:tcPr>
            <w:tcW w:w="2167"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绿地</w:t>
            </w:r>
          </w:p>
        </w:tc>
        <w:tc>
          <w:tcPr>
            <w:tcW w:w="2908"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70~90</w:t>
            </w:r>
          </w:p>
        </w:tc>
        <w:tc>
          <w:tcPr>
            <w:tcW w:w="2513"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53~68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06"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7</w:t>
            </w:r>
          </w:p>
        </w:tc>
        <w:tc>
          <w:tcPr>
            <w:tcW w:w="2167"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公共设施用地</w:t>
            </w:r>
          </w:p>
        </w:tc>
        <w:tc>
          <w:tcPr>
            <w:tcW w:w="2908"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55~75</w:t>
            </w:r>
          </w:p>
        </w:tc>
        <w:tc>
          <w:tcPr>
            <w:tcW w:w="2513"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42~57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706"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8</w:t>
            </w:r>
          </w:p>
        </w:tc>
        <w:tc>
          <w:tcPr>
            <w:tcW w:w="2167"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工业用地</w:t>
            </w:r>
          </w:p>
        </w:tc>
        <w:tc>
          <w:tcPr>
            <w:tcW w:w="2908"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55~75</w:t>
            </w:r>
          </w:p>
        </w:tc>
        <w:tc>
          <w:tcPr>
            <w:tcW w:w="2513" w:type="dxa"/>
            <w:vAlign w:val="center"/>
          </w:tcPr>
          <w:p>
            <w:pPr>
              <w:pStyle w:val="37"/>
              <w:ind w:firstLine="0" w:firstLineChars="0"/>
              <w:jc w:val="center"/>
              <w:rPr>
                <w:rFonts w:ascii="方正兰亭纤黑简体" w:hAnsi="仿宋" w:eastAsia="方正兰亭纤黑简体" w:cs="仿宋"/>
                <w:sz w:val="24"/>
                <w:szCs w:val="22"/>
              </w:rPr>
            </w:pPr>
            <w:r>
              <w:rPr>
                <w:rFonts w:hint="eastAsia" w:ascii="方正兰亭纤黑简体" w:hAnsi="仿宋" w:eastAsia="方正兰亭纤黑简体" w:cs="仿宋"/>
                <w:sz w:val="24"/>
                <w:szCs w:val="22"/>
              </w:rPr>
              <w:t>42~57</w:t>
            </w:r>
          </w:p>
        </w:tc>
      </w:tr>
    </w:tbl>
    <w:p>
      <w:pPr>
        <w:pStyle w:val="26"/>
        <w:ind w:firstLine="562"/>
        <w:rPr>
          <w:rFonts w:ascii="方正兰亭纤黑简体" w:hAnsi="仿宋" w:eastAsia="方正兰亭纤黑简体" w:cs="仿宋"/>
          <w:sz w:val="28"/>
          <w:szCs w:val="28"/>
          <w:lang w:bidi="ar"/>
        </w:rPr>
      </w:pPr>
      <w:r>
        <w:rPr>
          <w:rFonts w:hint="eastAsia" w:ascii="方正兰亭纤黑简体" w:hAnsi="仿宋" w:eastAsia="方正兰亭纤黑简体" w:cs="仿宋"/>
          <w:b/>
          <w:bCs/>
          <w:sz w:val="28"/>
          <w:szCs w:val="28"/>
          <w:lang w:bidi="ar"/>
        </w:rPr>
        <w:t>全过程构建海绵城市管控体系。</w:t>
      </w:r>
      <w:r>
        <w:rPr>
          <w:rFonts w:hint="eastAsia" w:ascii="方正兰亭纤黑简体" w:hAnsi="仿宋" w:eastAsia="方正兰亭纤黑简体" w:cs="仿宋"/>
          <w:sz w:val="28"/>
          <w:szCs w:val="28"/>
          <w:lang w:bidi="ar"/>
        </w:rPr>
        <w:t>完善部门协同管理机制，各部门协力推进海绵城市建设，充分发挥我区海绵城市建设领导小组统筹管理作用。区级各部门根据职能职责，建立责任清单，明确关键节点责任单位，形成问责工作制度。主管部门进一步优化项目质量管控体系，提升设计环节质量管控，强化施工阶段质量管理，建立运维任务管理制度，加强海绵城市建设绩效考核和规范海绵城市建设项目评价。确保海绵建设与主体工程同步设计、同步施工、同步验收、同步投入使用，形成全流程闭环管理，确保海绵建设成效。</w:t>
      </w:r>
    </w:p>
    <w:p>
      <w:pPr>
        <w:pStyle w:val="26"/>
        <w:ind w:firstLine="562"/>
        <w:rPr>
          <w:rFonts w:ascii="方正兰亭纤黑简体" w:hAnsi="仿宋" w:eastAsia="方正兰亭纤黑简体" w:cs="仿宋"/>
          <w:sz w:val="28"/>
          <w:szCs w:val="28"/>
          <w:lang w:bidi="ar"/>
        </w:rPr>
      </w:pPr>
      <w:r>
        <w:rPr>
          <w:rFonts w:hint="eastAsia" w:ascii="方正兰亭纤黑简体" w:hAnsi="仿宋" w:eastAsia="方正兰亭纤黑简体" w:cs="仿宋"/>
          <w:b/>
          <w:bCs/>
          <w:sz w:val="28"/>
          <w:szCs w:val="28"/>
          <w:lang w:bidi="ar"/>
        </w:rPr>
        <w:t>促进本土特色化产业发展。</w:t>
      </w:r>
      <w:r>
        <w:rPr>
          <w:rFonts w:hint="eastAsia" w:ascii="方正兰亭纤黑简体" w:hAnsi="仿宋" w:eastAsia="方正兰亭纤黑简体" w:cs="仿宋"/>
          <w:sz w:val="28"/>
          <w:szCs w:val="28"/>
          <w:lang w:bidi="ar"/>
        </w:rPr>
        <w:t>依托海绵城市建设，积极借鉴国内外先进技术，紧扣海绵城市建设“渗、滞、蓄、净、用、排”六字方针，推动我区海绵城市建设相关产业发展，探索出台配套鼓励政策，推动极我区海绵企业发展。</w:t>
      </w:r>
    </w:p>
    <w:p>
      <w:pPr>
        <w:pStyle w:val="26"/>
        <w:ind w:firstLine="560"/>
        <w:rPr>
          <w:rFonts w:ascii="方正兰亭纤黑简体" w:hAnsi="仿宋" w:eastAsia="方正兰亭纤黑简体" w:cs="仿宋"/>
          <w:sz w:val="28"/>
          <w:szCs w:val="28"/>
          <w:lang w:bidi="ar"/>
        </w:rPr>
      </w:pPr>
    </w:p>
    <w:p>
      <w:pPr>
        <w:pStyle w:val="5"/>
        <w:ind w:left="0"/>
        <w:rPr>
          <w:rFonts w:ascii="方正兰亭纤黑简体" w:hAnsi="仿宋" w:eastAsia="方正兰亭纤黑简体" w:cs="仿宋"/>
          <w:b/>
          <w:bCs w:val="0"/>
        </w:rPr>
      </w:pPr>
      <w:bookmarkStart w:id="159" w:name="_Toc12845"/>
      <w:r>
        <w:rPr>
          <w:rFonts w:hint="eastAsia" w:ascii="方正兰亭纤黑简体" w:hAnsi="仿宋" w:eastAsia="方正兰亭纤黑简体" w:cs="仿宋"/>
          <w:b/>
          <w:bCs w:val="0"/>
        </w:rPr>
        <w:t>建设集约高效的城市综合管廊</w:t>
      </w:r>
      <w:bookmarkEnd w:id="159"/>
    </w:p>
    <w:p>
      <w:pPr>
        <w:widowControl/>
        <w:ind w:firstLine="560"/>
        <w:jc w:val="left"/>
        <w:rPr>
          <w:rFonts w:ascii="方正兰亭纤黑简体" w:hAnsi="仿宋" w:eastAsia="方正兰亭纤黑简体" w:cs="仿宋"/>
          <w:sz w:val="28"/>
        </w:rPr>
      </w:pPr>
      <w:r>
        <w:rPr>
          <w:rFonts w:hint="eastAsia" w:ascii="方正兰亭纤黑简体" w:hAnsi="仿宋" w:eastAsia="方正兰亭纤黑简体" w:cs="仿宋"/>
          <w:sz w:val="28"/>
        </w:rPr>
        <w:t>推进城市地下综合管廊建设，统筹各类市政管线规划、建设和管理，解决反复开挖路面、架空线网密集、管线事故频发等问题，保障城市安全、完善城市功能、美化城市景观、促进城市集约高效和转型发展，提高城市综合承载能力和城镇化发展质量，增加公共产品有效投资、拉动社会资本投入、打造经济发展新动力。有序建立体系完善、运行高效的综合管廊建设体制机制，以系统化思维推进综合管廊建设，管线建设方式逐步由传统敷设向廊道化建设模式转变，不断提高智慧化管理水平，推动绿色建造发展，</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完善综合管廊建设规划编制。</w:t>
      </w:r>
      <w:r>
        <w:rPr>
          <w:rFonts w:hint="eastAsia" w:ascii="方正兰亭纤黑简体" w:hAnsi="仿宋" w:eastAsia="方正兰亭纤黑简体" w:cs="仿宋"/>
          <w:sz w:val="28"/>
        </w:rPr>
        <w:t>以现有相关规划编制体系为本底，以我区实际情况为前提，与各阶段国土空间总体规划及专项规划对接，优化细化规划编制体系，明确各层次规划管控要求，有效指导综合管廊建设。将综合管廊相关规划纳入国土空间规划管控构建“一张图”，与城市道路、地下空间开发等专项规划形成系统。坚持“实施一批、储备一批、谋划一批”的推进原则，根据综合管廊相关规划，结合城市道路、轨道交通、管线改造等基础设施项目建设时序，统筹安排编制相应的三年滚动建设计划，处理好在建项目、新开工项目、开展前期研究项目之间的关系，形成接续不断、滚动实施的储备机制和良性循环体系，做到项目实施“三同步”，使整体城市基础设施建设紧凑高效。</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推进本土化体系建设。</w:t>
      </w:r>
      <w:r>
        <w:rPr>
          <w:rFonts w:hint="eastAsia" w:ascii="方正兰亭纤黑简体" w:hAnsi="仿宋" w:eastAsia="方正兰亭纤黑简体" w:cs="仿宋"/>
          <w:sz w:val="28"/>
        </w:rPr>
        <w:t>为消除现状“空中蛛网”，提升城市整体形象，我区将加快城市架空管线下地。重点推动缆线管廊建设，作为管廊系统重要形式之一，符合我区的实际情况。2021-2025期间我区将大力提高缆线管廊建设配比，将缆线管廊作为城市道路附属设施与城市道路建设同步实施，以缆线管廊统筹电力、通信管线集中敷设。2021-2025期间拟规划建设约15.1公里缆线管廊。</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加强管廊运营管理。</w:t>
      </w:r>
      <w:r>
        <w:rPr>
          <w:rFonts w:hint="eastAsia" w:ascii="方正兰亭纤黑简体" w:hAnsi="仿宋" w:eastAsia="方正兰亭纤黑简体" w:cs="仿宋"/>
          <w:sz w:val="28"/>
        </w:rPr>
        <w:t>管廊是建设韧性城市的重要内容，是城市的“生命线”和“里子”工程，对加强水、电、气、信等城市“生命线”维护，保障城市正常运行具有重要意义。一是建立综合管廊运行和维护管理制度，主要包括日常巡检、作业管理、设施维护等。二是完善综合管廊安全生产管理责任制度，主要包括出入安全、作业安全、隐患排查、应急处置等。三是做好运营安全日常管理。应包含制定综合管廊日常工作计划、编制综合管廊安全保障应急处置预案、定期开展综合管廊运营安全评估等方面。四是编制完善综合管廊入廊协议，明确管线施工和维护管理制度，加强维护人员培训，明确相关职责。</w:t>
      </w:r>
    </w:p>
    <w:p>
      <w:pPr>
        <w:widowControl/>
        <w:ind w:firstLine="0" w:firstLineChars="0"/>
        <w:jc w:val="left"/>
        <w:rPr>
          <w:rFonts w:ascii="方正兰亭纤黑简体" w:hAnsi="仿宋" w:eastAsia="方正兰亭纤黑简体" w:cs="仿宋"/>
          <w:sz w:val="28"/>
        </w:rPr>
      </w:pPr>
    </w:p>
    <w:p>
      <w:pPr>
        <w:adjustRightInd w:val="0"/>
        <w:snapToGrid w:val="0"/>
        <w:spacing w:line="408" w:lineRule="auto"/>
        <w:ind w:firstLine="0" w:firstLineChars="0"/>
        <w:jc w:val="center"/>
        <w:rPr>
          <w:rFonts w:ascii="方正兰亭纤黑简体" w:hAnsi="仿宋" w:eastAsia="方正兰亭纤黑简体" w:cs="仿宋"/>
          <w:b/>
          <w:sz w:val="28"/>
          <w:szCs w:val="28"/>
        </w:rPr>
      </w:pPr>
      <w:r>
        <w:rPr>
          <w:rFonts w:hint="eastAsia" w:ascii="方正兰亭纤黑简体" w:hAnsi="仿宋" w:eastAsia="方正兰亭纤黑简体" w:cs="仿宋"/>
          <w:b/>
          <w:sz w:val="28"/>
          <w:szCs w:val="28"/>
        </w:rPr>
        <w:t>专栏</w:t>
      </w:r>
      <w:r>
        <w:rPr>
          <w:rFonts w:ascii="方正兰亭纤黑简体" w:hAnsi="仿宋" w:eastAsia="方正兰亭纤黑简体" w:cs="仿宋"/>
          <w:b/>
          <w:sz w:val="28"/>
          <w:szCs w:val="28"/>
        </w:rPr>
        <w:t>7</w:t>
      </w:r>
      <w:r>
        <w:rPr>
          <w:rFonts w:hint="eastAsia" w:ascii="方正兰亭纤黑简体" w:hAnsi="仿宋" w:eastAsia="方正兰亭纤黑简体" w:cs="仿宋"/>
          <w:b/>
          <w:sz w:val="28"/>
          <w:szCs w:val="28"/>
        </w:rPr>
        <w:t xml:space="preserve"> 综合管廊建设重点项目</w:t>
      </w:r>
    </w:p>
    <w:tbl>
      <w:tblPr>
        <w:tblStyle w:val="24"/>
        <w:tblW w:w="829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4" w:hRule="atLeast"/>
          <w:jc w:val="center"/>
        </w:trPr>
        <w:tc>
          <w:tcPr>
            <w:tcW w:w="8296" w:type="dxa"/>
          </w:tcPr>
          <w:p>
            <w:pPr>
              <w:adjustRightInd w:val="0"/>
              <w:snapToGrid w:val="0"/>
              <w:spacing w:line="432" w:lineRule="auto"/>
              <w:ind w:firstLine="366" w:firstLineChars="152"/>
              <w:rPr>
                <w:rFonts w:ascii="方正兰亭纤黑简体" w:hAnsi="仿宋" w:eastAsia="方正兰亭纤黑简体" w:cs="仿宋"/>
                <w:sz w:val="24"/>
              </w:rPr>
            </w:pPr>
            <w:r>
              <w:rPr>
                <w:rFonts w:hint="eastAsia" w:ascii="方正兰亭纤黑简体" w:hAnsi="仿宋" w:eastAsia="方正兰亭纤黑简体" w:cs="仿宋"/>
                <w:b/>
                <w:sz w:val="24"/>
              </w:rPr>
              <w:t>新建</w:t>
            </w:r>
            <w:r>
              <w:rPr>
                <w:rFonts w:ascii="方正兰亭纤黑简体" w:hAnsi="仿宋" w:eastAsia="方正兰亭纤黑简体" w:cs="仿宋"/>
                <w:b/>
                <w:sz w:val="24"/>
              </w:rPr>
              <w:t>项目：</w:t>
            </w:r>
            <w:r>
              <w:rPr>
                <w:rFonts w:hint="eastAsia" w:ascii="方正兰亭纤黑简体" w:hAnsi="仿宋" w:eastAsia="方正兰亭纤黑简体" w:cs="仿宋"/>
                <w:sz w:val="24"/>
              </w:rPr>
              <w:t>龙水新城综合管网建设工程（一期）、综合管廊配建</w:t>
            </w:r>
          </w:p>
          <w:p>
            <w:pPr>
              <w:adjustRightInd w:val="0"/>
              <w:snapToGrid w:val="0"/>
              <w:spacing w:line="432" w:lineRule="auto"/>
              <w:ind w:firstLine="366" w:firstLineChars="152"/>
              <w:rPr>
                <w:rFonts w:ascii="方正兰亭纤黑简体" w:hAnsi="仿宋" w:eastAsia="方正兰亭纤黑简体" w:cs="仿宋"/>
              </w:rPr>
            </w:pPr>
            <w:r>
              <w:rPr>
                <w:rFonts w:hint="eastAsia" w:ascii="方正兰亭纤黑简体" w:hAnsi="仿宋" w:eastAsia="方正兰亭纤黑简体" w:cs="仿宋"/>
                <w:b/>
                <w:sz w:val="24"/>
              </w:rPr>
              <w:t>储备</w:t>
            </w:r>
            <w:r>
              <w:rPr>
                <w:rFonts w:ascii="方正兰亭纤黑简体" w:hAnsi="仿宋" w:eastAsia="方正兰亭纤黑简体" w:cs="仿宋"/>
                <w:b/>
                <w:sz w:val="24"/>
              </w:rPr>
              <w:t>项目：</w:t>
            </w:r>
            <w:r>
              <w:rPr>
                <w:rFonts w:hint="eastAsia" w:ascii="方正兰亭纤黑简体" w:hAnsi="仿宋" w:eastAsia="方正兰亭纤黑简体" w:cs="仿宋"/>
                <w:sz w:val="24"/>
              </w:rPr>
              <w:t>龙水新城综合管网建设（二期）。</w:t>
            </w:r>
          </w:p>
        </w:tc>
      </w:tr>
    </w:tbl>
    <w:p>
      <w:pPr>
        <w:pStyle w:val="5"/>
        <w:ind w:left="0"/>
        <w:rPr>
          <w:rFonts w:ascii="方正兰亭纤黑简体" w:hAnsi="仿宋" w:eastAsia="方正兰亭纤黑简体" w:cs="仿宋"/>
          <w:b/>
          <w:bCs w:val="0"/>
        </w:rPr>
      </w:pPr>
      <w:r>
        <w:rPr>
          <w:rFonts w:hint="eastAsia" w:ascii="方正兰亭纤黑简体" w:hAnsi="仿宋" w:eastAsia="方正兰亭纤黑简体" w:cs="仿宋"/>
          <w:b/>
          <w:bCs w:val="0"/>
        </w:rPr>
        <w:t>提升城市照明品质</w:t>
      </w:r>
      <w:bookmarkEnd w:id="158"/>
    </w:p>
    <w:p>
      <w:pPr>
        <w:widowControl/>
        <w:ind w:firstLine="560"/>
        <w:jc w:val="left"/>
        <w:rPr>
          <w:rFonts w:ascii="方正兰亭纤黑简体" w:hAnsi="仿宋" w:eastAsia="方正兰亭纤黑简体" w:cs="仿宋"/>
          <w:sz w:val="28"/>
        </w:rPr>
      </w:pPr>
      <w:r>
        <w:rPr>
          <w:rFonts w:hint="eastAsia" w:ascii="方正兰亭纤黑简体" w:hAnsi="仿宋" w:eastAsia="方正兰亭纤黑简体" w:cs="仿宋"/>
          <w:sz w:val="28"/>
        </w:rPr>
        <w:t>以构建绿色生态与健康文明的城市照明环境为目标，以高效、节能、环保、安全、和谐为核心，提高城市照明设施建设和维护管理水平，构建绿色、健康、人文的照明环境。</w:t>
      </w:r>
    </w:p>
    <w:p>
      <w:pPr>
        <w:widowControl/>
        <w:ind w:firstLine="560"/>
        <w:jc w:val="left"/>
        <w:rPr>
          <w:rFonts w:ascii="方正兰亭纤黑简体" w:hAnsi="仿宋" w:eastAsia="方正兰亭纤黑简体" w:cs="仿宋"/>
          <w:sz w:val="28"/>
        </w:rPr>
      </w:pPr>
      <w:r>
        <w:rPr>
          <w:rFonts w:hint="eastAsia" w:ascii="方正兰亭纤黑简体" w:hAnsi="仿宋" w:eastAsia="方正兰亭纤黑简体" w:cs="仿宋"/>
          <w:sz w:val="28"/>
        </w:rPr>
        <w:t>推进城市照明设施建设。结合城市发展及更新，以满足交通安全、视觉舒适的基本功能需求为前提，新建一批符合城市风貌、人文特色的城市照明设施。</w:t>
      </w:r>
    </w:p>
    <w:p>
      <w:pPr>
        <w:widowControl/>
        <w:ind w:firstLine="560"/>
        <w:jc w:val="left"/>
        <w:rPr>
          <w:rFonts w:ascii="方正兰亭纤黑简体" w:hAnsi="仿宋" w:eastAsia="方正兰亭纤黑简体" w:cs="仿宋"/>
          <w:sz w:val="28"/>
        </w:rPr>
      </w:pPr>
      <w:r>
        <w:rPr>
          <w:rFonts w:hint="eastAsia" w:ascii="方正兰亭纤黑简体" w:hAnsi="仿宋" w:eastAsia="方正兰亭纤黑简体" w:cs="仿宋"/>
          <w:sz w:val="28"/>
        </w:rPr>
        <w:t>推进中心城区路灯安装，加大老旧小区、老旧厂区、老旧街区及城中村等区域城市照明设施改造，消除城市照明暗盲区。</w:t>
      </w:r>
    </w:p>
    <w:p>
      <w:pPr>
        <w:widowControl/>
        <w:ind w:firstLine="560"/>
        <w:jc w:val="left"/>
        <w:rPr>
          <w:rFonts w:ascii="方正兰亭纤黑简体" w:hAnsi="仿宋" w:eastAsia="方正兰亭纤黑简体" w:cs="仿宋"/>
          <w:sz w:val="28"/>
        </w:rPr>
      </w:pPr>
      <w:r>
        <w:rPr>
          <w:rFonts w:hint="eastAsia" w:ascii="方正兰亭纤黑简体" w:hAnsi="仿宋" w:eastAsia="方正兰亭纤黑简体" w:cs="仿宋"/>
          <w:sz w:val="28"/>
        </w:rPr>
        <w:t>提高城市灯光品质，改造维护和升级部分灯饰，提升灯饰景观效果，服务夜间经济发展。</w:t>
      </w:r>
    </w:p>
    <w:p>
      <w:pPr>
        <w:adjustRightInd w:val="0"/>
        <w:snapToGrid w:val="0"/>
        <w:spacing w:line="408" w:lineRule="auto"/>
        <w:ind w:firstLine="0" w:firstLineChars="0"/>
        <w:jc w:val="center"/>
        <w:rPr>
          <w:rFonts w:ascii="方正兰亭纤黑简体" w:hAnsi="仿宋" w:eastAsia="方正兰亭纤黑简体" w:cs="仿宋"/>
          <w:b/>
          <w:sz w:val="28"/>
          <w:szCs w:val="28"/>
        </w:rPr>
      </w:pPr>
      <w:r>
        <w:rPr>
          <w:rFonts w:hint="eastAsia" w:ascii="方正兰亭纤黑简体" w:hAnsi="仿宋" w:eastAsia="方正兰亭纤黑简体" w:cs="仿宋"/>
          <w:b/>
          <w:sz w:val="28"/>
          <w:szCs w:val="28"/>
        </w:rPr>
        <w:t>专栏</w:t>
      </w:r>
      <w:r>
        <w:rPr>
          <w:rFonts w:ascii="方正兰亭纤黑简体" w:hAnsi="仿宋" w:eastAsia="方正兰亭纤黑简体" w:cs="仿宋"/>
          <w:b/>
          <w:sz w:val="28"/>
          <w:szCs w:val="28"/>
        </w:rPr>
        <w:t>8</w:t>
      </w:r>
      <w:r>
        <w:rPr>
          <w:rFonts w:hint="eastAsia" w:ascii="方正兰亭纤黑简体" w:hAnsi="仿宋" w:eastAsia="方正兰亭纤黑简体" w:cs="仿宋"/>
          <w:b/>
          <w:sz w:val="28"/>
          <w:szCs w:val="28"/>
        </w:rPr>
        <w:t xml:space="preserve">  提升城市照明重点项目</w:t>
      </w:r>
    </w:p>
    <w:tbl>
      <w:tblPr>
        <w:tblStyle w:val="24"/>
        <w:tblW w:w="829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4" w:hRule="atLeast"/>
          <w:jc w:val="center"/>
        </w:trPr>
        <w:tc>
          <w:tcPr>
            <w:tcW w:w="8296" w:type="dxa"/>
          </w:tcPr>
          <w:p>
            <w:pPr>
              <w:adjustRightInd w:val="0"/>
              <w:snapToGrid w:val="0"/>
              <w:spacing w:line="432" w:lineRule="auto"/>
              <w:ind w:firstLine="366" w:firstLineChars="152"/>
              <w:rPr>
                <w:rFonts w:ascii="方正兰亭纤黑简体" w:hAnsi="仿宋" w:eastAsia="方正兰亭纤黑简体" w:cs="仿宋"/>
                <w:sz w:val="24"/>
              </w:rPr>
            </w:pPr>
            <w:r>
              <w:rPr>
                <w:rFonts w:hint="eastAsia" w:ascii="方正兰亭纤黑简体" w:hAnsi="仿宋" w:eastAsia="方正兰亭纤黑简体" w:cs="仿宋"/>
                <w:b/>
                <w:bCs/>
                <w:sz w:val="24"/>
              </w:rPr>
              <w:t>建设</w:t>
            </w:r>
            <w:r>
              <w:rPr>
                <w:rFonts w:ascii="方正兰亭纤黑简体" w:hAnsi="仿宋" w:eastAsia="方正兰亭纤黑简体" w:cs="仿宋"/>
                <w:b/>
                <w:bCs/>
                <w:sz w:val="24"/>
              </w:rPr>
              <w:t>项目：</w:t>
            </w:r>
            <w:r>
              <w:rPr>
                <w:rFonts w:hint="eastAsia" w:ascii="方正兰亭纤黑简体" w:hAnsi="仿宋" w:eastAsia="方正兰亭纤黑简体" w:cs="仿宋"/>
                <w:sz w:val="24"/>
              </w:rPr>
              <w:t>城区灯饰建设及维护、2023年城区道路节点亮化安装；</w:t>
            </w:r>
          </w:p>
          <w:p>
            <w:pPr>
              <w:adjustRightInd w:val="0"/>
              <w:snapToGrid w:val="0"/>
              <w:spacing w:line="432" w:lineRule="auto"/>
              <w:ind w:firstLine="366" w:firstLineChars="152"/>
              <w:rPr>
                <w:rFonts w:ascii="方正兰亭纤黑简体" w:eastAsia="方正兰亭纤黑简体"/>
              </w:rPr>
            </w:pPr>
            <w:r>
              <w:rPr>
                <w:rFonts w:hint="eastAsia" w:ascii="方正兰亭纤黑简体" w:hAnsi="仿宋" w:eastAsia="方正兰亭纤黑简体" w:cs="仿宋"/>
                <w:b/>
                <w:bCs/>
                <w:sz w:val="24"/>
              </w:rPr>
              <w:t>储备</w:t>
            </w:r>
            <w:r>
              <w:rPr>
                <w:rFonts w:ascii="方正兰亭纤黑简体" w:hAnsi="仿宋" w:eastAsia="方正兰亭纤黑简体" w:cs="仿宋"/>
                <w:b/>
                <w:bCs/>
                <w:sz w:val="24"/>
              </w:rPr>
              <w:t>项目：</w:t>
            </w:r>
            <w:r>
              <w:rPr>
                <w:rFonts w:hint="eastAsia" w:ascii="方正兰亭纤黑简体" w:hAnsi="仿宋" w:eastAsia="方正兰亭纤黑简体" w:cs="仿宋"/>
                <w:sz w:val="24"/>
              </w:rPr>
              <w:t>大足区城市照明改造项目。</w:t>
            </w:r>
          </w:p>
        </w:tc>
      </w:tr>
      <w:bookmarkEnd w:id="144"/>
      <w:bookmarkEnd w:id="145"/>
      <w:bookmarkEnd w:id="146"/>
    </w:tbl>
    <w:p>
      <w:pPr>
        <w:widowControl/>
        <w:ind w:firstLine="640"/>
        <w:jc w:val="left"/>
        <w:rPr>
          <w:rFonts w:ascii="仿宋" w:hAnsi="仿宋" w:eastAsia="仿宋" w:cs="仿宋"/>
        </w:rPr>
      </w:pPr>
      <w:r>
        <w:rPr>
          <w:rFonts w:ascii="仿宋" w:hAnsi="仿宋" w:eastAsia="仿宋" w:cs="仿宋"/>
        </w:rPr>
        <w:br w:type="page"/>
      </w:r>
    </w:p>
    <w:p>
      <w:pPr>
        <w:pStyle w:val="4"/>
        <w:numPr>
          <w:ilvl w:val="1"/>
          <w:numId w:val="2"/>
        </w:numPr>
        <w:adjustRightInd w:val="0"/>
        <w:snapToGrid w:val="0"/>
        <w:spacing w:line="432" w:lineRule="auto"/>
        <w:ind w:left="0"/>
        <w:rPr>
          <w:rFonts w:ascii="方正兰亭粗黑简体" w:hAnsi="仿宋" w:eastAsia="方正兰亭粗黑简体" w:cs="仿宋"/>
          <w:b/>
        </w:rPr>
      </w:pPr>
      <w:r>
        <w:rPr>
          <w:rFonts w:hint="eastAsia" w:ascii="方正兰亭粗黑简体" w:hAnsi="仿宋" w:eastAsia="方正兰亭粗黑简体" w:cs="仿宋"/>
          <w:b/>
        </w:rPr>
        <w:t>助力城市高速发展，保障城市运行安全</w:t>
      </w:r>
      <w:bookmarkEnd w:id="147"/>
      <w:bookmarkEnd w:id="148"/>
      <w:bookmarkEnd w:id="149"/>
      <w:bookmarkEnd w:id="150"/>
      <w:bookmarkEnd w:id="151"/>
    </w:p>
    <w:p>
      <w:pPr>
        <w:widowControl/>
        <w:ind w:firstLine="560"/>
        <w:jc w:val="left"/>
        <w:rPr>
          <w:rFonts w:ascii="方正兰亭纤黑简体" w:hAnsi="仿宋" w:eastAsia="方正兰亭纤黑简体" w:cs="仿宋"/>
          <w:sz w:val="28"/>
        </w:rPr>
      </w:pPr>
      <w:bookmarkStart w:id="160" w:name="_Toc24314"/>
      <w:r>
        <w:rPr>
          <w:rFonts w:hint="eastAsia" w:ascii="方正兰亭纤黑简体" w:hAnsi="仿宋" w:eastAsia="方正兰亭纤黑简体" w:cs="仿宋"/>
          <w:sz w:val="28"/>
        </w:rPr>
        <w:t>把保障和改善民生作为根本出发点，着力加强能源民生基础设施和公共服务能力建设，统筹建设电力、天然气等能源基础设施，提高能源普遍服务水平，构建安全高效的现代能源体系，全面提高能源保障水平和利用效率。</w:t>
      </w:r>
    </w:p>
    <w:p>
      <w:pPr>
        <w:pStyle w:val="5"/>
        <w:ind w:left="0"/>
        <w:rPr>
          <w:rFonts w:ascii="方正兰亭纤黑简体" w:hAnsi="仿宋" w:eastAsia="方正兰亭纤黑简体" w:cs="仿宋"/>
          <w:b/>
          <w:bCs w:val="0"/>
        </w:rPr>
      </w:pPr>
      <w:bookmarkStart w:id="161" w:name="_Toc14606"/>
      <w:bookmarkStart w:id="162" w:name="_Toc18499"/>
      <w:bookmarkStart w:id="163" w:name="_Toc574"/>
      <w:bookmarkStart w:id="164" w:name="_Toc25481"/>
      <w:r>
        <w:rPr>
          <w:rFonts w:hint="eastAsia" w:ascii="方正兰亭纤黑简体" w:hAnsi="仿宋" w:eastAsia="方正兰亭纤黑简体" w:cs="仿宋"/>
          <w:b/>
          <w:bCs w:val="0"/>
        </w:rPr>
        <w:t>加强城市供节水保障体系</w:t>
      </w:r>
      <w:bookmarkEnd w:id="161"/>
      <w:bookmarkEnd w:id="162"/>
      <w:bookmarkEnd w:id="163"/>
      <w:bookmarkEnd w:id="164"/>
    </w:p>
    <w:p>
      <w:pPr>
        <w:widowControl/>
        <w:ind w:firstLine="560"/>
        <w:jc w:val="left"/>
        <w:rPr>
          <w:rFonts w:ascii="方正兰亭纤黑简体" w:hAnsi="仿宋" w:eastAsia="方正兰亭纤黑简体" w:cs="仿宋"/>
          <w:sz w:val="28"/>
        </w:rPr>
      </w:pPr>
      <w:r>
        <w:rPr>
          <w:rFonts w:hint="eastAsia" w:ascii="方正兰亭纤黑简体" w:hAnsi="仿宋" w:eastAsia="方正兰亭纤黑简体" w:cs="仿宋"/>
          <w:sz w:val="28"/>
        </w:rPr>
        <w:t>以水量充足、水质安全、服务优良为保障目标，重点解决我区城市供水水量充足性、水质安全性、系统可靠性问题。主要实施城市供水能力补短板工程，建设互联互通的供水保障体系，完善城市备用水源使用管理制度。</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保障城市供水充足。</w:t>
      </w:r>
      <w:r>
        <w:rPr>
          <w:rFonts w:hint="eastAsia" w:ascii="方正兰亭纤黑简体" w:hAnsi="仿宋" w:eastAsia="方正兰亭纤黑简体" w:cs="仿宋"/>
          <w:sz w:val="28"/>
        </w:rPr>
        <w:t>以保障中心城区水量充足为目标，推进辖区内城市供水备用水源建设，制定备用水源设施管理使用制度，修订完善辖区内供水应急预案，提升应急处置能力。2021-2025期间为匹配城市发展需求，拟实施大足城区水厂搬迁工程，供水总规模达到10万立方米/天，城市规划区内供水普及率达100%。2021-2025期间拟配合道路建设与地块开发，新建管网75千米，城市公共供水管网漏损率控制在10%以下。</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提升城市供水品质。</w:t>
      </w:r>
      <w:r>
        <w:rPr>
          <w:rFonts w:hint="eastAsia" w:ascii="方正兰亭纤黑简体" w:hAnsi="仿宋" w:eastAsia="方正兰亭纤黑简体" w:cs="仿宋"/>
          <w:sz w:val="28"/>
        </w:rPr>
        <w:t>配合全市推进辖区水厂水质在线监测系统建设，严格城市供水水质分级监管制度，确保水质安全。规定饮用水源保护区，全面实施饮用水水源地安全保障达标及标准化建设31个，建设隔离防护约70千米，保障群众源水品质。</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提高城市供水服务水平。</w:t>
      </w:r>
      <w:r>
        <w:rPr>
          <w:rFonts w:hint="eastAsia" w:ascii="方正兰亭纤黑简体" w:hAnsi="仿宋" w:eastAsia="方正兰亭纤黑简体" w:cs="仿宋"/>
          <w:sz w:val="28"/>
        </w:rPr>
        <w:t>以提高全区城市供水服务能力为目标，不断提高城市供水应急保障能力和服务水平。加大供水设施改造力度，积极推进城区老旧供水管网改造工作，大幅度降低城区供水管网漏损率。加大新型节水器推广力度，实行节水器具和设备市场准入和认定制度。节水设施与主体工程同步设计、同步实施、同步投入使用。大力实施“一户一表”改造工程，加快推进“总表分户”工作。</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推进城市节水管理。</w:t>
      </w:r>
      <w:r>
        <w:rPr>
          <w:rFonts w:hint="eastAsia" w:ascii="方正兰亭纤黑简体" w:hAnsi="仿宋" w:eastAsia="方正兰亭纤黑简体" w:cs="仿宋"/>
          <w:sz w:val="28"/>
        </w:rPr>
        <w:t>推进阶梯式水价制度，加快推行非居民用水超定额累进加价制度。从严控制高耗水服务业用水定额。加强城市供水厂节水管理，提高供给效率，提升管网安全运营水平，降低管网漏损，进一步推进管网优化改造。积极推广应用节水新技术、新工艺和新产品，提高节水器具使用率，完成节水城区创建工作。</w:t>
      </w:r>
    </w:p>
    <w:p>
      <w:pPr>
        <w:adjustRightInd w:val="0"/>
        <w:snapToGrid w:val="0"/>
        <w:spacing w:line="408" w:lineRule="auto"/>
        <w:ind w:firstLine="0" w:firstLineChars="0"/>
        <w:jc w:val="center"/>
        <w:rPr>
          <w:rFonts w:ascii="方正兰亭纤黑简体" w:hAnsi="仿宋" w:eastAsia="方正兰亭纤黑简体" w:cs="仿宋"/>
          <w:b/>
          <w:sz w:val="28"/>
          <w:szCs w:val="28"/>
        </w:rPr>
      </w:pPr>
      <w:r>
        <w:rPr>
          <w:rFonts w:hint="eastAsia" w:ascii="方正兰亭纤黑简体" w:hAnsi="仿宋" w:eastAsia="方正兰亭纤黑简体" w:cs="仿宋"/>
          <w:b/>
          <w:sz w:val="28"/>
          <w:szCs w:val="28"/>
        </w:rPr>
        <w:t>专栏1 城市供水设施重点项目</w:t>
      </w:r>
    </w:p>
    <w:tbl>
      <w:tblPr>
        <w:tblStyle w:val="24"/>
        <w:tblW w:w="829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4" w:hRule="atLeast"/>
          <w:jc w:val="center"/>
        </w:trPr>
        <w:tc>
          <w:tcPr>
            <w:tcW w:w="8296" w:type="dxa"/>
          </w:tcPr>
          <w:p>
            <w:pPr>
              <w:widowControl/>
              <w:ind w:firstLine="480"/>
              <w:jc w:val="left"/>
              <w:rPr>
                <w:rFonts w:ascii="方正兰亭纤黑简体" w:hAnsi="仿宋" w:eastAsia="方正兰亭纤黑简体" w:cs="仿宋"/>
                <w:sz w:val="28"/>
                <w:szCs w:val="28"/>
              </w:rPr>
            </w:pPr>
            <w:r>
              <w:rPr>
                <w:rFonts w:hint="eastAsia" w:ascii="方正兰亭纤黑简体" w:hAnsi="仿宋" w:eastAsia="方正兰亭纤黑简体" w:cs="仿宋"/>
                <w:sz w:val="24"/>
              </w:rPr>
              <w:t>大足城区水厂搬迁工程</w:t>
            </w:r>
            <w:r>
              <w:rPr>
                <w:rFonts w:hint="eastAsia" w:ascii="方正兰亭纤黑简体" w:hAnsi="仿宋" w:eastAsia="方正兰亭纤黑简体" w:cs="仿宋"/>
                <w:color w:val="FF0000"/>
                <w:sz w:val="24"/>
              </w:rPr>
              <w:t>、</w:t>
            </w:r>
            <w:r>
              <w:rPr>
                <w:rFonts w:ascii="方正兰亭纤黑简体" w:hAnsi="仿宋" w:eastAsia="方正兰亭纤黑简体" w:cs="仿宋"/>
                <w:color w:val="FF0000"/>
                <w:sz w:val="24"/>
              </w:rPr>
              <w:t>三驱</w:t>
            </w:r>
            <w:r>
              <w:rPr>
                <w:rFonts w:hint="eastAsia" w:ascii="方正兰亭纤黑简体" w:hAnsi="仿宋" w:eastAsia="方正兰亭纤黑简体" w:cs="仿宋"/>
                <w:color w:val="FF0000"/>
                <w:sz w:val="24"/>
              </w:rPr>
              <w:t>自来水厂</w:t>
            </w:r>
            <w:r>
              <w:rPr>
                <w:rFonts w:ascii="方正兰亭纤黑简体" w:hAnsi="仿宋" w:eastAsia="方正兰亭纤黑简体" w:cs="仿宋"/>
                <w:color w:val="FF0000"/>
                <w:sz w:val="24"/>
              </w:rPr>
              <w:t>扩建工程</w:t>
            </w:r>
            <w:r>
              <w:rPr>
                <w:rFonts w:hint="eastAsia" w:ascii="方正兰亭纤黑简体" w:hAnsi="仿宋" w:eastAsia="方正兰亭纤黑简体" w:cs="仿宋"/>
                <w:sz w:val="24"/>
              </w:rPr>
              <w:t>。</w:t>
            </w:r>
          </w:p>
        </w:tc>
      </w:tr>
    </w:tbl>
    <w:p>
      <w:pPr>
        <w:pStyle w:val="29"/>
        <w:adjustRightInd w:val="0"/>
        <w:snapToGrid w:val="0"/>
        <w:ind w:firstLine="560"/>
        <w:rPr>
          <w:rFonts w:ascii="方正兰亭纤黑简体" w:hAnsi="仿宋" w:eastAsia="方正兰亭纤黑简体" w:cs="仿宋"/>
          <w:kern w:val="2"/>
          <w:sz w:val="28"/>
        </w:rPr>
      </w:pPr>
    </w:p>
    <w:p>
      <w:pPr>
        <w:pStyle w:val="5"/>
        <w:ind w:left="0"/>
        <w:rPr>
          <w:rFonts w:ascii="方正兰亭纤黑简体" w:hAnsi="仿宋" w:eastAsia="方正兰亭纤黑简体" w:cs="仿宋"/>
          <w:b/>
          <w:bCs w:val="0"/>
        </w:rPr>
      </w:pPr>
      <w:bookmarkStart w:id="165" w:name="_Toc9367"/>
      <w:bookmarkStart w:id="166" w:name="_Toc21326"/>
      <w:bookmarkStart w:id="167" w:name="_Toc9571"/>
      <w:bookmarkStart w:id="168" w:name="_Toc29747"/>
      <w:r>
        <w:rPr>
          <w:rFonts w:hint="eastAsia" w:ascii="方正兰亭纤黑简体" w:hAnsi="仿宋" w:eastAsia="方正兰亭纤黑简体" w:cs="仿宋"/>
          <w:b/>
          <w:bCs w:val="0"/>
        </w:rPr>
        <w:t>提升电力供应保障</w:t>
      </w:r>
      <w:bookmarkEnd w:id="160"/>
      <w:bookmarkEnd w:id="165"/>
      <w:bookmarkEnd w:id="166"/>
      <w:bookmarkEnd w:id="167"/>
      <w:bookmarkEnd w:id="168"/>
    </w:p>
    <w:p>
      <w:pPr>
        <w:widowControl/>
        <w:ind w:firstLine="560"/>
        <w:jc w:val="left"/>
        <w:rPr>
          <w:rFonts w:ascii="方正兰亭纤黑简体" w:hAnsi="仿宋" w:eastAsia="方正兰亭纤黑简体" w:cs="仿宋"/>
          <w:sz w:val="28"/>
        </w:rPr>
      </w:pPr>
      <w:r>
        <w:rPr>
          <w:rFonts w:hint="eastAsia" w:ascii="方正兰亭纤黑简体" w:hAnsi="仿宋" w:eastAsia="方正兰亭纤黑简体" w:cs="仿宋"/>
          <w:sz w:val="28"/>
        </w:rPr>
        <w:t>2021-2025期间电力规划以优化配网结构为重点，以提高供电可靠性和供电质量为目标，以全寿命周期管理为主线，建设与改造并举，提升发展理念，完善标准体系，统一标准、统一规划、远近结合、协调发展，各专业横向协同、各层级纵向贯通，加强规划、设计、建设、运维全过程管理，加快建设世界一流现代配电网。</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积极推进变电站建设。</w:t>
      </w:r>
      <w:r>
        <w:rPr>
          <w:rFonts w:hint="eastAsia" w:ascii="方正兰亭纤黑简体" w:hAnsi="仿宋" w:eastAsia="方正兰亭纤黑简体" w:cs="仿宋"/>
          <w:sz w:val="28"/>
        </w:rPr>
        <w:t>2021-2025期间拟推动重庆大足110kV马家坡变电站110kV变压器利旧改造、十里110kV变电站35kV送出工程、重庆大足大雄110kV输变电工程、</w:t>
      </w:r>
      <w:r>
        <w:rPr>
          <w:rFonts w:hint="eastAsia" w:ascii="方正兰亭纤黑简体" w:hAnsi="仿宋" w:eastAsia="方正兰亭纤黑简体" w:cs="仿宋"/>
          <w:color w:val="FF0000"/>
          <w:sz w:val="28"/>
        </w:rPr>
        <w:t>重庆大足智凤220千伏输变电工程、</w:t>
      </w:r>
      <w:r>
        <w:rPr>
          <w:rFonts w:hint="eastAsia" w:ascii="方正兰亭纤黑简体" w:hAnsi="仿宋" w:eastAsia="方正兰亭纤黑简体" w:cs="仿宋"/>
          <w:sz w:val="28"/>
        </w:rPr>
        <w:t>重庆大足智凤220千伏</w:t>
      </w:r>
      <w:r>
        <w:rPr>
          <w:rFonts w:hint="eastAsia" w:ascii="方正兰亭纤黑简体" w:hAnsi="仿宋" w:eastAsia="方正兰亭纤黑简体" w:cs="仿宋"/>
          <w:color w:val="FF0000"/>
          <w:sz w:val="28"/>
        </w:rPr>
        <w:t>变电站110千伏送出工程、重庆三驱110千伏输变电工程、重庆大足回龙35kV变电站2号主变改造工程</w:t>
      </w:r>
      <w:r>
        <w:rPr>
          <w:rFonts w:hint="eastAsia" w:ascii="方正兰亭纤黑简体" w:hAnsi="仿宋" w:eastAsia="方正兰亭纤黑简体" w:cs="仿宋"/>
          <w:sz w:val="28"/>
        </w:rPr>
        <w:t>、重庆大足大围35kV变电站1号主变改造工程、重庆大足水丰110kV变电站35kV送出工程等工程，新增变电容量708.7MVA，持续提升中心城区电力供给。</w:t>
      </w:r>
    </w:p>
    <w:p>
      <w:pPr>
        <w:widowControl/>
        <w:ind w:firstLine="562"/>
        <w:jc w:val="left"/>
        <w:rPr>
          <w:rFonts w:hint="eastAsia" w:ascii="方正兰亭纤黑简体" w:hAnsi="仿宋" w:eastAsia="方正兰亭纤黑简体" w:cs="仿宋"/>
          <w:sz w:val="28"/>
        </w:rPr>
      </w:pPr>
      <w:r>
        <w:rPr>
          <w:rFonts w:hint="eastAsia" w:ascii="方正兰亭纤黑简体" w:hAnsi="仿宋" w:eastAsia="方正兰亭纤黑简体" w:cs="仿宋"/>
          <w:b/>
          <w:bCs/>
          <w:sz w:val="28"/>
        </w:rPr>
        <w:t>积极推进线网建设。</w:t>
      </w:r>
      <w:r>
        <w:rPr>
          <w:rFonts w:hint="eastAsia" w:ascii="方正兰亭纤黑简体" w:hAnsi="仿宋" w:eastAsia="方正兰亭纤黑简体" w:cs="仿宋"/>
          <w:sz w:val="28"/>
        </w:rPr>
        <w:t>2021-2025期间我区将加快推动大足区500千伏输变电工程前期论证工作，研究储备重庆</w:t>
      </w:r>
      <w:r>
        <w:rPr>
          <w:rFonts w:hint="eastAsia" w:ascii="方正兰亭纤黑简体" w:hAnsi="仿宋" w:eastAsia="方正兰亭纤黑简体" w:cs="仿宋"/>
          <w:color w:val="FF0000"/>
          <w:sz w:val="28"/>
        </w:rPr>
        <w:t>大足田坝110KV输变电工程、重庆子店110千伏输变电工程，</w:t>
      </w:r>
      <w:r>
        <w:rPr>
          <w:rFonts w:hint="eastAsia" w:ascii="方正兰亭纤黑简体" w:hAnsi="仿宋" w:eastAsia="方正兰亭纤黑简体" w:cs="仿宋"/>
          <w:sz w:val="28"/>
        </w:rPr>
        <w:t>新建</w:t>
      </w:r>
      <w:r>
        <w:rPr>
          <w:rFonts w:hint="eastAsia" w:ascii="方正兰亭纤黑简体" w:hAnsi="仿宋" w:eastAsia="方正兰亭纤黑简体" w:cs="仿宋"/>
          <w:color w:val="FF0000"/>
          <w:sz w:val="28"/>
        </w:rPr>
        <w:t>6</w:t>
      </w:r>
      <w:r>
        <w:rPr>
          <w:rFonts w:hint="eastAsia" w:ascii="方正兰亭纤黑简体" w:hAnsi="仿宋" w:eastAsia="方正兰亭纤黑简体" w:cs="仿宋"/>
          <w:sz w:val="28"/>
        </w:rPr>
        <w:t>条总长约62.3公里220千伏线路、</w:t>
      </w:r>
      <w:r>
        <w:rPr>
          <w:rFonts w:hint="eastAsia" w:ascii="方正兰亭纤黑简体" w:hAnsi="仿宋" w:eastAsia="方正兰亭纤黑简体" w:cs="仿宋"/>
          <w:color w:val="FF0000"/>
          <w:sz w:val="28"/>
        </w:rPr>
        <w:t>8</w:t>
      </w:r>
      <w:r>
        <w:rPr>
          <w:rFonts w:hint="eastAsia" w:ascii="方正兰亭纤黑简体" w:hAnsi="仿宋" w:eastAsia="方正兰亭纤黑简体" w:cs="仿宋"/>
          <w:sz w:val="28"/>
        </w:rPr>
        <w:t>条总长约</w:t>
      </w:r>
      <w:r>
        <w:rPr>
          <w:rFonts w:hint="eastAsia" w:ascii="方正兰亭纤黑简体" w:hAnsi="仿宋" w:eastAsia="方正兰亭纤黑简体" w:cs="仿宋"/>
          <w:color w:val="FF0000"/>
          <w:sz w:val="28"/>
        </w:rPr>
        <w:t>88</w:t>
      </w:r>
      <w:r>
        <w:rPr>
          <w:rFonts w:hint="eastAsia" w:ascii="方正兰亭纤黑简体" w:hAnsi="仿宋" w:eastAsia="方正兰亭纤黑简体" w:cs="仿宋"/>
          <w:sz w:val="28"/>
        </w:rPr>
        <w:t>公里110千伏线路、</w:t>
      </w:r>
      <w:r>
        <w:rPr>
          <w:rFonts w:hint="eastAsia" w:ascii="方正兰亭纤黑简体" w:hAnsi="仿宋" w:eastAsia="方正兰亭纤黑简体" w:cs="仿宋"/>
          <w:color w:val="FF0000"/>
          <w:sz w:val="28"/>
        </w:rPr>
        <w:t>5</w:t>
      </w:r>
      <w:r>
        <w:rPr>
          <w:rFonts w:hint="eastAsia" w:ascii="方正兰亭纤黑简体" w:hAnsi="仿宋" w:eastAsia="方正兰亭纤黑简体" w:cs="仿宋"/>
          <w:sz w:val="28"/>
        </w:rPr>
        <w:t>条总长约4.5公里35千伏线路，构建稳定的电力体系。</w:t>
      </w:r>
    </w:p>
    <w:p>
      <w:pPr>
        <w:widowControl/>
        <w:ind w:firstLine="560"/>
        <w:jc w:val="left"/>
        <w:rPr>
          <w:rFonts w:ascii="方正兰亭纤黑简体" w:hAnsi="仿宋" w:eastAsia="方正兰亭纤黑简体" w:cs="仿宋"/>
          <w:sz w:val="28"/>
        </w:rPr>
      </w:pPr>
      <w:r>
        <w:rPr>
          <w:rFonts w:hint="eastAsia" w:ascii="方正兰亭纤黑简体" w:hAnsi="仿宋" w:eastAsia="方正兰亭纤黑简体" w:cs="仿宋"/>
          <w:sz w:val="28"/>
        </w:rPr>
        <w:t>至2025年底，大足供电公司供电可靠率达到99.9548%，综合电压合格率为99.9986%。110千伏及以下电网综合线损率为4.5%，有效地降低了线损，更好地服务于当地人民生活、生产。到2035年，供电可靠率达到99.995%、综合电压合格率达到99.999%、110千伏及以下综合线损率降至4%。</w:t>
      </w:r>
    </w:p>
    <w:p>
      <w:pPr>
        <w:adjustRightInd w:val="0"/>
        <w:snapToGrid w:val="0"/>
        <w:spacing w:line="408" w:lineRule="auto"/>
        <w:ind w:firstLine="0" w:firstLineChars="0"/>
        <w:jc w:val="center"/>
        <w:rPr>
          <w:rFonts w:ascii="方正兰亭纤黑简体" w:hAnsi="仿宋" w:eastAsia="方正兰亭纤黑简体" w:cs="仿宋"/>
          <w:b/>
          <w:sz w:val="28"/>
          <w:szCs w:val="28"/>
        </w:rPr>
      </w:pPr>
      <w:r>
        <w:rPr>
          <w:rFonts w:hint="eastAsia" w:ascii="方正兰亭纤黑简体" w:hAnsi="仿宋" w:eastAsia="方正兰亭纤黑简体" w:cs="仿宋"/>
          <w:b/>
          <w:sz w:val="28"/>
          <w:szCs w:val="28"/>
        </w:rPr>
        <w:t>专栏2  城市电力设施建设重点项目</w:t>
      </w:r>
    </w:p>
    <w:tbl>
      <w:tblPr>
        <w:tblStyle w:val="24"/>
        <w:tblW w:w="829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4" w:hRule="atLeast"/>
          <w:jc w:val="center"/>
        </w:trPr>
        <w:tc>
          <w:tcPr>
            <w:tcW w:w="8296" w:type="dxa"/>
          </w:tcPr>
          <w:p>
            <w:pPr>
              <w:adjustRightInd w:val="0"/>
              <w:snapToGrid w:val="0"/>
              <w:spacing w:line="432" w:lineRule="auto"/>
              <w:ind w:firstLine="366" w:firstLineChars="152"/>
              <w:rPr>
                <w:rFonts w:ascii="方正兰亭纤黑简体" w:hAnsi="仿宋" w:eastAsia="方正兰亭纤黑简体" w:cs="仿宋"/>
                <w:sz w:val="24"/>
              </w:rPr>
            </w:pPr>
            <w:r>
              <w:rPr>
                <w:rFonts w:hint="eastAsia" w:ascii="方正兰亭纤黑简体" w:hAnsi="仿宋" w:eastAsia="方正兰亭纤黑简体" w:cs="仿宋"/>
                <w:b/>
                <w:bCs/>
                <w:sz w:val="24"/>
              </w:rPr>
              <w:t>新建项目：</w:t>
            </w:r>
            <w:r>
              <w:rPr>
                <w:rFonts w:hint="eastAsia" w:ascii="方正兰亭纤黑简体" w:hAnsi="仿宋" w:eastAsia="方正兰亭纤黑简体" w:cs="仿宋"/>
                <w:sz w:val="24"/>
              </w:rPr>
              <w:t>重庆大足110kV马家坡变电站110kV变压器利旧改造、十里110kV变电站35kV送出工程、重庆大足大雄110kV输变电工程、</w:t>
            </w:r>
            <w:r>
              <w:rPr>
                <w:rFonts w:hint="eastAsia" w:ascii="方正兰亭纤黑简体" w:hAnsi="仿宋" w:eastAsia="方正兰亭纤黑简体" w:cs="仿宋"/>
                <w:color w:val="FF0000"/>
                <w:sz w:val="24"/>
              </w:rPr>
              <w:t>重庆大足智凤220千伏输变电工程、重庆大足智凤220千伏变电站110千伏送出工程</w:t>
            </w:r>
            <w:r>
              <w:rPr>
                <w:rFonts w:hint="eastAsia" w:ascii="方正兰亭纤黑简体" w:hAnsi="仿宋" w:eastAsia="方正兰亭纤黑简体" w:cs="仿宋"/>
                <w:sz w:val="24"/>
              </w:rPr>
              <w:t>、重庆大足大围35kV变电站1号主变改造工程、重庆大足水丰110kV变电站35kV送出工程、大足智凤220kV输变电工程、</w:t>
            </w:r>
            <w:r>
              <w:rPr>
                <w:rFonts w:hint="eastAsia" w:ascii="方正兰亭纤黑简体" w:hAnsi="仿宋" w:eastAsia="方正兰亭纤黑简体" w:cs="仿宋"/>
                <w:color w:val="FF0000"/>
                <w:sz w:val="24"/>
              </w:rPr>
              <w:t>重庆大足回龙35kV变电站2号主变改造工程、重庆大足三驱110千伏输变电工程</w:t>
            </w:r>
            <w:r>
              <w:rPr>
                <w:rFonts w:hint="eastAsia" w:ascii="方正兰亭纤黑简体" w:hAnsi="仿宋" w:eastAsia="方正兰亭纤黑简体" w:cs="仿宋"/>
                <w:sz w:val="24"/>
              </w:rPr>
              <w:t>；</w:t>
            </w:r>
          </w:p>
          <w:p>
            <w:pPr>
              <w:adjustRightInd w:val="0"/>
              <w:snapToGrid w:val="0"/>
              <w:spacing w:line="432" w:lineRule="auto"/>
              <w:ind w:firstLine="366" w:firstLineChars="152"/>
              <w:rPr>
                <w:rFonts w:hint="eastAsia" w:ascii="方正兰亭纤黑简体" w:hAnsi="仿宋" w:eastAsia="方正兰亭纤黑简体" w:cs="仿宋"/>
                <w:kern w:val="0"/>
                <w:sz w:val="21"/>
                <w:szCs w:val="21"/>
              </w:rPr>
            </w:pPr>
            <w:r>
              <w:rPr>
                <w:rFonts w:hint="eastAsia" w:ascii="方正兰亭纤黑简体" w:hAnsi="仿宋" w:eastAsia="方正兰亭纤黑简体" w:cs="仿宋"/>
                <w:b/>
                <w:bCs/>
                <w:sz w:val="24"/>
              </w:rPr>
              <w:t>储备项目：</w:t>
            </w:r>
            <w:r>
              <w:rPr>
                <w:rFonts w:hint="eastAsia" w:ascii="方正兰亭纤黑简体" w:hAnsi="仿宋" w:eastAsia="方正兰亭纤黑简体" w:cs="仿宋"/>
                <w:color w:val="FF0000"/>
                <w:sz w:val="24"/>
              </w:rPr>
              <w:t>重庆大足田坝110千伏输变电工程、重庆大足子店110千伏输变电工程、</w:t>
            </w:r>
            <w:r>
              <w:rPr>
                <w:rFonts w:ascii="方正兰亭纤黑简体" w:hAnsi="仿宋" w:eastAsia="方正兰亭纤黑简体" w:cs="仿宋"/>
                <w:sz w:val="24"/>
              </w:rPr>
              <w:t>大足</w:t>
            </w:r>
            <w:r>
              <w:rPr>
                <w:rFonts w:hint="eastAsia" w:ascii="方正兰亭纤黑简体" w:hAnsi="仿宋" w:eastAsia="方正兰亭纤黑简体" w:cs="仿宋"/>
                <w:sz w:val="24"/>
              </w:rPr>
              <w:t>黎明110</w:t>
            </w:r>
            <w:r>
              <w:rPr>
                <w:rFonts w:ascii="方正兰亭纤黑简体" w:hAnsi="仿宋" w:eastAsia="方正兰亭纤黑简体" w:cs="仿宋"/>
                <w:sz w:val="24"/>
              </w:rPr>
              <w:t>KV</w:t>
            </w:r>
            <w:r>
              <w:rPr>
                <w:rFonts w:hint="eastAsia" w:ascii="方正兰亭纤黑简体" w:hAnsi="仿宋" w:eastAsia="方正兰亭纤黑简体" w:cs="仿宋"/>
                <w:sz w:val="24"/>
              </w:rPr>
              <w:t>输变电</w:t>
            </w:r>
            <w:r>
              <w:rPr>
                <w:rFonts w:ascii="方正兰亭纤黑简体" w:hAnsi="仿宋" w:eastAsia="方正兰亭纤黑简体" w:cs="仿宋"/>
                <w:sz w:val="24"/>
              </w:rPr>
              <w:t>工程</w:t>
            </w:r>
            <w:r>
              <w:rPr>
                <w:rFonts w:hint="eastAsia" w:ascii="方正兰亭纤黑简体" w:hAnsi="仿宋" w:eastAsia="方正兰亭纤黑简体" w:cs="仿宋"/>
                <w:sz w:val="24"/>
              </w:rPr>
              <w:t>。</w:t>
            </w:r>
          </w:p>
        </w:tc>
      </w:tr>
    </w:tbl>
    <w:p>
      <w:pPr>
        <w:ind w:firstLine="640"/>
        <w:rPr>
          <w:rFonts w:ascii="方正兰亭纤黑简体" w:hAnsi="仿宋" w:eastAsia="方正兰亭纤黑简体" w:cs="仿宋"/>
          <w:shd w:val="clear" w:color="auto" w:fill="FFFFFF"/>
        </w:rPr>
      </w:pPr>
    </w:p>
    <w:p>
      <w:pPr>
        <w:pStyle w:val="5"/>
        <w:ind w:left="0"/>
        <w:rPr>
          <w:rFonts w:ascii="方正兰亭纤黑简体" w:hAnsi="仿宋" w:eastAsia="方正兰亭纤黑简体" w:cs="仿宋"/>
          <w:b/>
          <w:bCs w:val="0"/>
        </w:rPr>
      </w:pPr>
      <w:bookmarkStart w:id="169" w:name="_Toc22964"/>
      <w:r>
        <w:rPr>
          <w:rFonts w:hint="eastAsia" w:ascii="方正兰亭纤黑简体" w:hAnsi="仿宋" w:eastAsia="方正兰亭纤黑简体" w:cs="仿宋"/>
          <w:b/>
          <w:bCs w:val="0"/>
        </w:rPr>
        <w:t>完善天然气产供储销体系</w:t>
      </w:r>
      <w:bookmarkEnd w:id="169"/>
    </w:p>
    <w:p>
      <w:pPr>
        <w:widowControl/>
        <w:ind w:firstLine="560"/>
        <w:jc w:val="left"/>
        <w:rPr>
          <w:rFonts w:ascii="方正兰亭纤黑简体" w:hAnsi="仿宋" w:eastAsia="方正兰亭纤黑简体" w:cs="仿宋"/>
          <w:sz w:val="28"/>
        </w:rPr>
      </w:pPr>
      <w:r>
        <w:rPr>
          <w:rFonts w:hint="eastAsia" w:ascii="方正兰亭纤黑简体" w:hAnsi="仿宋" w:eastAsia="方正兰亭纤黑简体" w:cs="仿宋"/>
          <w:sz w:val="28"/>
        </w:rPr>
        <w:t>坚持能源安全、输配安全、使用安全的原则，以构建来源多元多向、管网布局完善、储气调峰配套的现代化城市天然气系统为目标，优化燃气气源结构，形成以天然气为主的城市燃气系统，完善天然气骨干管网和市域输气管网，推动与国家天然气骨干管网的互联互通，形成以跨区管网为骨干、区域支线为辐射的蛛网式管网格局。</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提升管网运行安全。</w:t>
      </w:r>
      <w:r>
        <w:rPr>
          <w:rFonts w:hint="eastAsia" w:ascii="方正兰亭纤黑简体" w:hAnsi="仿宋" w:eastAsia="方正兰亭纤黑简体" w:cs="仿宋"/>
          <w:sz w:val="28"/>
        </w:rPr>
        <w:t>加大老旧管网设施改造力度，及时整改管网设施隐患，确保安全、稳定运行，2021-2025期间完成市政钢制管道改造工作，对城区已建20年及以上的市政钢制管道改造。</w:t>
      </w:r>
    </w:p>
    <w:p>
      <w:pPr>
        <w:pStyle w:val="40"/>
        <w:ind w:firstLine="562"/>
        <w:rPr>
          <w:rFonts w:ascii="方正兰亭纤黑简体" w:hAnsi="仿宋" w:eastAsia="方正兰亭纤黑简体" w:cs="仿宋"/>
        </w:rPr>
      </w:pPr>
      <w:r>
        <w:rPr>
          <w:rFonts w:hint="eastAsia" w:ascii="方正兰亭纤黑简体" w:hAnsi="仿宋" w:eastAsia="方正兰亭纤黑简体" w:cs="仿宋"/>
          <w:b/>
          <w:bCs/>
          <w:kern w:val="2"/>
          <w:szCs w:val="24"/>
        </w:rPr>
        <w:t>提升储气调峰能力。</w:t>
      </w:r>
      <w:r>
        <w:rPr>
          <w:rFonts w:hint="eastAsia" w:ascii="方正兰亭纤黑简体" w:hAnsi="仿宋" w:eastAsia="方正兰亭纤黑简体" w:cs="仿宋"/>
        </w:rPr>
        <w:t>为进一步加强我区天然气供给能力，一是扩充天然气储备能力，提升应急供应能力；二是打通外部气源接入骨架通道，构建多源网络，提升燃气供应量与供应可靠性；三是配套建设调配设施，优化区域供给，提升输配气效率。</w:t>
      </w:r>
    </w:p>
    <w:p>
      <w:pPr>
        <w:adjustRightInd w:val="0"/>
        <w:snapToGrid w:val="0"/>
        <w:spacing w:line="408" w:lineRule="auto"/>
        <w:ind w:firstLine="0" w:firstLineChars="0"/>
        <w:jc w:val="center"/>
        <w:rPr>
          <w:rFonts w:ascii="方正兰亭纤黑简体" w:hAnsi="仿宋" w:eastAsia="方正兰亭纤黑简体" w:cs="仿宋"/>
          <w:b/>
          <w:sz w:val="28"/>
          <w:szCs w:val="28"/>
        </w:rPr>
      </w:pPr>
      <w:r>
        <w:rPr>
          <w:rFonts w:hint="eastAsia" w:ascii="方正兰亭纤黑简体" w:hAnsi="仿宋" w:eastAsia="方正兰亭纤黑简体" w:cs="仿宋"/>
          <w:b/>
          <w:sz w:val="28"/>
          <w:szCs w:val="28"/>
        </w:rPr>
        <w:t>专栏3  城市燃气设施建设重点项目</w:t>
      </w:r>
    </w:p>
    <w:tbl>
      <w:tblPr>
        <w:tblStyle w:val="24"/>
        <w:tblW w:w="829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4" w:hRule="atLeast"/>
          <w:jc w:val="center"/>
        </w:trPr>
        <w:tc>
          <w:tcPr>
            <w:tcW w:w="8296" w:type="dxa"/>
          </w:tcPr>
          <w:p>
            <w:pPr>
              <w:adjustRightInd w:val="0"/>
              <w:snapToGrid w:val="0"/>
              <w:spacing w:line="432" w:lineRule="auto"/>
              <w:ind w:firstLine="364" w:firstLineChars="152"/>
              <w:rPr>
                <w:rFonts w:ascii="方正兰亭纤黑简体" w:hAnsi="仿宋" w:eastAsia="方正兰亭纤黑简体" w:cs="仿宋"/>
                <w:kern w:val="0"/>
                <w:sz w:val="21"/>
                <w:szCs w:val="21"/>
              </w:rPr>
            </w:pPr>
            <w:r>
              <w:rPr>
                <w:rFonts w:hint="eastAsia" w:ascii="方正兰亭纤黑简体" w:hAnsi="仿宋" w:eastAsia="方正兰亭纤黑简体" w:cs="仿宋"/>
                <w:sz w:val="24"/>
              </w:rPr>
              <w:t>大足区老旧小区燃气工程改造项目、大足区城市燃气管道等老化更新改造工程、天然气利用储备工程、足208井至宝棠大道燃气管道及配气工程、永福调压站至城南配气站管线及配气工程、龙水配气站、龙水沙桥配气站。</w:t>
            </w:r>
          </w:p>
        </w:tc>
      </w:tr>
    </w:tbl>
    <w:p>
      <w:pPr>
        <w:pStyle w:val="5"/>
        <w:ind w:left="0"/>
        <w:rPr>
          <w:rFonts w:ascii="方正兰亭纤黑简体" w:hAnsi="仿宋" w:eastAsia="方正兰亭纤黑简体" w:cs="仿宋"/>
          <w:b/>
          <w:bCs w:val="0"/>
        </w:rPr>
      </w:pPr>
      <w:r>
        <w:rPr>
          <w:rFonts w:hint="eastAsia" w:ascii="方正兰亭纤黑简体" w:hAnsi="仿宋" w:eastAsia="方正兰亭纤黑简体" w:cs="仿宋"/>
          <w:b/>
          <w:bCs w:val="0"/>
        </w:rPr>
        <w:t>强化</w:t>
      </w:r>
      <w:r>
        <w:rPr>
          <w:rFonts w:ascii="方正兰亭纤黑简体" w:hAnsi="仿宋" w:eastAsia="方正兰亭纤黑简体" w:cs="仿宋"/>
          <w:b/>
          <w:bCs w:val="0"/>
        </w:rPr>
        <w:t>水利设施</w:t>
      </w:r>
      <w:r>
        <w:rPr>
          <w:rFonts w:hint="eastAsia" w:ascii="方正兰亭纤黑简体" w:hAnsi="仿宋" w:eastAsia="方正兰亭纤黑简体" w:cs="仿宋"/>
          <w:b/>
          <w:bCs w:val="0"/>
        </w:rPr>
        <w:t>体系</w:t>
      </w:r>
      <w:r>
        <w:rPr>
          <w:rFonts w:ascii="方正兰亭纤黑简体" w:hAnsi="仿宋" w:eastAsia="方正兰亭纤黑简体" w:cs="仿宋"/>
          <w:b/>
          <w:bCs w:val="0"/>
        </w:rPr>
        <w:t>建设</w:t>
      </w:r>
      <w:r>
        <w:rPr>
          <w:rFonts w:hint="eastAsia" w:ascii="方正兰亭纤黑简体" w:hAnsi="仿宋" w:eastAsia="方正兰亭纤黑简体" w:cs="仿宋"/>
          <w:b/>
          <w:bCs w:val="0"/>
        </w:rPr>
        <w:t xml:space="preserve"> </w:t>
      </w:r>
    </w:p>
    <w:p>
      <w:pPr>
        <w:pStyle w:val="2"/>
        <w:ind w:firstLine="560"/>
        <w:rPr>
          <w:rFonts w:ascii="方正兰亭纤黑简体" w:hAnsi="仿宋" w:eastAsia="方正兰亭纤黑简体" w:cs="仿宋"/>
          <w:sz w:val="28"/>
        </w:rPr>
      </w:pPr>
      <w:r>
        <w:rPr>
          <w:rFonts w:hint="eastAsia" w:ascii="方正兰亭纤黑简体" w:hAnsi="仿宋" w:eastAsia="方正兰亭纤黑简体" w:cs="仿宋"/>
          <w:sz w:val="28"/>
        </w:rPr>
        <w:t>倾力打造“安全水利、民生水利、生态水利、法治水利、文化水利”五位一体的现代水利体系，为全区经济社会发展提供更加有力的水资源保障。</w:t>
      </w:r>
    </w:p>
    <w:p>
      <w:pPr>
        <w:pStyle w:val="2"/>
        <w:ind w:firstLine="560"/>
        <w:rPr>
          <w:rFonts w:ascii="方正兰亭纤黑简体" w:hAnsi="仿宋" w:eastAsia="方正兰亭纤黑简体" w:cs="仿宋"/>
          <w:sz w:val="28"/>
        </w:rPr>
      </w:pPr>
      <w:r>
        <w:rPr>
          <w:rFonts w:hint="eastAsia" w:ascii="方正兰亭纤黑简体" w:hAnsi="仿宋" w:eastAsia="方正兰亭纤黑简体" w:cs="仿宋"/>
          <w:sz w:val="28"/>
        </w:rPr>
        <w:t>坚持</w:t>
      </w:r>
      <w:r>
        <w:rPr>
          <w:rFonts w:ascii="方正兰亭纤黑简体" w:hAnsi="仿宋" w:eastAsia="方正兰亭纤黑简体" w:cs="仿宋"/>
          <w:sz w:val="28"/>
        </w:rPr>
        <w:t>富民兴</w:t>
      </w:r>
      <w:r>
        <w:rPr>
          <w:rFonts w:hint="eastAsia" w:ascii="方正兰亭纤黑简体" w:hAnsi="仿宋" w:eastAsia="方正兰亭纤黑简体" w:cs="仿宋"/>
          <w:sz w:val="28"/>
        </w:rPr>
        <w:t>区</w:t>
      </w:r>
      <w:r>
        <w:rPr>
          <w:rFonts w:ascii="方正兰亭纤黑简体" w:hAnsi="仿宋" w:eastAsia="方正兰亭纤黑简体" w:cs="仿宋"/>
          <w:sz w:val="28"/>
        </w:rPr>
        <w:t>，打造“</w:t>
      </w:r>
      <w:r>
        <w:rPr>
          <w:rFonts w:hint="eastAsia" w:ascii="方正兰亭纤黑简体" w:hAnsi="仿宋" w:eastAsia="方正兰亭纤黑简体" w:cs="仿宋"/>
          <w:sz w:val="28"/>
        </w:rPr>
        <w:t>民生</w:t>
      </w:r>
      <w:r>
        <w:rPr>
          <w:rFonts w:ascii="方正兰亭纤黑简体" w:hAnsi="仿宋" w:eastAsia="方正兰亭纤黑简体" w:cs="仿宋"/>
          <w:sz w:val="28"/>
        </w:rPr>
        <w:t>水利”</w:t>
      </w:r>
      <w:r>
        <w:rPr>
          <w:rFonts w:hint="eastAsia" w:ascii="方正兰亭纤黑简体" w:hAnsi="仿宋" w:eastAsia="方正兰亭纤黑简体" w:cs="仿宋"/>
          <w:sz w:val="28"/>
        </w:rPr>
        <w:t>。</w:t>
      </w:r>
      <w:r>
        <w:rPr>
          <w:rFonts w:ascii="方正兰亭纤黑简体" w:hAnsi="仿宋" w:eastAsia="方正兰亭纤黑简体" w:cs="仿宋"/>
          <w:sz w:val="28"/>
        </w:rPr>
        <w:t>持续</w:t>
      </w:r>
      <w:r>
        <w:rPr>
          <w:rFonts w:hint="eastAsia" w:ascii="方正兰亭纤黑简体" w:hAnsi="仿宋" w:eastAsia="方正兰亭纤黑简体" w:cs="仿宋"/>
          <w:sz w:val="28"/>
        </w:rPr>
        <w:t>配合推进渝西</w:t>
      </w:r>
      <w:r>
        <w:rPr>
          <w:rFonts w:ascii="方正兰亭纤黑简体" w:hAnsi="仿宋" w:eastAsia="方正兰亭纤黑简体" w:cs="仿宋"/>
          <w:sz w:val="28"/>
        </w:rPr>
        <w:t>水资源配置工程建设</w:t>
      </w:r>
      <w:r>
        <w:rPr>
          <w:rFonts w:hint="eastAsia" w:ascii="方正兰亭纤黑简体" w:hAnsi="仿宋" w:eastAsia="方正兰亭纤黑简体" w:cs="仿宋"/>
          <w:sz w:val="28"/>
        </w:rPr>
        <w:t>。</w:t>
      </w:r>
    </w:p>
    <w:p>
      <w:pPr>
        <w:pStyle w:val="2"/>
        <w:ind w:firstLine="560"/>
        <w:rPr>
          <w:rFonts w:ascii="方正兰亭纤黑简体" w:hAnsi="仿宋" w:eastAsia="方正兰亭纤黑简体" w:cs="仿宋"/>
          <w:sz w:val="28"/>
        </w:rPr>
      </w:pPr>
      <w:r>
        <w:rPr>
          <w:rFonts w:hint="eastAsia" w:ascii="方正兰亭纤黑简体" w:hAnsi="仿宋" w:eastAsia="方正兰亭纤黑简体" w:cs="仿宋"/>
          <w:sz w:val="28"/>
        </w:rPr>
        <w:t>坚持</w:t>
      </w:r>
      <w:r>
        <w:rPr>
          <w:rFonts w:ascii="方正兰亭纤黑简体" w:hAnsi="仿宋" w:eastAsia="方正兰亭纤黑简体" w:cs="仿宋"/>
          <w:sz w:val="28"/>
        </w:rPr>
        <w:t>统筹兼顾，打造“</w:t>
      </w:r>
      <w:r>
        <w:rPr>
          <w:rFonts w:hint="eastAsia" w:ascii="方正兰亭纤黑简体" w:hAnsi="仿宋" w:eastAsia="方正兰亭纤黑简体" w:cs="仿宋"/>
          <w:sz w:val="28"/>
        </w:rPr>
        <w:t>安全</w:t>
      </w:r>
      <w:r>
        <w:rPr>
          <w:rFonts w:ascii="方正兰亭纤黑简体" w:hAnsi="仿宋" w:eastAsia="方正兰亭纤黑简体" w:cs="仿宋"/>
          <w:sz w:val="28"/>
        </w:rPr>
        <w:t>水利”</w:t>
      </w:r>
      <w:r>
        <w:rPr>
          <w:rFonts w:hint="eastAsia" w:ascii="方正兰亭纤黑简体" w:hAnsi="仿宋" w:eastAsia="方正兰亭纤黑简体" w:cs="仿宋"/>
          <w:sz w:val="28"/>
        </w:rPr>
        <w:t>。</w:t>
      </w:r>
      <w:r>
        <w:rPr>
          <w:rFonts w:ascii="方正兰亭纤黑简体" w:hAnsi="仿宋" w:eastAsia="方正兰亭纤黑简体" w:cs="仿宋"/>
          <w:sz w:val="28"/>
        </w:rPr>
        <w:t>完成</w:t>
      </w:r>
      <w:r>
        <w:rPr>
          <w:rFonts w:hint="eastAsia" w:ascii="方正兰亭纤黑简体" w:hAnsi="仿宋" w:eastAsia="方正兰亭纤黑简体" w:cs="仿宋"/>
          <w:sz w:val="28"/>
        </w:rPr>
        <w:t>2023年</w:t>
      </w:r>
      <w:r>
        <w:rPr>
          <w:rFonts w:ascii="方正兰亭纤黑简体" w:hAnsi="仿宋" w:eastAsia="方正兰亭纤黑简体" w:cs="仿宋"/>
          <w:sz w:val="28"/>
        </w:rPr>
        <w:t>水利维修养护项目、</w:t>
      </w:r>
      <w:r>
        <w:rPr>
          <w:rFonts w:hint="eastAsia" w:ascii="方正兰亭纤黑简体" w:hAnsi="仿宋" w:eastAsia="方正兰亭纤黑简体" w:cs="仿宋"/>
          <w:sz w:val="28"/>
        </w:rPr>
        <w:t>大足区2023年小型水库雨水情测报和安全监测设施建设项目、大足区抗旱救灾建设项目。</w:t>
      </w:r>
    </w:p>
    <w:p>
      <w:pPr>
        <w:pStyle w:val="2"/>
        <w:ind w:firstLine="560"/>
        <w:rPr>
          <w:rFonts w:ascii="方正兰亭纤黑简体" w:hAnsi="仿宋" w:eastAsia="方正兰亭纤黑简体" w:cs="仿宋"/>
          <w:sz w:val="28"/>
        </w:rPr>
      </w:pPr>
      <w:r>
        <w:rPr>
          <w:rFonts w:hint="eastAsia" w:ascii="方正兰亭纤黑简体" w:hAnsi="仿宋" w:eastAsia="方正兰亭纤黑简体" w:cs="仿宋"/>
          <w:sz w:val="28"/>
        </w:rPr>
        <w:t>坚持</w:t>
      </w:r>
      <w:r>
        <w:rPr>
          <w:rFonts w:ascii="方正兰亭纤黑简体" w:hAnsi="仿宋" w:eastAsia="方正兰亭纤黑简体" w:cs="仿宋"/>
          <w:sz w:val="28"/>
        </w:rPr>
        <w:t>人水和谐，打造“</w:t>
      </w:r>
      <w:r>
        <w:rPr>
          <w:rFonts w:hint="eastAsia" w:ascii="方正兰亭纤黑简体" w:hAnsi="仿宋" w:eastAsia="方正兰亭纤黑简体" w:cs="仿宋"/>
          <w:sz w:val="28"/>
        </w:rPr>
        <w:t>生态</w:t>
      </w:r>
      <w:r>
        <w:rPr>
          <w:rFonts w:ascii="方正兰亭纤黑简体" w:hAnsi="仿宋" w:eastAsia="方正兰亭纤黑简体" w:cs="仿宋"/>
          <w:sz w:val="28"/>
        </w:rPr>
        <w:t>水利”</w:t>
      </w:r>
      <w:r>
        <w:rPr>
          <w:rFonts w:hint="eastAsia" w:ascii="方正兰亭纤黑简体" w:hAnsi="仿宋" w:eastAsia="方正兰亭纤黑简体" w:cs="仿宋"/>
          <w:sz w:val="28"/>
        </w:rPr>
        <w:t>。</w:t>
      </w:r>
      <w:r>
        <w:rPr>
          <w:rFonts w:ascii="方正兰亭纤黑简体" w:hAnsi="仿宋" w:eastAsia="方正兰亭纤黑简体" w:cs="仿宋"/>
          <w:sz w:val="28"/>
        </w:rPr>
        <w:t>完成</w:t>
      </w:r>
      <w:r>
        <w:rPr>
          <w:rFonts w:hint="eastAsia" w:ascii="方正兰亭纤黑简体" w:hAnsi="仿宋" w:eastAsia="方正兰亭纤黑简体" w:cs="仿宋"/>
          <w:sz w:val="28"/>
        </w:rPr>
        <w:t>濑溪河大足区智凤街道弥陀场至登云河段综合治理工程15.2公里</w:t>
      </w:r>
      <w:r>
        <w:rPr>
          <w:rFonts w:ascii="方正兰亭纤黑简体" w:hAnsi="仿宋" w:eastAsia="方正兰亭纤黑简体" w:cs="仿宋"/>
          <w:sz w:val="28"/>
        </w:rPr>
        <w:t>。</w:t>
      </w:r>
    </w:p>
    <w:p>
      <w:pPr>
        <w:adjustRightInd w:val="0"/>
        <w:snapToGrid w:val="0"/>
        <w:spacing w:line="408" w:lineRule="auto"/>
        <w:ind w:firstLine="0" w:firstLineChars="0"/>
        <w:jc w:val="center"/>
        <w:rPr>
          <w:rFonts w:ascii="方正兰亭纤黑简体" w:hAnsi="仿宋" w:eastAsia="方正兰亭纤黑简体" w:cs="仿宋"/>
          <w:b/>
          <w:sz w:val="28"/>
          <w:szCs w:val="28"/>
        </w:rPr>
      </w:pPr>
      <w:r>
        <w:rPr>
          <w:rFonts w:hint="eastAsia" w:ascii="方正兰亭纤黑简体" w:hAnsi="仿宋" w:eastAsia="方正兰亭纤黑简体" w:cs="仿宋"/>
          <w:b/>
          <w:sz w:val="28"/>
          <w:szCs w:val="28"/>
        </w:rPr>
        <w:t>专栏</w:t>
      </w:r>
      <w:r>
        <w:rPr>
          <w:rFonts w:ascii="方正兰亭纤黑简体" w:hAnsi="仿宋" w:eastAsia="方正兰亭纤黑简体" w:cs="仿宋"/>
          <w:b/>
          <w:sz w:val="28"/>
          <w:szCs w:val="28"/>
        </w:rPr>
        <w:t>4</w:t>
      </w:r>
      <w:r>
        <w:rPr>
          <w:rFonts w:hint="eastAsia" w:ascii="方正兰亭纤黑简体" w:hAnsi="仿宋" w:eastAsia="方正兰亭纤黑简体" w:cs="仿宋"/>
          <w:b/>
          <w:sz w:val="28"/>
          <w:szCs w:val="28"/>
        </w:rPr>
        <w:t xml:space="preserve">  水利设施建设重点项目</w:t>
      </w:r>
    </w:p>
    <w:tbl>
      <w:tblPr>
        <w:tblStyle w:val="24"/>
        <w:tblW w:w="8296"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9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74" w:hRule="atLeast"/>
          <w:jc w:val="center"/>
        </w:trPr>
        <w:tc>
          <w:tcPr>
            <w:tcW w:w="8296" w:type="dxa"/>
          </w:tcPr>
          <w:p>
            <w:pPr>
              <w:adjustRightInd w:val="0"/>
              <w:snapToGrid w:val="0"/>
              <w:spacing w:line="432" w:lineRule="auto"/>
              <w:ind w:firstLine="480"/>
              <w:rPr>
                <w:rFonts w:ascii="方正兰亭纤黑简体" w:hAnsi="仿宋" w:eastAsia="方正兰亭纤黑简体" w:cs="仿宋"/>
                <w:kern w:val="0"/>
                <w:sz w:val="21"/>
                <w:szCs w:val="21"/>
              </w:rPr>
            </w:pPr>
            <w:r>
              <w:rPr>
                <w:rFonts w:hint="eastAsia" w:ascii="方正兰亭纤黑简体" w:hAnsi="仿宋" w:eastAsia="方正兰亭纤黑简体" w:cs="仿宋"/>
                <w:sz w:val="24"/>
              </w:rPr>
              <w:t>渝西水资源配置工程、2023年水利维修养护项目、大足区2023年小型水库雨水情测报和安全监测设施建设项目、濑溪河大足区智凤街道弥陀场至登云河段综合治理工程、大足区抗旱救灾建设项目。</w:t>
            </w:r>
          </w:p>
        </w:tc>
      </w:tr>
    </w:tbl>
    <w:p>
      <w:pPr>
        <w:pStyle w:val="2"/>
        <w:ind w:firstLine="640"/>
      </w:pPr>
      <w:r>
        <w:br w:type="page"/>
      </w:r>
    </w:p>
    <w:p>
      <w:pPr>
        <w:pStyle w:val="4"/>
        <w:adjustRightInd w:val="0"/>
        <w:snapToGrid w:val="0"/>
        <w:spacing w:line="432" w:lineRule="auto"/>
        <w:ind w:left="0"/>
        <w:rPr>
          <w:rFonts w:ascii="方正兰亭粗黑简体" w:hAnsi="仿宋" w:eastAsia="方正兰亭粗黑简体" w:cs="仿宋"/>
          <w:b/>
        </w:rPr>
      </w:pPr>
      <w:bookmarkStart w:id="170" w:name="_Toc23312"/>
      <w:bookmarkStart w:id="171" w:name="_Toc15904"/>
      <w:bookmarkStart w:id="172" w:name="_Toc2491"/>
      <w:bookmarkStart w:id="173" w:name="_Toc25023"/>
      <w:bookmarkStart w:id="174" w:name="_Toc21653"/>
      <w:bookmarkStart w:id="175" w:name="_Toc32506"/>
      <w:r>
        <w:rPr>
          <w:rFonts w:hint="eastAsia" w:ascii="方正兰亭粗黑简体" w:hAnsi="仿宋" w:eastAsia="方正兰亭粗黑简体" w:cs="仿宋"/>
          <w:b/>
        </w:rPr>
        <w:t>聚焦智慧名城建设，体现智慧城市形象</w:t>
      </w:r>
      <w:bookmarkEnd w:id="170"/>
      <w:bookmarkEnd w:id="171"/>
      <w:bookmarkEnd w:id="172"/>
      <w:bookmarkEnd w:id="173"/>
    </w:p>
    <w:p>
      <w:pPr>
        <w:widowControl/>
        <w:ind w:firstLine="560"/>
        <w:jc w:val="left"/>
        <w:rPr>
          <w:rFonts w:ascii="方正兰亭纤黑简体" w:hAnsi="仿宋" w:eastAsia="方正兰亭纤黑简体" w:cs="仿宋"/>
          <w:sz w:val="28"/>
        </w:rPr>
      </w:pPr>
      <w:r>
        <w:rPr>
          <w:rFonts w:hint="eastAsia" w:ascii="方正兰亭纤黑简体" w:hAnsi="仿宋" w:eastAsia="方正兰亭纤黑简体" w:cs="仿宋"/>
          <w:sz w:val="28"/>
        </w:rPr>
        <w:t>以城市基础设施提质增效为引领，以应用创新为驱动，充分运用“新城建”发展成果，面向城市高质量转型发展需要，充分运用第五代移动通信、工业互联网、大数据等技术，全面推进城市CIM平台、智能化城市安全管理平台、城市综合管理服务平台等设施建设，系统推进城市交通系统、水系统、能源系统、环卫系统、园林绿地系统等领域智能化改造，协同发展智慧城市与智能网联汽车，加快推进智慧社区建设，系统构建万物互联的新型城市基础设施体系。</w:t>
      </w:r>
    </w:p>
    <w:p>
      <w:pPr>
        <w:pStyle w:val="5"/>
        <w:ind w:left="0"/>
        <w:rPr>
          <w:rFonts w:ascii="方正兰亭纤黑简体" w:hAnsi="仿宋" w:eastAsia="方正兰亭纤黑简体" w:cs="仿宋"/>
          <w:b/>
          <w:bCs w:val="0"/>
        </w:rPr>
      </w:pPr>
      <w:bookmarkStart w:id="176" w:name="_Toc16721"/>
      <w:bookmarkStart w:id="177" w:name="_Toc32356"/>
      <w:bookmarkStart w:id="178" w:name="_Toc32702"/>
      <w:bookmarkStart w:id="179" w:name="_Toc16578"/>
      <w:r>
        <w:rPr>
          <w:rFonts w:hint="eastAsia" w:ascii="方正兰亭纤黑简体" w:hAnsi="仿宋" w:eastAsia="方正兰亭纤黑简体" w:cs="仿宋"/>
          <w:b/>
          <w:bCs w:val="0"/>
        </w:rPr>
        <w:t>加大新型基础设施建设</w:t>
      </w:r>
      <w:bookmarkEnd w:id="176"/>
      <w:bookmarkEnd w:id="177"/>
      <w:bookmarkEnd w:id="178"/>
      <w:bookmarkEnd w:id="179"/>
    </w:p>
    <w:p>
      <w:pPr>
        <w:widowControl/>
        <w:ind w:firstLine="560"/>
        <w:jc w:val="left"/>
        <w:rPr>
          <w:rFonts w:ascii="方正兰亭纤黑简体" w:hAnsi="仿宋" w:eastAsia="方正兰亭纤黑简体" w:cs="仿宋"/>
          <w:sz w:val="28"/>
        </w:rPr>
      </w:pPr>
      <w:r>
        <w:rPr>
          <w:rFonts w:hint="eastAsia" w:ascii="方正兰亭纤黑简体" w:hAnsi="仿宋" w:eastAsia="方正兰亭纤黑简体" w:cs="仿宋"/>
          <w:sz w:val="28"/>
        </w:rPr>
        <w:t>以5G、千兆宽带、数据中心为重点，推进信息基础设施建设，加快布局创新基础设施，有序推进人工智能、大数据、物联网、区块链等数字技术在交通、能源、水利、市政等传统基础设施的融合应用，巩固筑牢大足数字经济发展底座。</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规模化部署5G网络。</w:t>
      </w:r>
      <w:r>
        <w:rPr>
          <w:rFonts w:hint="eastAsia" w:ascii="方正兰亭纤黑简体" w:hAnsi="仿宋" w:eastAsia="方正兰亭纤黑简体" w:cs="仿宋"/>
          <w:sz w:val="28"/>
        </w:rPr>
        <w:t>紧扣《重庆市加快推动5G发展行动计划（2019-2022年）》总体部署，统筹推进大足全区5G网络建设，加大车站、体育中心等重点窗口区域，学校、商圈等人流密集区域，产业园区及重点企业的5G网络覆盖。创新“5G+”场景应用和商业模式，推动5G在超高清视频直播、VR/AR、智慧旅游、无人驾驶、远程诊疗、智能制造，公路、铁路、电力等设施融合部署，推动5G基础设施纳入城市资源“一张图”规划建设。</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优化提升宽带互联网。</w:t>
      </w:r>
      <w:r>
        <w:rPr>
          <w:rFonts w:hint="eastAsia" w:ascii="方正兰亭纤黑简体" w:hAnsi="仿宋" w:eastAsia="方正兰亭纤黑简体" w:cs="仿宋"/>
          <w:sz w:val="28"/>
        </w:rPr>
        <w:t>大力推进千兆光纤宽带接入网络进园区、进小区、进家庭，重点面向AR/VR、超高清视频、远程教育、远程医疗等数字产业领域拓展应用空间。加速推动数据中心、内容分发网络、城域网和接入网、广电骨干网IPv4向IPv6演进升级，不断提升IPv6用户普及率和网络接入覆盖率。</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加快布局算存基础设施。</w:t>
      </w:r>
      <w:r>
        <w:rPr>
          <w:rFonts w:hint="eastAsia" w:ascii="方正兰亭纤黑简体" w:hAnsi="仿宋" w:eastAsia="方正兰亭纤黑简体" w:cs="仿宋"/>
          <w:sz w:val="28"/>
        </w:rPr>
        <w:t>统筹全区数据存储设施建设，</w:t>
      </w:r>
      <w:bookmarkStart w:id="180" w:name="_Toc63735384"/>
      <w:r>
        <w:rPr>
          <w:rFonts w:hint="eastAsia" w:ascii="方正兰亭纤黑简体" w:hAnsi="仿宋" w:eastAsia="方正兰亭纤黑简体" w:cs="仿宋"/>
          <w:sz w:val="28"/>
        </w:rPr>
        <w:t>打造全市区域性大数据存储中心，鼓励区内龙头企业建设专业性数据存储分中心，构建布局合理、功能兼容、上下联动、平滑扩展的数据存储设施体系。支持区内龙头企业</w:t>
      </w:r>
      <w:bookmarkEnd w:id="180"/>
      <w:r>
        <w:rPr>
          <w:rFonts w:hint="eastAsia" w:ascii="方正兰亭纤黑简体" w:hAnsi="仿宋" w:eastAsia="方正兰亭纤黑简体" w:cs="仿宋"/>
          <w:sz w:val="28"/>
        </w:rPr>
        <w:t>建设面向行业应用需求的边缘计算资源池节点，就近提供网络、计算、存储等资源，满足实时业务、智能应用的低延迟、高传输速度等敏捷连接需求。引导基础电信企业加快云边协同网络建设，推动计算设施与宽带网络间优化匹配、有效协同，提升大数据智能计算的实时处理与执行能力</w:t>
      </w:r>
    </w:p>
    <w:p>
      <w:pPr>
        <w:widowControl/>
        <w:ind w:firstLine="562"/>
        <w:jc w:val="left"/>
        <w:rPr>
          <w:rFonts w:ascii="方正兰亭纤黑简体" w:hAnsi="仿宋" w:eastAsia="方正兰亭纤黑简体" w:cs="仿宋"/>
          <w:sz w:val="28"/>
        </w:rPr>
      </w:pPr>
      <w:bookmarkStart w:id="181" w:name="_Toc75612378"/>
      <w:r>
        <w:rPr>
          <w:rFonts w:hint="eastAsia" w:ascii="方正兰亭纤黑简体" w:hAnsi="仿宋" w:eastAsia="方正兰亭纤黑简体" w:cs="仿宋"/>
          <w:b/>
          <w:bCs/>
          <w:sz w:val="28"/>
        </w:rPr>
        <w:t>加快智能物联感知设施建设。</w:t>
      </w:r>
      <w:bookmarkEnd w:id="181"/>
      <w:r>
        <w:rPr>
          <w:rFonts w:hint="eastAsia" w:ascii="方正兰亭纤黑简体" w:hAnsi="仿宋" w:eastAsia="方正兰亭纤黑简体" w:cs="仿宋"/>
          <w:sz w:val="28"/>
        </w:rPr>
        <w:t>以5G、NB—IoT、e—MTC、北斗卫星定位等技术应用为重点，加快各类传感器在桥梁建筑、地下管廊、交通设施等重点场景规模化部署，建设全面覆盖、动态监控、快速响应的城市感知体系，打通城市感知“眼耳鼻”。加快推进移动物联网部署，构建以位置感知网络、移动通讯网络和位置计算网络为基础的传输网络。打造城市物联网平台，提供城市级的物联网设备管理、数据汇聚、应用开发和业务分析等服务。</w:t>
      </w:r>
      <w:bookmarkStart w:id="182" w:name="_Toc75612379"/>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推进数字化工业生产设施建设。</w:t>
      </w:r>
      <w:bookmarkEnd w:id="182"/>
      <w:r>
        <w:rPr>
          <w:rFonts w:hint="eastAsia" w:ascii="方正兰亭纤黑简体" w:hAnsi="仿宋" w:eastAsia="方正兰亭纤黑简体" w:cs="仿宋"/>
          <w:sz w:val="28"/>
        </w:rPr>
        <w:t>鼓励企业运用IPV6、工业PON、5G等技术和新型工业网关、边缘计算等设备，部署建设灵活、高效、稳定的企业工业网络。推进五金产业工业互联网标识解析二级节点建设，向上对接重庆顶级节点、向下连接企业节点，建立全区工业互联网标识解析体系。建设全区工业互联网大数据中心，推动与工业互联网大数据中心重庆分中心、其他区域和行业分中心之间数据资源的高效流通。建设全区工业互联网态势感知平台，接入全国“国家—行业—企业”三级联动的工业互联网安全监测体系。</w:t>
      </w:r>
      <w:bookmarkStart w:id="183" w:name="_Toc75612380"/>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加快构建城市智能中枢体系。</w:t>
      </w:r>
      <w:bookmarkEnd w:id="183"/>
      <w:r>
        <w:rPr>
          <w:rFonts w:hint="eastAsia" w:ascii="方正兰亭纤黑简体" w:hAnsi="仿宋" w:eastAsia="方正兰亭纤黑简体" w:cs="仿宋"/>
          <w:sz w:val="28"/>
        </w:rPr>
        <w:t>持续推进“数字大足”云平台及配套同城灾备、同城双活、异地灾备数据中心和多云管理系统建设，加快容器、微服务等原生技术创新应用，提升云端开发、部署、运维、管理等全生命周期管理能力。围绕智慧应用建设政务服务、生态环境、农业农村等主题数据库和部门数据资源池，统筹推进智慧城市和数字乡村大数据资源中心建设。加快推进大足新型智慧城市运行管理中心建设，着力打造城市运行“一网统管”载体平台。建设城市智能中枢核心能力平台，为智慧城市各领域应用提供共性技术、业务协同、知识模型、安全保障等基础性、支撑性服务，打造城市级“能力中台”。</w:t>
      </w:r>
      <w:bookmarkStart w:id="184" w:name="_Toc75612382"/>
      <w:bookmarkStart w:id="185" w:name="_Toc63735386"/>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加快产业技术研发创新设施建设。</w:t>
      </w:r>
      <w:bookmarkEnd w:id="184"/>
      <w:r>
        <w:rPr>
          <w:rFonts w:hint="eastAsia" w:ascii="方正兰亭纤黑简体" w:hAnsi="仿宋" w:eastAsia="方正兰亭纤黑简体" w:cs="仿宋"/>
          <w:sz w:val="28"/>
        </w:rPr>
        <w:t>以双桥经开区、大足高新区、大足工业园区、大足石刻文创园为综合创新引领，以各产业龙头企业和科研院所为创新源，打造梯次布局、高效协同的产业技术创新平台体系。深入实施“一个重点企业一个研发平台”专项行动，支持区内龙头企业围绕五金文创、高端装备、智慧汽摩等重点领域，建设一批国家级和市级企业技术中心、工程技术研究中心、院士专家工作站、博士后科研流动站。鼓励区内龙头企业加强与集团总部的研发合作，争取集团公司研发中心落户大足或在大足设立研发分中心。</w:t>
      </w:r>
      <w:bookmarkEnd w:id="185"/>
      <w:bookmarkStart w:id="186" w:name="_Toc75612383"/>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强化数字经济科技服务平台建设。</w:t>
      </w:r>
      <w:bookmarkEnd w:id="186"/>
      <w:r>
        <w:rPr>
          <w:rFonts w:hint="eastAsia" w:ascii="方正兰亭纤黑简体" w:hAnsi="仿宋" w:eastAsia="方正兰亭纤黑简体" w:cs="仿宋"/>
          <w:sz w:val="28"/>
        </w:rPr>
        <w:t>支持区域龙头企业联合高等院校、科研机构，搭建一批数字经济科技服务平台，面向区内企业提供技术研发、试验推广、产品研制、质量检测、设备共享、信息咨询、知识产权保护等服务。鼓励高等院校、科研机构与数字经济企业共建概念验证、孵化育成等面向基础研究成果转化服务平台，建立线上与线下相结合的技术交易网络，促进科技创新成果交易，实现“源头创新—技术开发—成果转化—新兴产业”全链条发展。围绕自动驾驶、车联网、无人配送等复杂场景应用，加快培育一批数字经济新技术、新产品、新工艺、新材料试验验证平台。</w:t>
      </w:r>
    </w:p>
    <w:p>
      <w:pPr>
        <w:adjustRightInd w:val="0"/>
        <w:snapToGrid w:val="0"/>
        <w:spacing w:line="408" w:lineRule="auto"/>
        <w:ind w:firstLine="0" w:firstLineChars="0"/>
        <w:jc w:val="center"/>
        <w:rPr>
          <w:rFonts w:ascii="方正兰亭纤黑简体" w:hAnsi="仿宋" w:eastAsia="方正兰亭纤黑简体" w:cs="仿宋"/>
          <w:b/>
          <w:sz w:val="28"/>
          <w:szCs w:val="28"/>
        </w:rPr>
      </w:pPr>
      <w:r>
        <w:rPr>
          <w:rFonts w:hint="eastAsia" w:ascii="方正兰亭纤黑简体" w:hAnsi="仿宋" w:eastAsia="方正兰亭纤黑简体" w:cs="仿宋"/>
          <w:b/>
          <w:sz w:val="28"/>
          <w:szCs w:val="28"/>
        </w:rPr>
        <w:t>专栏1  新型基础设施建设重点项目</w:t>
      </w:r>
    </w:p>
    <w:tbl>
      <w:tblPr>
        <w:tblStyle w:val="24"/>
        <w:tblW w:w="8522"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52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8522" w:type="dxa"/>
            <w:tcBorders>
              <w:top w:val="single" w:color="000000" w:sz="4" w:space="0"/>
              <w:left w:val="single" w:color="000000" w:sz="4" w:space="0"/>
              <w:bottom w:val="single" w:color="000000" w:sz="4" w:space="0"/>
              <w:right w:val="single" w:color="000000" w:sz="4" w:space="0"/>
            </w:tcBorders>
          </w:tcPr>
          <w:p>
            <w:pPr>
              <w:pStyle w:val="11"/>
              <w:ind w:left="13" w:firstLine="350" w:firstLineChars="146"/>
              <w:rPr>
                <w:rFonts w:ascii="方正兰亭纤黑简体" w:hAnsi="仿宋" w:eastAsia="方正兰亭纤黑简体" w:cs="仿宋"/>
              </w:rPr>
            </w:pPr>
            <w:r>
              <w:rPr>
                <w:rFonts w:hint="eastAsia" w:ascii="方正兰亭纤黑简体" w:hAnsi="仿宋" w:eastAsia="方正兰亭纤黑简体" w:cs="仿宋"/>
                <w:sz w:val="24"/>
                <w:szCs w:val="28"/>
              </w:rPr>
              <w:t>数字化城市管理覆盖面积增补测、通讯基础设施建设、龙水电信支局、龙水电信端局等。</w:t>
            </w:r>
          </w:p>
        </w:tc>
      </w:tr>
    </w:tbl>
    <w:p>
      <w:pPr>
        <w:pStyle w:val="7"/>
        <w:ind w:left="0" w:leftChars="0" w:firstLine="0" w:firstLineChars="0"/>
        <w:rPr>
          <w:rFonts w:ascii="方正兰亭纤黑简体" w:hAnsi="仿宋" w:eastAsia="方正兰亭纤黑简体" w:cs="仿宋"/>
        </w:rPr>
      </w:pPr>
    </w:p>
    <w:p>
      <w:pPr>
        <w:pStyle w:val="5"/>
        <w:ind w:left="0"/>
        <w:rPr>
          <w:rFonts w:ascii="方正兰亭纤黑简体" w:hAnsi="仿宋" w:eastAsia="方正兰亭纤黑简体" w:cs="仿宋"/>
          <w:b/>
          <w:bCs w:val="0"/>
        </w:rPr>
      </w:pPr>
      <w:bookmarkStart w:id="187" w:name="_Toc31147"/>
      <w:bookmarkStart w:id="188" w:name="_Toc9523"/>
      <w:bookmarkStart w:id="189" w:name="_Toc7202"/>
      <w:bookmarkStart w:id="190" w:name="_Toc18301"/>
      <w:r>
        <w:rPr>
          <w:rFonts w:hint="eastAsia" w:ascii="方正兰亭纤黑简体" w:hAnsi="仿宋" w:eastAsia="方正兰亭纤黑简体" w:cs="仿宋"/>
          <w:b/>
          <w:bCs w:val="0"/>
        </w:rPr>
        <w:t>加快发展数字化公共服务</w:t>
      </w:r>
      <w:bookmarkEnd w:id="187"/>
      <w:bookmarkEnd w:id="188"/>
      <w:bookmarkEnd w:id="189"/>
      <w:bookmarkEnd w:id="190"/>
    </w:p>
    <w:p>
      <w:pPr>
        <w:widowControl/>
        <w:ind w:firstLine="560"/>
        <w:jc w:val="left"/>
        <w:rPr>
          <w:rFonts w:ascii="方正兰亭纤黑简体" w:hAnsi="仿宋" w:eastAsia="方正兰亭纤黑简体" w:cs="仿宋"/>
          <w:sz w:val="28"/>
        </w:rPr>
      </w:pPr>
      <w:r>
        <w:rPr>
          <w:rFonts w:hint="eastAsia" w:ascii="方正兰亭纤黑简体" w:hAnsi="仿宋" w:eastAsia="方正兰亭纤黑简体" w:cs="仿宋"/>
          <w:sz w:val="28"/>
        </w:rPr>
        <w:t>坚持以人民为中心，充分运用5G、大数据、人工智能、物联网、区块链等数字技术推进民生服务、生态宜居、社会治理、政务管理等重点领域模式创新，使城乡民生服务更加便捷、生态环境更加宜居、社会治理更加智能、政府管理更加科学，让老百姓享有更多智能红利。</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加快推进智慧社区建设。</w:t>
      </w:r>
      <w:r>
        <w:rPr>
          <w:rFonts w:hint="eastAsia" w:ascii="方正兰亭纤黑简体" w:hAnsi="仿宋" w:eastAsia="方正兰亭纤黑简体" w:cs="仿宋"/>
          <w:sz w:val="28"/>
        </w:rPr>
        <w:t>以龙岗街道为试点，加强视频监控等安防设施建设，加大老旧小区集人脸、车禁、门禁、视频监控、人防为一体的智能安防应用系统建设，并接入公安网络，提升老旧小区人员、车辆、物品的动态管控能力。整合区域人、地、物、况、事、组织和房屋等信息，统筹公共管理、公共服务和商业服务等资源，通过人工智能、物联网、大数据、5G等数字技术手段，打造一体化智慧社区综合信息服务平台，提升大足区社区治理能力和社区管理现代化水平。利用移动互联网、云计算、物联网、大数据分析等技术，对全区养老服务基础数据、养老服务业务开展和服务质量监管的智能分析应用进行升级。</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推进智慧环保建设。</w:t>
      </w:r>
      <w:r>
        <w:rPr>
          <w:rFonts w:hint="eastAsia" w:ascii="方正兰亭纤黑简体" w:hAnsi="仿宋" w:eastAsia="方正兰亭纤黑简体" w:cs="仿宋"/>
          <w:sz w:val="28"/>
        </w:rPr>
        <w:t>加快推进生态环境数据实现跨部门、跨层级数据共享，纵向完善“区—镇街—村（社区）”三级联动，横向实现区级各部门间生态环境监管相关信息的融合共享和深入应用。推进自动化监测站点建设，逐步建成重点区域全覆盖的信息数据，实时采集与视频监控相结合的综合环境监控网络。强化城市垃圾的智能分类和监管，引导居民前端分类，利用物联网、GIS等技术加大垃圾流通信息监测，打造“从源头到去向全程量化监控”的物联网管理模式。</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推进智慧能源建设。</w:t>
      </w:r>
      <w:r>
        <w:rPr>
          <w:rFonts w:hint="eastAsia" w:ascii="方正兰亭纤黑简体" w:hAnsi="仿宋" w:eastAsia="方正兰亭纤黑简体" w:cs="仿宋"/>
          <w:sz w:val="28"/>
        </w:rPr>
        <w:t>推进清洁低碳、安全高效的现代能源体系建设，加快发展新能源，大力发展节能环保产业，全面推行绿色制造，加强绿色产品研发应用，突出节能、环保、资源循环利用三大重点领域，实施节能环保技术装备产业化、节能环保汽车及家电产业升级壮大等重点工程。建设全区智慧能源综合监管平台，开展各类能源负荷预测、消耗趋势、异常消耗、供需情况分析，提供能源管理一张图应用，实现区内能源智能化、可视化监管。</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推进智慧水务建设。</w:t>
      </w:r>
      <w:r>
        <w:rPr>
          <w:rFonts w:hint="eastAsia" w:ascii="方正兰亭纤黑简体" w:hAnsi="仿宋" w:eastAsia="方正兰亭纤黑简体" w:cs="仿宋"/>
          <w:sz w:val="28"/>
        </w:rPr>
        <w:t>建设面向全区的智慧水务综合管理平台，推进城市水务网络化、流域化、综合化管理，实现“源、供、排、污、灾”全过程量化监控管理模式。推进水量水质信息、涉水管网地理信息和视频监控共享，利用大数据技术，对海量水务信息进行及时分析与处理，强化大足区生态供排水的智慧化管理，实现资源、安全、环境三位一体的智慧水务发展目标。</w:t>
      </w:r>
    </w:p>
    <w:p>
      <w:pPr>
        <w:widowControl/>
        <w:ind w:firstLine="562"/>
        <w:jc w:val="left"/>
        <w:rPr>
          <w:rFonts w:ascii="方正兰亭纤黑简体" w:hAnsi="仿宋" w:eastAsia="方正兰亭纤黑简体" w:cs="仿宋"/>
          <w:sz w:val="28"/>
        </w:rPr>
      </w:pPr>
      <w:bookmarkStart w:id="191" w:name="_Toc75612421"/>
      <w:bookmarkStart w:id="192" w:name="_Toc17426"/>
      <w:r>
        <w:rPr>
          <w:rFonts w:hint="eastAsia" w:ascii="方正兰亭纤黑简体" w:hAnsi="仿宋" w:eastAsia="方正兰亭纤黑简体" w:cs="仿宋"/>
          <w:b/>
          <w:bCs/>
          <w:sz w:val="28"/>
        </w:rPr>
        <w:t>加快发展智慧城管</w:t>
      </w:r>
      <w:bookmarkEnd w:id="191"/>
      <w:bookmarkEnd w:id="192"/>
      <w:r>
        <w:rPr>
          <w:rFonts w:hint="eastAsia" w:ascii="方正兰亭纤黑简体" w:hAnsi="仿宋" w:eastAsia="方正兰亭纤黑简体" w:cs="仿宋"/>
          <w:b/>
          <w:bCs/>
          <w:sz w:val="28"/>
        </w:rPr>
        <w:t>。</w:t>
      </w:r>
      <w:r>
        <w:rPr>
          <w:rFonts w:hint="eastAsia" w:ascii="方正兰亭纤黑简体" w:hAnsi="仿宋" w:eastAsia="方正兰亭纤黑简体" w:cs="仿宋"/>
          <w:sz w:val="28"/>
        </w:rPr>
        <w:t>建立大足城市管理数据资源目录服务体系，优化完善城市管理数据库，统筹推进城市综合管理服务平台以及智慧市政、智慧环卫、智慧园林、智慧执法等业务应用系统建设。持续深化城市管理网格精细化，细化部门和单位职责清单，压实工作责任，以城市事件为牵引，构建区、街、居三级城市运行应用体系，推动城市管理、应急指挥、综合执法等领域的“精准定位”和“一网统管”。推动大足高新区智慧园区建成运营，提供工业互联网（智能制造）应用开发、咨询规划、工程交付、培训实习、测试认证、示范推广“一站式”综合服务。</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推进智慧交通建设。</w:t>
      </w:r>
      <w:r>
        <w:rPr>
          <w:rFonts w:hint="eastAsia" w:ascii="方正兰亭纤黑简体" w:hAnsi="仿宋" w:eastAsia="方正兰亭纤黑简体" w:cs="仿宋"/>
          <w:sz w:val="28"/>
        </w:rPr>
        <w:t>以NB—IoT、eMTC、RFID等物联网技术应用为重点，加快推进大足区停车场、公交站牌等交通基础设施的智能化升级改造，加大智慧停车场、电子站牌建设，强化交通基础数据的采集、分析和处理能力，构建完善的智能交通感知体系。研究储备五星大道智慧人行过街系统试点项目，强化对“低头族”的提醒，提高近斑马线非机动车道的通行效率，在夜间或恶劣天气下减少人行横道线周边事故，方便弱视人群出行。丰富完善交通应急指挥调度平台功能，运用大数据、人工智能等技术，对多维度交通数据进行计算分析，全面及时掌握城市交通整体运行态势，根据交通态势预测高效完成研判、指挥与处置的联动，增强处置突发事件的能力和水平。</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深化完善智慧警务。</w:t>
      </w:r>
      <w:r>
        <w:rPr>
          <w:rFonts w:hint="eastAsia" w:ascii="方正兰亭纤黑简体" w:hAnsi="仿宋" w:eastAsia="方正兰亭纤黑简体" w:cs="仿宋"/>
          <w:sz w:val="28"/>
        </w:rPr>
        <w:t>打造智慧警务服务站，推进智慧警务与实战警务深度融合，实现居民身份证遗失补领、公安信访预受理及资料上传、养犬、车辆及驾驶员信息查询等多种警务服务。深化雪亮工程建设，推动“全域覆盖、全网共享、全时可用、全程可控”的公共安全视频监控建设与联网应用。完善公安指挥中心建设，通过大数据分析对社会治安问题进行预测，展现属性、时空、语义、特征等关联关系，实现对维稳、反恐、打击犯罪、治安防控等各类风险的自动识别和预警，以数字化手段全面提升社会治安防控能力。</w:t>
      </w:r>
    </w:p>
    <w:p>
      <w:pPr>
        <w:widowControl/>
        <w:ind w:firstLine="562"/>
        <w:jc w:val="left"/>
        <w:rPr>
          <w:rFonts w:ascii="方正兰亭纤黑简体" w:hAnsi="仿宋" w:eastAsia="方正兰亭纤黑简体" w:cs="仿宋"/>
          <w:sz w:val="28"/>
        </w:rPr>
      </w:pPr>
      <w:bookmarkStart w:id="193" w:name="_Toc75612417"/>
      <w:bookmarkStart w:id="194" w:name="_Toc10147"/>
      <w:r>
        <w:rPr>
          <w:rFonts w:hint="eastAsia" w:ascii="方正兰亭纤黑简体" w:hAnsi="仿宋" w:eastAsia="方正兰亭纤黑简体" w:cs="仿宋"/>
          <w:b/>
          <w:bCs/>
          <w:sz w:val="28"/>
        </w:rPr>
        <w:t>深入发展智慧应急</w:t>
      </w:r>
      <w:bookmarkEnd w:id="193"/>
      <w:bookmarkEnd w:id="194"/>
      <w:r>
        <w:rPr>
          <w:rFonts w:hint="eastAsia" w:ascii="方正兰亭纤黑简体" w:hAnsi="仿宋" w:eastAsia="方正兰亭纤黑简体" w:cs="仿宋"/>
          <w:b/>
          <w:bCs/>
          <w:sz w:val="28"/>
        </w:rPr>
        <w:t>。</w:t>
      </w:r>
      <w:r>
        <w:rPr>
          <w:rFonts w:hint="eastAsia" w:ascii="方正兰亭纤黑简体" w:hAnsi="仿宋" w:eastAsia="方正兰亭纤黑简体" w:cs="仿宋"/>
          <w:sz w:val="28"/>
        </w:rPr>
        <w:t>依托大足政务云平台，建设区级应急管理与决策分析主题库，为全区应急管理工作提供综合研判、事故灾害预警、指挥辅助等基础支撑。建设大足区应急指挥中心，优化职责匹配的事件协调处置流程，提升突发事件响应速度和处置效率。建立现代化消防体系，统筹建设各类消防感知设施，形成集消防地理信息、执勤实力、器材装备、重点单位、应急物资储备、火灾统计等功能于一体的消防基础数据库，实现全区消防事件预判及消防设备精准管理。</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大力发展智慧政务。</w:t>
      </w:r>
      <w:r>
        <w:rPr>
          <w:rFonts w:hint="eastAsia" w:ascii="方正兰亭纤黑简体" w:hAnsi="仿宋" w:eastAsia="方正兰亭纤黑简体" w:cs="仿宋"/>
          <w:sz w:val="28"/>
        </w:rPr>
        <w:t>打造“一窗综办”式政务服务大厅，建立以企业证照和居民身份证号码为唯一索引的综合受理系统，开展多业务综合受理服务。加快政务服务自助终端建设，整合公安、人力社保、市场监管等部门的服务资源，推进自助终端与部门业务系统的集成对接，集中提供办事预约、自助办理、信息查询、服务评价等服务。积极推动行政服务大厅、商场、银行、高铁站等场所设置政务服务自助办理设备。优化提升“政务+邮政”服务，引导办事群众全程网办。</w:t>
      </w:r>
    </w:p>
    <w:p>
      <w:pPr>
        <w:widowControl/>
        <w:ind w:firstLine="562"/>
        <w:jc w:val="left"/>
        <w:rPr>
          <w:rFonts w:ascii="方正兰亭纤黑简体" w:hAnsi="仿宋" w:eastAsia="方正兰亭纤黑简体" w:cs="仿宋"/>
          <w:sz w:val="28"/>
        </w:rPr>
      </w:pPr>
      <w:bookmarkStart w:id="195" w:name="_Toc75612420"/>
      <w:bookmarkStart w:id="196" w:name="_Toc31376"/>
      <w:r>
        <w:rPr>
          <w:rFonts w:hint="eastAsia" w:ascii="方正兰亭纤黑简体" w:hAnsi="仿宋" w:eastAsia="方正兰亭纤黑简体" w:cs="仿宋"/>
          <w:b/>
          <w:bCs/>
          <w:sz w:val="28"/>
        </w:rPr>
        <w:t>积极发展智慧监管</w:t>
      </w:r>
      <w:bookmarkEnd w:id="195"/>
      <w:bookmarkEnd w:id="196"/>
      <w:r>
        <w:rPr>
          <w:rFonts w:hint="eastAsia" w:ascii="方正兰亭纤黑简体" w:hAnsi="仿宋" w:eastAsia="方正兰亭纤黑简体" w:cs="仿宋"/>
          <w:b/>
          <w:bCs/>
          <w:sz w:val="28"/>
        </w:rPr>
        <w:t>。</w:t>
      </w:r>
      <w:r>
        <w:rPr>
          <w:rFonts w:hint="eastAsia" w:ascii="方正兰亭纤黑简体" w:hAnsi="仿宋" w:eastAsia="方正兰亭纤黑简体" w:cs="仿宋"/>
          <w:sz w:val="28"/>
        </w:rPr>
        <w:t>充分运用互联网、大数据、区块链等信息技术，汇聚重点领域、重点行业和重点企业监管数据，同时接入社会投诉举报数据、互联网及第三方相关数据，构建智慧化的市场监管平台。开展重点领域安全监管智能感知体系建设，并接入重点、高危行业监管数据，结合物联网和大数据技术，强化大数据分析利用，构建智慧化的安全生产监管平台，逐步实现监管数据可分析、风险可预警。推进“互联网+监管”改革，积极开展跨地区、跨部门、跨行业协同监管、综合监管、联合监管。依托全市信用联动监管平台，利用大数据、云计算、人工智能等新兴技术完善全区企业信用联动监管机制，提升事前信用评估准确度。</w:t>
      </w:r>
    </w:p>
    <w:p>
      <w:pPr>
        <w:adjustRightInd w:val="0"/>
        <w:snapToGrid w:val="0"/>
        <w:spacing w:line="408" w:lineRule="auto"/>
        <w:ind w:firstLine="0" w:firstLineChars="0"/>
        <w:jc w:val="center"/>
        <w:rPr>
          <w:rFonts w:ascii="方正兰亭纤黑简体" w:hAnsi="仿宋" w:eastAsia="方正兰亭纤黑简体" w:cs="仿宋"/>
          <w:b/>
          <w:sz w:val="28"/>
          <w:szCs w:val="28"/>
        </w:rPr>
      </w:pPr>
      <w:r>
        <w:rPr>
          <w:rFonts w:hint="eastAsia" w:ascii="方正兰亭纤黑简体" w:hAnsi="仿宋" w:eastAsia="方正兰亭纤黑简体" w:cs="仿宋"/>
          <w:b/>
          <w:sz w:val="28"/>
          <w:szCs w:val="28"/>
        </w:rPr>
        <w:t>专栏2  数字化公共服务重点项目</w:t>
      </w:r>
    </w:p>
    <w:tbl>
      <w:tblPr>
        <w:tblStyle w:val="24"/>
        <w:tblW w:w="8522"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52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8522" w:type="dxa"/>
            <w:tcBorders>
              <w:top w:val="single" w:color="000000" w:sz="4" w:space="0"/>
              <w:left w:val="single" w:color="000000" w:sz="4" w:space="0"/>
              <w:bottom w:val="single" w:color="000000" w:sz="4" w:space="0"/>
              <w:right w:val="single" w:color="000000" w:sz="4" w:space="0"/>
            </w:tcBorders>
          </w:tcPr>
          <w:p>
            <w:pPr>
              <w:adjustRightInd w:val="0"/>
              <w:snapToGrid w:val="0"/>
              <w:spacing w:line="432" w:lineRule="auto"/>
              <w:ind w:firstLine="422" w:firstLineChars="175"/>
              <w:rPr>
                <w:rFonts w:ascii="方正兰亭纤黑简体" w:hAnsi="仿宋" w:eastAsia="方正兰亭纤黑简体" w:cs="仿宋"/>
                <w:sz w:val="24"/>
              </w:rPr>
            </w:pPr>
            <w:r>
              <w:rPr>
                <w:rFonts w:hint="eastAsia" w:ascii="方正兰亭纤黑简体" w:hAnsi="仿宋" w:eastAsia="方正兰亭纤黑简体" w:cs="仿宋"/>
                <w:b/>
                <w:bCs/>
                <w:sz w:val="24"/>
              </w:rPr>
              <w:t>新建项目：</w:t>
            </w:r>
            <w:r>
              <w:rPr>
                <w:rFonts w:hint="eastAsia" w:ascii="方正兰亭纤黑简体" w:hAnsi="仿宋" w:eastAsia="方正兰亭纤黑简体" w:cs="仿宋"/>
                <w:sz w:val="24"/>
              </w:rPr>
              <w:t>智慧城市（二期）、大足区智慧政务大厅项目、城市消防远程监控系统终端建设、货运安全监管平台、大足石刻数字博物馆、智慧城管建设项目、国资大数据监管平台、实施</w:t>
            </w:r>
            <w:r>
              <w:rPr>
                <w:rFonts w:ascii="方正兰亭纤黑简体" w:hAnsi="仿宋" w:eastAsia="方正兰亭纤黑简体" w:cs="仿宋"/>
                <w:sz w:val="24"/>
              </w:rPr>
              <w:t>智慧路网建设、</w:t>
            </w:r>
            <w:r>
              <w:rPr>
                <w:rFonts w:hint="eastAsia" w:ascii="方正兰亭纤黑简体" w:hAnsi="仿宋" w:eastAsia="方正兰亭纤黑简体" w:cs="仿宋"/>
                <w:sz w:val="24"/>
              </w:rPr>
              <w:t>智慧</w:t>
            </w:r>
            <w:r>
              <w:rPr>
                <w:rFonts w:ascii="方正兰亭纤黑简体" w:hAnsi="仿宋" w:eastAsia="方正兰亭纤黑简体" w:cs="仿宋"/>
                <w:sz w:val="24"/>
              </w:rPr>
              <w:t>城市综合管理服务平台、</w:t>
            </w:r>
            <w:r>
              <w:rPr>
                <w:rFonts w:hint="eastAsia" w:ascii="方正兰亭纤黑简体" w:hAnsi="仿宋" w:eastAsia="方正兰亭纤黑简体" w:cs="仿宋"/>
                <w:sz w:val="24"/>
              </w:rPr>
              <w:t>大足区网络安全协调指挥平台建设项目、大足区城市智能交通与物联网技术支撑服务平台新建信息采集和监测设施、免费公交IC卡人脸识别系统、大足区应急指挥调度系统、旅游大数中心、大足区文化馆数字文化馆建设、大足区图书馆智慧化及自助设备升级项目等；</w:t>
            </w:r>
          </w:p>
          <w:p>
            <w:pPr>
              <w:adjustRightInd w:val="0"/>
              <w:snapToGrid w:val="0"/>
              <w:spacing w:line="432" w:lineRule="auto"/>
              <w:ind w:firstLine="422" w:firstLineChars="175"/>
              <w:rPr>
                <w:rFonts w:ascii="方正兰亭纤黑简体" w:hAnsi="仿宋" w:eastAsia="方正兰亭纤黑简体" w:cs="仿宋"/>
                <w:sz w:val="21"/>
                <w:szCs w:val="21"/>
              </w:rPr>
            </w:pPr>
            <w:r>
              <w:rPr>
                <w:rFonts w:hint="eastAsia" w:ascii="方正兰亭纤黑简体" w:hAnsi="仿宋" w:eastAsia="方正兰亭纤黑简体" w:cs="仿宋"/>
                <w:b/>
                <w:bCs/>
                <w:sz w:val="24"/>
              </w:rPr>
              <w:t>储备项目：</w:t>
            </w:r>
            <w:r>
              <w:rPr>
                <w:rFonts w:hint="eastAsia" w:ascii="方正兰亭纤黑简体" w:hAnsi="仿宋" w:eastAsia="方正兰亭纤黑简体" w:cs="仿宋"/>
                <w:bCs/>
                <w:sz w:val="24"/>
              </w:rPr>
              <w:t>大足区全域智慧养老项目、智慧应急管理体系、智慧城市（三期）、</w:t>
            </w:r>
            <w:r>
              <w:rPr>
                <w:rFonts w:hint="eastAsia" w:ascii="方正兰亭纤黑简体" w:hAnsi="仿宋" w:eastAsia="方正兰亭纤黑简体" w:cs="仿宋"/>
                <w:sz w:val="24"/>
              </w:rPr>
              <w:t>智慧人行过街系统、智慧公交站。</w:t>
            </w:r>
          </w:p>
        </w:tc>
      </w:tr>
    </w:tbl>
    <w:p>
      <w:pPr>
        <w:pStyle w:val="7"/>
        <w:ind w:left="0" w:leftChars="0" w:firstLine="0" w:firstLineChars="0"/>
        <w:rPr>
          <w:rFonts w:ascii="仿宋" w:hAnsi="仿宋" w:eastAsia="仿宋" w:cs="仿宋"/>
        </w:rPr>
      </w:pPr>
    </w:p>
    <w:p>
      <w:pPr>
        <w:ind w:firstLine="640"/>
        <w:rPr>
          <w:rFonts w:ascii="仿宋" w:hAnsi="仿宋" w:eastAsia="仿宋" w:cs="仿宋"/>
          <w:shd w:val="clear" w:color="auto" w:fill="FFFFFF"/>
        </w:rPr>
      </w:pPr>
      <w:r>
        <w:rPr>
          <w:rFonts w:hint="eastAsia" w:ascii="仿宋" w:hAnsi="仿宋" w:eastAsia="仿宋" w:cs="仿宋"/>
          <w:shd w:val="clear" w:color="auto" w:fill="FFFFFF"/>
        </w:rPr>
        <w:br w:type="page"/>
      </w:r>
    </w:p>
    <w:p>
      <w:pPr>
        <w:pStyle w:val="4"/>
        <w:adjustRightInd w:val="0"/>
        <w:snapToGrid w:val="0"/>
        <w:spacing w:line="432" w:lineRule="auto"/>
        <w:ind w:left="0"/>
        <w:rPr>
          <w:rFonts w:ascii="方正兰亭粗黑简体" w:hAnsi="仿宋" w:eastAsia="方正兰亭粗黑简体" w:cs="仿宋"/>
          <w:b/>
        </w:rPr>
      </w:pPr>
      <w:bookmarkStart w:id="197" w:name="_Toc4055"/>
      <w:bookmarkStart w:id="198" w:name="_Toc1598"/>
      <w:bookmarkStart w:id="199" w:name="_Toc4380"/>
      <w:bookmarkStart w:id="200" w:name="_Toc1025"/>
      <w:r>
        <w:rPr>
          <w:rFonts w:hint="eastAsia" w:ascii="方正兰亭粗黑简体" w:hAnsi="仿宋" w:eastAsia="方正兰亭粗黑简体" w:cs="仿宋"/>
          <w:b/>
        </w:rPr>
        <w:t>筑牢安全发展基础，提升防灾减灾能力</w:t>
      </w:r>
      <w:bookmarkEnd w:id="174"/>
      <w:bookmarkEnd w:id="175"/>
      <w:bookmarkEnd w:id="197"/>
      <w:bookmarkEnd w:id="198"/>
      <w:bookmarkEnd w:id="199"/>
      <w:bookmarkEnd w:id="200"/>
    </w:p>
    <w:p>
      <w:pPr>
        <w:widowControl/>
        <w:ind w:firstLine="560"/>
        <w:jc w:val="left"/>
        <w:rPr>
          <w:rFonts w:ascii="方正兰亭纤黑简体" w:hAnsi="仿宋" w:eastAsia="方正兰亭纤黑简体" w:cs="仿宋"/>
          <w:sz w:val="28"/>
        </w:rPr>
      </w:pPr>
      <w:bookmarkStart w:id="201" w:name="_Toc402"/>
      <w:bookmarkStart w:id="202" w:name="_Toc1889"/>
      <w:r>
        <w:rPr>
          <w:rFonts w:hint="eastAsia" w:ascii="方正兰亭纤黑简体" w:hAnsi="仿宋" w:eastAsia="方正兰亭纤黑简体" w:cs="仿宋"/>
          <w:sz w:val="28"/>
        </w:rPr>
        <w:t>树立安全底线思维，坚持以防为主、防抗救相结合，坚持常态减灾和非常态救灾相统一。建立健全城市防洪、消防、内涝等应急指挥系统，加强城市应急避难场所和人防工程建设，增强抵御自然灾害、处置突发事件和危机管理能力，形成全天候、系统性、现代化的城市安全保障体系。</w:t>
      </w:r>
    </w:p>
    <w:p>
      <w:pPr>
        <w:pStyle w:val="5"/>
        <w:ind w:left="0"/>
        <w:rPr>
          <w:rFonts w:ascii="方正兰亭纤黑简体" w:hAnsi="仿宋" w:eastAsia="方正兰亭纤黑简体" w:cs="仿宋"/>
          <w:b/>
          <w:bCs w:val="0"/>
        </w:rPr>
      </w:pPr>
      <w:bookmarkStart w:id="203" w:name="_Toc9975"/>
      <w:bookmarkStart w:id="204" w:name="_Toc3281"/>
      <w:bookmarkStart w:id="205" w:name="_Toc198"/>
      <w:bookmarkStart w:id="206" w:name="_Toc6316"/>
      <w:r>
        <w:rPr>
          <w:rFonts w:hint="eastAsia" w:ascii="方正兰亭纤黑简体" w:hAnsi="仿宋" w:eastAsia="方正兰亭纤黑简体" w:cs="仿宋"/>
          <w:b/>
          <w:bCs w:val="0"/>
        </w:rPr>
        <w:t>构建安全可靠的防洪排涝体系</w:t>
      </w:r>
      <w:bookmarkEnd w:id="201"/>
      <w:bookmarkEnd w:id="202"/>
      <w:bookmarkEnd w:id="203"/>
      <w:bookmarkEnd w:id="204"/>
      <w:bookmarkEnd w:id="205"/>
      <w:bookmarkEnd w:id="206"/>
    </w:p>
    <w:p>
      <w:pPr>
        <w:widowControl/>
        <w:ind w:firstLine="560"/>
        <w:jc w:val="left"/>
        <w:rPr>
          <w:rFonts w:ascii="方正兰亭纤黑简体" w:hAnsi="仿宋" w:eastAsia="方正兰亭纤黑简体" w:cs="仿宋"/>
          <w:sz w:val="28"/>
        </w:rPr>
      </w:pPr>
      <w:r>
        <w:rPr>
          <w:rFonts w:hint="eastAsia" w:ascii="方正兰亭纤黑简体" w:hAnsi="仿宋" w:eastAsia="方正兰亭纤黑简体" w:cs="仿宋"/>
          <w:sz w:val="28"/>
        </w:rPr>
        <w:t>至2021-2025期末，大足城区基本形成“源头减排、管网排放、蓄排并举、超标应急”的城市排水防涝工程体系，城市排水防涝能力显著提升，内涝治理工作取得明显成效。低洼地区防洪排涝水平大幅提升，历史上严重影响生产生活秩序的易涝积水点全面消除。内涝中、高风险区消除比例80%以上，按照20年一遇内涝防治重现期标准达标面积50%以上。在超出城市内涝防治标准的降雨条件下，城市生命线工程等重要市政基础设施功能不丧失，基本保障城市安全运行。</w:t>
      </w:r>
    </w:p>
    <w:p>
      <w:pPr>
        <w:widowControl/>
        <w:ind w:firstLine="562"/>
        <w:jc w:val="left"/>
        <w:rPr>
          <w:rFonts w:ascii="方正兰亭纤黑简体" w:hAnsi="仿宋" w:eastAsia="方正兰亭纤黑简体" w:cs="仿宋"/>
          <w:sz w:val="28"/>
        </w:rPr>
      </w:pPr>
      <w:bookmarkStart w:id="207" w:name="_Toc76559518"/>
      <w:r>
        <w:rPr>
          <w:rFonts w:hint="eastAsia" w:ascii="方正兰亭纤黑简体" w:hAnsi="仿宋" w:eastAsia="方正兰亭纤黑简体" w:cs="仿宋"/>
          <w:b/>
          <w:bCs/>
          <w:sz w:val="28"/>
        </w:rPr>
        <w:t>易涝积水点整治。</w:t>
      </w:r>
      <w:r>
        <w:rPr>
          <w:rFonts w:hint="eastAsia" w:ascii="方正兰亭纤黑简体" w:hAnsi="仿宋" w:eastAsia="方正兰亭纤黑简体" w:cs="仿宋"/>
          <w:sz w:val="28"/>
        </w:rPr>
        <w:t>一是构建管网模型对现状排水防涝体系和规划排水管网系统进行分析，识别内涝积水区域。建设“源头控制、排水系统工程、城市泄洪通道优化改造工程、城市大排蓄系统”四级排水防涝体系，对现状排水防涝体系进行改造提升，消除内涝积水点，全面提升规划区的水安全标准。二是加强防灾减灾的非工程措施，建立一个高效、可靠、及时的防汛预警指挥系统，使各级防汛、抗旱指挥部门能根据收集的各类信息，综合掌握水情、工情、灾情实况，并对其发展趋势作出及时预报和预测，有效应用排水设施和河道水系，努力缩小灾害范围，最大限度减小灾害损失。结合排查结果，2021-2025期间拟对</w:t>
      </w:r>
      <w:r>
        <w:rPr>
          <w:rFonts w:hint="eastAsia" w:ascii="方正兰亭纤黑简体" w:hAnsi="仿宋" w:eastAsia="方正兰亭纤黑简体" w:cs="仿宋"/>
          <w:sz w:val="28"/>
          <w:lang w:val="zh-CN"/>
        </w:rPr>
        <w:t>重庆资源与环境保护置业学院等内涝点进行改造排除</w:t>
      </w:r>
      <w:r>
        <w:rPr>
          <w:rFonts w:hint="eastAsia" w:ascii="方正兰亭纤黑简体" w:hAnsi="仿宋" w:eastAsia="方正兰亭纤黑简体" w:cs="仿宋"/>
          <w:sz w:val="28"/>
        </w:rPr>
        <w:t>，保障城市运行安全。对于未来新发现的城区内涝点，将通过建设与管理相结合，实现我区内涝积水点动态清零。</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信息化平台建设。</w:t>
      </w:r>
      <w:r>
        <w:rPr>
          <w:rFonts w:hint="eastAsia" w:ascii="方正兰亭纤黑简体" w:hAnsi="仿宋" w:eastAsia="方正兰亭纤黑简体" w:cs="仿宋"/>
          <w:sz w:val="28"/>
        </w:rPr>
        <w:t>以实现信息化管控的要求为准则，做到“设备自动化，管理信息化”。采集易涝点液位信息、雨量信息、主要干管流量信息、视频信息、泵站系统监测信号、变配电监测信号，分别存入所属数据库，管理控制站与政府、水利环保气象等部门进行数据共享，数据互通，形成“排水物联网”。构建大数据平台，建立信息化管控平台，通过“智能感知、智能仿真、智能诊断、智能预警、智能调度、智能处置、智能控制、智能服务”功能体系，实现排水防涝智能保障，提高排水防涝管控能力，以支撑日常和应急状态下的防洪等管理业务工作，保障城市安全运行。</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强化防洪管控。</w:t>
      </w:r>
      <w:r>
        <w:rPr>
          <w:rFonts w:hint="eastAsia" w:ascii="方正兰亭纤黑简体" w:hAnsi="仿宋" w:eastAsia="方正兰亭纤黑简体" w:cs="仿宋"/>
          <w:sz w:val="28"/>
        </w:rPr>
        <w:t>加强防汛预警指挥系统建设，形成一个高效、可靠、及时的各类信息收集、分析系统，使各级防汛、抗旱指挥部门能根据相关资料，综合掌握水情、工情、灾情实况，并对其发展趋势做出及时预报和预测；制定切实的防洪规划，我区城镇开发边界内的城区防洪管控水位不得低于50年一遇洪水位。加强新建项目防洪管控，严把新建建筑防洪审批关，不得侵占已划定的河道（水库）管理范围；强化构筑物防洪标准管控，2021-2025末，具有防洪风险隐患的违法建筑要全部拆除，除特别难以解决的防洪风险隐患外，其余防洪风险隐患要基本消除；充分利用防洪管控水位下的用地，结合城市品质提升，构建绿色生态的滨水空间。</w:t>
      </w:r>
    </w:p>
    <w:p>
      <w:pPr>
        <w:adjustRightInd w:val="0"/>
        <w:snapToGrid w:val="0"/>
        <w:spacing w:line="408" w:lineRule="auto"/>
        <w:ind w:firstLine="0" w:firstLineChars="0"/>
        <w:jc w:val="center"/>
        <w:rPr>
          <w:rFonts w:ascii="方正兰亭纤黑简体" w:hAnsi="仿宋" w:eastAsia="方正兰亭纤黑简体" w:cs="仿宋"/>
          <w:b/>
          <w:sz w:val="28"/>
          <w:szCs w:val="28"/>
        </w:rPr>
      </w:pPr>
      <w:r>
        <w:rPr>
          <w:rFonts w:hint="eastAsia" w:ascii="方正兰亭纤黑简体" w:hAnsi="仿宋" w:eastAsia="方正兰亭纤黑简体" w:cs="仿宋"/>
          <w:b/>
          <w:sz w:val="28"/>
          <w:szCs w:val="28"/>
        </w:rPr>
        <w:t>专栏1  防洪排涝建设重点项目</w:t>
      </w:r>
    </w:p>
    <w:tbl>
      <w:tblPr>
        <w:tblStyle w:val="24"/>
        <w:tblW w:w="8522"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52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8522" w:type="dxa"/>
            <w:tcBorders>
              <w:top w:val="single" w:color="000000" w:sz="4" w:space="0"/>
              <w:left w:val="single" w:color="000000" w:sz="4" w:space="0"/>
              <w:bottom w:val="single" w:color="000000" w:sz="4" w:space="0"/>
              <w:right w:val="single" w:color="000000" w:sz="4" w:space="0"/>
            </w:tcBorders>
          </w:tcPr>
          <w:p>
            <w:pPr>
              <w:adjustRightInd w:val="0"/>
              <w:snapToGrid w:val="0"/>
              <w:spacing w:line="432" w:lineRule="auto"/>
              <w:ind w:firstLine="420" w:firstLineChars="175"/>
              <w:rPr>
                <w:rFonts w:ascii="方正兰亭纤黑简体" w:hAnsi="仿宋" w:eastAsia="方正兰亭纤黑简体" w:cs="仿宋"/>
                <w:sz w:val="24"/>
                <w:lang w:val="zh-CN"/>
              </w:rPr>
            </w:pPr>
            <w:r>
              <w:rPr>
                <w:rFonts w:hint="eastAsia" w:ascii="方正兰亭纤黑简体" w:hAnsi="仿宋" w:eastAsia="方正兰亭纤黑简体" w:cs="仿宋"/>
                <w:sz w:val="24"/>
                <w:lang w:val="zh-CN"/>
              </w:rPr>
              <w:t>重庆资源与环境保护置业学院内涝点治理等工程。</w:t>
            </w:r>
          </w:p>
        </w:tc>
      </w:tr>
      <w:bookmarkEnd w:id="207"/>
    </w:tbl>
    <w:p>
      <w:pPr>
        <w:widowControl/>
        <w:ind w:firstLine="562"/>
        <w:jc w:val="left"/>
        <w:rPr>
          <w:rFonts w:ascii="方正兰亭纤黑简体" w:hAnsi="仿宋" w:eastAsia="方正兰亭纤黑简体" w:cs="仿宋"/>
          <w:b/>
          <w:bCs/>
          <w:sz w:val="28"/>
        </w:rPr>
      </w:pPr>
      <w:bookmarkStart w:id="208" w:name="_Toc11170"/>
      <w:bookmarkStart w:id="209" w:name="_Toc25819"/>
      <w:bookmarkStart w:id="210" w:name="_Toc29508"/>
      <w:bookmarkStart w:id="211" w:name="_Toc6222"/>
      <w:bookmarkStart w:id="212" w:name="_Toc1817"/>
      <w:bookmarkStart w:id="213" w:name="_Toc5185"/>
    </w:p>
    <w:p>
      <w:pPr>
        <w:pStyle w:val="5"/>
        <w:ind w:left="0"/>
        <w:rPr>
          <w:rFonts w:ascii="方正兰亭纤黑简体" w:hAnsi="仿宋" w:eastAsia="方正兰亭纤黑简体" w:cs="仿宋"/>
          <w:b/>
          <w:bCs w:val="0"/>
        </w:rPr>
      </w:pPr>
      <w:bookmarkStart w:id="214" w:name="_Toc19797"/>
      <w:r>
        <w:rPr>
          <w:rFonts w:hint="eastAsia" w:ascii="方正兰亭纤黑简体" w:hAnsi="仿宋" w:eastAsia="方正兰亭纤黑简体" w:cs="仿宋"/>
          <w:b/>
          <w:bCs w:val="0"/>
        </w:rPr>
        <w:t>构建现代化综合消防救援体系</w:t>
      </w:r>
      <w:bookmarkEnd w:id="208"/>
      <w:bookmarkEnd w:id="209"/>
      <w:bookmarkEnd w:id="210"/>
      <w:bookmarkEnd w:id="211"/>
      <w:bookmarkEnd w:id="212"/>
      <w:bookmarkEnd w:id="213"/>
      <w:bookmarkEnd w:id="214"/>
    </w:p>
    <w:p>
      <w:pPr>
        <w:widowControl/>
        <w:ind w:firstLine="560"/>
        <w:jc w:val="left"/>
        <w:rPr>
          <w:rFonts w:ascii="方正兰亭纤黑简体" w:hAnsi="仿宋" w:eastAsia="方正兰亭纤黑简体" w:cs="仿宋"/>
          <w:sz w:val="28"/>
        </w:rPr>
      </w:pPr>
      <w:r>
        <w:rPr>
          <w:rFonts w:hint="eastAsia" w:ascii="方正兰亭纤黑简体" w:hAnsi="仿宋" w:eastAsia="方正兰亭纤黑简体" w:cs="仿宋"/>
          <w:sz w:val="28"/>
        </w:rPr>
        <w:t>坚持改革创新，全面完善消防治理机制；坚持统筹兼顾，突出夯实消防安全基础；坚持问题导向，着力破解消防发展难题；坚持服务民生，积极创造优质消防环境。统筹全区</w:t>
      </w:r>
      <w:r>
        <w:rPr>
          <w:rFonts w:ascii="方正兰亭纤黑简体" w:hAnsi="仿宋" w:eastAsia="方正兰亭纤黑简体" w:cs="仿宋"/>
          <w:sz w:val="28"/>
        </w:rPr>
        <w:t>城乡消防</w:t>
      </w:r>
      <w:r>
        <w:rPr>
          <w:rFonts w:hint="eastAsia" w:ascii="方正兰亭纤黑简体" w:hAnsi="仿宋" w:eastAsia="方正兰亭纤黑简体" w:cs="仿宋"/>
          <w:sz w:val="28"/>
        </w:rPr>
        <w:t>整体</w:t>
      </w:r>
      <w:r>
        <w:rPr>
          <w:rFonts w:ascii="方正兰亭纤黑简体" w:hAnsi="仿宋" w:eastAsia="方正兰亭纤黑简体" w:cs="仿宋"/>
          <w:sz w:val="28"/>
        </w:rPr>
        <w:t>规划，深化区域</w:t>
      </w:r>
      <w:r>
        <w:rPr>
          <w:rFonts w:hint="eastAsia" w:ascii="方正兰亭纤黑简体" w:hAnsi="仿宋" w:eastAsia="方正兰亭纤黑简体" w:cs="仿宋"/>
          <w:sz w:val="28"/>
        </w:rPr>
        <w:t>协同</w:t>
      </w:r>
      <w:r>
        <w:rPr>
          <w:rFonts w:ascii="方正兰亭纤黑简体" w:hAnsi="仿宋" w:eastAsia="方正兰亭纤黑简体" w:cs="仿宋"/>
          <w:sz w:val="28"/>
        </w:rPr>
        <w:t>发展，科学统筹消防资源配置和建设。</w:t>
      </w:r>
      <w:r>
        <w:rPr>
          <w:rFonts w:hint="eastAsia" w:ascii="方正兰亭纤黑简体" w:hAnsi="仿宋" w:eastAsia="方正兰亭纤黑简体" w:cs="仿宋"/>
          <w:sz w:val="28"/>
        </w:rPr>
        <w:t>至</w:t>
      </w:r>
      <w:r>
        <w:rPr>
          <w:rFonts w:ascii="方正兰亭纤黑简体" w:hAnsi="仿宋" w:eastAsia="方正兰亭纤黑简体" w:cs="仿宋"/>
          <w:sz w:val="28"/>
        </w:rPr>
        <w:t>2021-2025</w:t>
      </w:r>
      <w:r>
        <w:rPr>
          <w:rFonts w:hint="eastAsia" w:ascii="方正兰亭纤黑简体" w:hAnsi="仿宋" w:eastAsia="方正兰亭纤黑简体" w:cs="仿宋"/>
          <w:sz w:val="28"/>
        </w:rPr>
        <w:t>期末</w:t>
      </w:r>
      <w:r>
        <w:rPr>
          <w:rFonts w:ascii="方正兰亭纤黑简体" w:hAnsi="仿宋" w:eastAsia="方正兰亭纤黑简体" w:cs="仿宋"/>
          <w:sz w:val="28"/>
        </w:rPr>
        <w:t>，</w:t>
      </w:r>
      <w:r>
        <w:rPr>
          <w:rFonts w:hint="eastAsia" w:ascii="方正兰亭纤黑简体" w:hAnsi="仿宋" w:eastAsia="方正兰亭纤黑简体" w:cs="仿宋"/>
          <w:sz w:val="28"/>
        </w:rPr>
        <w:t>基本形成与全区经济社会发展水平、相适应的公共安全火灾防控体系，消防安全形势持续向好，火灾事故总量持续下降，防范火灾事故能力显著增强，城乡消防安全基础条件明显改善。</w:t>
      </w:r>
    </w:p>
    <w:p>
      <w:pPr>
        <w:pStyle w:val="2"/>
        <w:ind w:firstLine="562"/>
        <w:rPr>
          <w:rFonts w:ascii="方正兰亭纤黑简体" w:hAnsi="仿宋" w:eastAsia="方正兰亭纤黑简体" w:cs="仿宋"/>
          <w:sz w:val="28"/>
        </w:rPr>
      </w:pPr>
      <w:r>
        <w:rPr>
          <w:rFonts w:hint="eastAsia" w:ascii="方正兰亭纤黑简体" w:hAnsi="仿宋" w:eastAsia="方正兰亭纤黑简体" w:cs="仿宋"/>
          <w:b/>
          <w:bCs/>
          <w:sz w:val="28"/>
        </w:rPr>
        <w:t>落实消防民生工程。</w:t>
      </w:r>
      <w:r>
        <w:rPr>
          <w:rFonts w:hint="eastAsia" w:ascii="方正兰亭纤黑简体" w:hAnsi="仿宋" w:eastAsia="方正兰亭纤黑简体" w:cs="仿宋"/>
          <w:sz w:val="28"/>
        </w:rPr>
        <w:t>全面</w:t>
      </w:r>
      <w:r>
        <w:rPr>
          <w:rFonts w:ascii="方正兰亭纤黑简体" w:hAnsi="仿宋" w:eastAsia="方正兰亭纤黑简体" w:cs="仿宋"/>
          <w:sz w:val="28"/>
        </w:rPr>
        <w:t>推进城镇老旧小区消防设施提升改造</w:t>
      </w:r>
      <w:r>
        <w:rPr>
          <w:rFonts w:hint="eastAsia" w:ascii="方正兰亭纤黑简体" w:hAnsi="仿宋" w:eastAsia="方正兰亭纤黑简体" w:cs="仿宋"/>
          <w:sz w:val="28"/>
        </w:rPr>
        <w:t>。</w:t>
      </w:r>
      <w:r>
        <w:rPr>
          <w:rFonts w:ascii="方正兰亭纤黑简体" w:hAnsi="仿宋" w:eastAsia="方正兰亭纤黑简体" w:cs="仿宋"/>
          <w:sz w:val="28"/>
        </w:rPr>
        <w:t>2021-2025</w:t>
      </w:r>
      <w:r>
        <w:rPr>
          <w:rFonts w:hint="eastAsia" w:ascii="方正兰亭纤黑简体" w:hAnsi="仿宋" w:eastAsia="方正兰亭纤黑简体" w:cs="仿宋"/>
          <w:sz w:val="28"/>
        </w:rPr>
        <w:t>期间</w:t>
      </w:r>
      <w:r>
        <w:rPr>
          <w:rFonts w:ascii="方正兰亭纤黑简体" w:hAnsi="仿宋" w:eastAsia="方正兰亭纤黑简体" w:cs="仿宋"/>
          <w:sz w:val="28"/>
        </w:rPr>
        <w:t>根据我区老旧小区改造提升</w:t>
      </w:r>
      <w:r>
        <w:rPr>
          <w:rFonts w:hint="eastAsia" w:ascii="方正兰亭纤黑简体" w:hAnsi="仿宋" w:eastAsia="方正兰亭纤黑简体" w:cs="仿宋"/>
          <w:sz w:val="28"/>
        </w:rPr>
        <w:t>项目</w:t>
      </w:r>
      <w:r>
        <w:rPr>
          <w:rFonts w:ascii="方正兰亭纤黑简体" w:hAnsi="仿宋" w:eastAsia="方正兰亭纤黑简体" w:cs="仿宋"/>
          <w:sz w:val="28"/>
        </w:rPr>
        <w:t>计划，同步开展消防设施改造</w:t>
      </w:r>
      <w:r>
        <w:rPr>
          <w:rFonts w:hint="eastAsia" w:ascii="方正兰亭纤黑简体" w:hAnsi="仿宋" w:eastAsia="方正兰亭纤黑简体" w:cs="仿宋"/>
          <w:sz w:val="28"/>
        </w:rPr>
        <w:t>，同步设计、同步施工、同步验收，确保老旧小区消防安全问题逐步解决，全面提升城市抗御火灾整体能力。</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完善市政消火栓体系。</w:t>
      </w:r>
      <w:r>
        <w:rPr>
          <w:rFonts w:hint="eastAsia" w:ascii="方正兰亭纤黑简体" w:hAnsi="仿宋" w:eastAsia="方正兰亭纤黑简体" w:cs="仿宋"/>
          <w:sz w:val="28"/>
        </w:rPr>
        <w:t>加强消火栓建设管控，严格要求市政消火栓与新建道路同步设计、同步施工、同步投用；全面调查梳理我区消火栓建设现状，限时补齐欠账。2021-2025期间，补建乡镇道路缺失消火栓约850具，解决市政消火栓有管无水、供水水压不足问题，大幅度提高城市消防救援覆盖面积。</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加强城市消防站建设。</w:t>
      </w:r>
      <w:r>
        <w:rPr>
          <w:rFonts w:hint="eastAsia" w:ascii="方正兰亭纤黑简体" w:hAnsi="仿宋" w:eastAsia="方正兰亭纤黑简体" w:cs="仿宋"/>
          <w:sz w:val="28"/>
        </w:rPr>
        <w:t>2021-2025期间我区将进一步完善的城市消防安全体系，根据区域产业结构、功能定位和常见灾害事故规律、特点，遵循“布局科学，突出重点”的原则，统筹规划建设消防站点，缩短灭火和应急救援响应时间，缩小单个消防站点保护半径。2021-2025期间</w:t>
      </w:r>
      <w:r>
        <w:rPr>
          <w:rFonts w:ascii="方正兰亭纤黑简体" w:hAnsi="仿宋" w:eastAsia="方正兰亭纤黑简体" w:cs="仿宋"/>
          <w:sz w:val="28"/>
        </w:rPr>
        <w:t>新建万古消防站</w:t>
      </w:r>
      <w:r>
        <w:rPr>
          <w:rFonts w:hint="eastAsia" w:ascii="方正兰亭纤黑简体" w:hAnsi="仿宋" w:eastAsia="方正兰亭纤黑简体" w:cs="仿宋"/>
          <w:sz w:val="28"/>
        </w:rPr>
        <w:t>1座</w:t>
      </w:r>
      <w:r>
        <w:rPr>
          <w:rFonts w:ascii="方正兰亭纤黑简体" w:hAnsi="仿宋" w:eastAsia="方正兰亭纤黑简体" w:cs="仿宋"/>
          <w:sz w:val="28"/>
        </w:rPr>
        <w:t>。</w:t>
      </w:r>
    </w:p>
    <w:p>
      <w:pPr>
        <w:adjustRightInd w:val="0"/>
        <w:snapToGrid w:val="0"/>
        <w:spacing w:line="408" w:lineRule="auto"/>
        <w:ind w:firstLine="0" w:firstLineChars="0"/>
        <w:jc w:val="center"/>
        <w:rPr>
          <w:rFonts w:ascii="方正兰亭纤黑简体" w:hAnsi="仿宋" w:eastAsia="方正兰亭纤黑简体" w:cs="仿宋"/>
          <w:b/>
          <w:sz w:val="28"/>
          <w:szCs w:val="28"/>
        </w:rPr>
      </w:pPr>
      <w:r>
        <w:rPr>
          <w:rFonts w:hint="eastAsia" w:ascii="方正兰亭纤黑简体" w:hAnsi="仿宋" w:eastAsia="方正兰亭纤黑简体" w:cs="仿宋"/>
          <w:b/>
          <w:sz w:val="28"/>
          <w:szCs w:val="28"/>
        </w:rPr>
        <w:t>专栏2  消防设施建设重点项目</w:t>
      </w:r>
    </w:p>
    <w:tbl>
      <w:tblPr>
        <w:tblStyle w:val="24"/>
        <w:tblW w:w="8522"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52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8522" w:type="dxa"/>
            <w:tcBorders>
              <w:top w:val="single" w:color="000000" w:sz="4" w:space="0"/>
              <w:left w:val="single" w:color="000000" w:sz="4" w:space="0"/>
              <w:bottom w:val="single" w:color="000000" w:sz="4" w:space="0"/>
              <w:right w:val="single" w:color="000000" w:sz="4" w:space="0"/>
            </w:tcBorders>
          </w:tcPr>
          <w:p>
            <w:pPr>
              <w:adjustRightInd w:val="0"/>
              <w:snapToGrid w:val="0"/>
              <w:spacing w:line="432" w:lineRule="auto"/>
              <w:ind w:firstLine="422" w:firstLineChars="175"/>
              <w:rPr>
                <w:rFonts w:ascii="方正兰亭纤黑简体" w:hAnsi="仿宋" w:eastAsia="方正兰亭纤黑简体" w:cs="仿宋"/>
                <w:sz w:val="24"/>
                <w:lang w:val="zh-CN"/>
              </w:rPr>
            </w:pPr>
            <w:r>
              <w:rPr>
                <w:rFonts w:hint="eastAsia" w:ascii="方正兰亭纤黑简体" w:hAnsi="仿宋" w:eastAsia="方正兰亭纤黑简体" w:cs="仿宋"/>
                <w:b/>
                <w:bCs/>
                <w:sz w:val="24"/>
                <w:lang w:val="zh-CN"/>
              </w:rPr>
              <w:t>新建项目：</w:t>
            </w:r>
            <w:r>
              <w:rPr>
                <w:rFonts w:hint="eastAsia" w:ascii="方正兰亭纤黑简体" w:hAnsi="仿宋" w:eastAsia="方正兰亭纤黑简体" w:cs="仿宋"/>
                <w:sz w:val="24"/>
                <w:lang w:val="zh-CN"/>
              </w:rPr>
              <w:t>镇街消火栓补建工程、消防水源</w:t>
            </w:r>
            <w:r>
              <w:rPr>
                <w:rFonts w:ascii="方正兰亭纤黑简体" w:hAnsi="仿宋" w:eastAsia="方正兰亭纤黑简体" w:cs="仿宋"/>
                <w:sz w:val="24"/>
                <w:lang w:val="zh-CN"/>
              </w:rPr>
              <w:t>建设工程、消防民生实事工程</w:t>
            </w:r>
            <w:r>
              <w:rPr>
                <w:rFonts w:hint="eastAsia" w:ascii="方正兰亭纤黑简体" w:hAnsi="仿宋" w:eastAsia="方正兰亭纤黑简体" w:cs="仿宋"/>
                <w:sz w:val="24"/>
                <w:lang w:val="zh-CN"/>
              </w:rPr>
              <w:t>、万古消防救援站、消防</w:t>
            </w:r>
            <w:r>
              <w:rPr>
                <w:rFonts w:ascii="方正兰亭纤黑简体" w:hAnsi="仿宋" w:eastAsia="方正兰亭纤黑简体" w:cs="仿宋"/>
                <w:sz w:val="24"/>
                <w:lang w:val="zh-CN"/>
              </w:rPr>
              <w:t>主题公园（</w:t>
            </w:r>
            <w:r>
              <w:rPr>
                <w:rFonts w:hint="eastAsia" w:ascii="方正兰亭纤黑简体" w:hAnsi="仿宋" w:eastAsia="方正兰亭纤黑简体" w:cs="仿宋"/>
                <w:sz w:val="24"/>
                <w:lang w:val="zh-CN"/>
              </w:rPr>
              <w:t>示范</w:t>
            </w:r>
            <w:r>
              <w:rPr>
                <w:rFonts w:ascii="方正兰亭纤黑简体" w:hAnsi="仿宋" w:eastAsia="方正兰亭纤黑简体" w:cs="仿宋"/>
                <w:sz w:val="24"/>
                <w:lang w:val="zh-CN"/>
              </w:rPr>
              <w:t>场所）</w:t>
            </w:r>
            <w:r>
              <w:rPr>
                <w:rFonts w:hint="eastAsia" w:ascii="方正兰亭纤黑简体" w:hAnsi="仿宋" w:eastAsia="方正兰亭纤黑简体" w:cs="仿宋"/>
                <w:sz w:val="24"/>
                <w:lang w:val="zh-CN"/>
              </w:rPr>
              <w:t>、大足工业园区消防设施建设工程等</w:t>
            </w:r>
          </w:p>
          <w:p>
            <w:pPr>
              <w:adjustRightInd w:val="0"/>
              <w:snapToGrid w:val="0"/>
              <w:spacing w:line="432" w:lineRule="auto"/>
              <w:ind w:firstLine="422" w:firstLineChars="175"/>
              <w:rPr>
                <w:rFonts w:ascii="方正兰亭纤黑简体" w:hAnsi="仿宋" w:eastAsia="方正兰亭纤黑简体" w:cs="仿宋"/>
                <w:sz w:val="24"/>
                <w:lang w:val="zh-CN"/>
              </w:rPr>
            </w:pPr>
            <w:r>
              <w:rPr>
                <w:rFonts w:hint="eastAsia" w:ascii="方正兰亭纤黑简体" w:hAnsi="仿宋" w:eastAsia="方正兰亭纤黑简体" w:cs="仿宋"/>
                <w:b/>
                <w:bCs/>
                <w:sz w:val="24"/>
                <w:lang w:val="zh-CN"/>
              </w:rPr>
              <w:t>储备</w:t>
            </w:r>
            <w:r>
              <w:rPr>
                <w:rFonts w:ascii="方正兰亭纤黑简体" w:hAnsi="仿宋" w:eastAsia="方正兰亭纤黑简体" w:cs="仿宋"/>
                <w:b/>
                <w:bCs/>
                <w:sz w:val="24"/>
                <w:lang w:val="zh-CN"/>
              </w:rPr>
              <w:t>项目：</w:t>
            </w:r>
            <w:r>
              <w:rPr>
                <w:rFonts w:hint="eastAsia" w:ascii="方正兰亭纤黑简体" w:hAnsi="仿宋" w:eastAsia="方正兰亭纤黑简体" w:cs="仿宋"/>
                <w:sz w:val="24"/>
                <w:lang w:val="zh-CN"/>
              </w:rPr>
              <w:t>消防栓等街道沿线公共设施形象提升、</w:t>
            </w:r>
            <w:r>
              <w:rPr>
                <w:rFonts w:ascii="方正兰亭纤黑简体" w:hAnsi="仿宋" w:eastAsia="方正兰亭纤黑简体" w:cs="仿宋"/>
                <w:sz w:val="24"/>
                <w:lang w:val="zh-CN"/>
              </w:rPr>
              <w:t>龙水消防站</w:t>
            </w:r>
            <w:r>
              <w:rPr>
                <w:rFonts w:hint="eastAsia" w:ascii="方正兰亭纤黑简体" w:hAnsi="仿宋" w:eastAsia="方正兰亭纤黑简体" w:cs="仿宋"/>
                <w:sz w:val="24"/>
                <w:lang w:val="zh-CN"/>
              </w:rPr>
              <w:t>。</w:t>
            </w:r>
          </w:p>
        </w:tc>
      </w:tr>
    </w:tbl>
    <w:p>
      <w:pPr>
        <w:pStyle w:val="8"/>
        <w:ind w:left="640" w:firstLine="640"/>
        <w:rPr>
          <w:rFonts w:ascii="方正兰亭纤黑简体" w:hAnsi="仿宋" w:eastAsia="方正兰亭纤黑简体" w:cs="仿宋"/>
        </w:rPr>
      </w:pPr>
    </w:p>
    <w:p>
      <w:pPr>
        <w:pStyle w:val="5"/>
        <w:ind w:left="0"/>
        <w:rPr>
          <w:rFonts w:ascii="方正兰亭纤黑简体" w:hAnsi="仿宋" w:eastAsia="方正兰亭纤黑简体" w:cs="仿宋"/>
          <w:b/>
          <w:bCs w:val="0"/>
        </w:rPr>
      </w:pPr>
      <w:bookmarkStart w:id="215" w:name="_Toc8245"/>
      <w:bookmarkStart w:id="216" w:name="_Toc5718"/>
      <w:bookmarkStart w:id="217" w:name="_Toc1117"/>
      <w:bookmarkStart w:id="218" w:name="_Toc1445"/>
      <w:bookmarkStart w:id="219" w:name="_Toc12138"/>
      <w:r>
        <w:rPr>
          <w:rFonts w:hint="eastAsia" w:ascii="方正兰亭纤黑简体" w:hAnsi="仿宋" w:eastAsia="方正兰亭纤黑简体" w:cs="仿宋"/>
          <w:b/>
          <w:bCs w:val="0"/>
        </w:rPr>
        <w:t>形成现代化人民防空体系</w:t>
      </w:r>
      <w:bookmarkEnd w:id="215"/>
      <w:bookmarkEnd w:id="216"/>
      <w:bookmarkEnd w:id="217"/>
      <w:bookmarkEnd w:id="218"/>
      <w:bookmarkEnd w:id="219"/>
    </w:p>
    <w:p>
      <w:pPr>
        <w:widowControl/>
        <w:ind w:firstLine="560"/>
        <w:jc w:val="left"/>
        <w:rPr>
          <w:rFonts w:ascii="方正兰亭纤黑简体" w:hAnsi="仿宋" w:eastAsia="方正兰亭纤黑简体" w:cs="仿宋"/>
          <w:sz w:val="28"/>
        </w:rPr>
      </w:pPr>
      <w:r>
        <w:rPr>
          <w:rFonts w:hint="eastAsia" w:ascii="方正兰亭纤黑简体" w:hAnsi="仿宋" w:eastAsia="方正兰亭纤黑简体" w:cs="仿宋"/>
          <w:sz w:val="28"/>
        </w:rPr>
        <w:t>践行战时防空、平时服务、应急支援使命任务，坚持城市人员防护和重要经济目标防护并重，加强人防设施体系及组织体系的建设，扎实推进全区人防事业高质量发展，将人民防空建设融入公共安全、城市建设、重要经济目标建设以及城乡统筹发展，创新驱动加快人防建设转型升级，全面保护人民群众生命财产安全，提高战时防空、平时服务、应急支援能力。</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完善人员防护体系建设。</w:t>
      </w:r>
      <w:r>
        <w:rPr>
          <w:rFonts w:hint="eastAsia" w:ascii="方正兰亭纤黑简体" w:hAnsi="仿宋" w:eastAsia="方正兰亭纤黑简体" w:cs="仿宋"/>
          <w:sz w:val="28"/>
        </w:rPr>
        <w:t>按照国土空间规划编制体系完善人防工程建设专项规划。民用建筑依法修建防空地下室应建必建，落实维护管理确责任，确保人防工程完好率达100%以上。</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加强组织指挥体系建设。</w:t>
      </w:r>
      <w:r>
        <w:rPr>
          <w:rFonts w:hint="eastAsia" w:ascii="方正兰亭纤黑简体" w:hAnsi="仿宋" w:eastAsia="方正兰亭纤黑简体" w:cs="仿宋"/>
          <w:sz w:val="28"/>
        </w:rPr>
        <w:t>建立健全完善的人民防空领导管理体制，建设要素齐全、功能完善的指挥机构。党政机关人员疏散场所预置到位，科学制定城市人口疏散地域（基地）建设任务指标，做好疏散任务与接收安置精准对接工作。到2025年，全区防空警报完好率达到100%。</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推进目标防护体系建设。</w:t>
      </w:r>
      <w:r>
        <w:rPr>
          <w:rFonts w:hint="eastAsia" w:ascii="方正兰亭纤黑简体" w:hAnsi="仿宋" w:eastAsia="方正兰亭纤黑简体" w:cs="仿宋"/>
          <w:sz w:val="28"/>
        </w:rPr>
        <w:t>认真执行国家关于分级分类防护和目录清单管理的制度规定，动态更新重要经济目标目录清单，积极探索对重要经济目标采取软硬防护措施提高抗毁能力</w:t>
      </w:r>
      <w:r>
        <w:rPr>
          <w:rFonts w:hint="eastAsia" w:ascii="宋体" w:hAnsi="宋体" w:eastAsia="宋体" w:cs="宋体"/>
          <w:sz w:val="28"/>
        </w:rPr>
        <w:t>﹐</w:t>
      </w:r>
      <w:r>
        <w:rPr>
          <w:rFonts w:hint="eastAsia" w:ascii="方正兰亭纤黑简体" w:hAnsi="方正兰亭纤黑简体" w:eastAsia="方正兰亭纤黑简体" w:cs="方正兰亭纤黑简体"/>
          <w:sz w:val="28"/>
        </w:rPr>
        <w:t>配套防护救援方案，开展</w:t>
      </w:r>
      <w:r>
        <w:rPr>
          <w:rFonts w:hint="eastAsia" w:ascii="方正兰亭纤黑简体" w:hAnsi="仿宋" w:eastAsia="方正兰亭纤黑简体" w:cs="仿宋"/>
          <w:sz w:val="28"/>
        </w:rPr>
        <w:t>训练演练。</w:t>
      </w:r>
    </w:p>
    <w:p>
      <w:pPr>
        <w:adjustRightInd w:val="0"/>
        <w:snapToGrid w:val="0"/>
        <w:spacing w:line="408" w:lineRule="auto"/>
        <w:ind w:firstLine="0" w:firstLineChars="0"/>
        <w:jc w:val="center"/>
        <w:rPr>
          <w:rFonts w:ascii="方正兰亭纤黑简体" w:hAnsi="仿宋" w:eastAsia="方正兰亭纤黑简体" w:cs="仿宋"/>
          <w:b/>
          <w:sz w:val="28"/>
          <w:szCs w:val="28"/>
        </w:rPr>
      </w:pPr>
      <w:r>
        <w:rPr>
          <w:rFonts w:hint="eastAsia" w:ascii="方正兰亭纤黑简体" w:hAnsi="仿宋" w:eastAsia="方正兰亭纤黑简体" w:cs="仿宋"/>
          <w:b/>
          <w:sz w:val="28"/>
          <w:szCs w:val="28"/>
        </w:rPr>
        <w:t>专栏</w:t>
      </w:r>
      <w:r>
        <w:rPr>
          <w:rFonts w:ascii="方正兰亭纤黑简体" w:hAnsi="仿宋" w:eastAsia="方正兰亭纤黑简体" w:cs="仿宋"/>
          <w:b/>
          <w:sz w:val="28"/>
          <w:szCs w:val="28"/>
        </w:rPr>
        <w:t>3</w:t>
      </w:r>
      <w:r>
        <w:rPr>
          <w:rFonts w:hint="eastAsia" w:ascii="方正兰亭纤黑简体" w:hAnsi="仿宋" w:eastAsia="方正兰亭纤黑简体" w:cs="仿宋"/>
          <w:b/>
          <w:sz w:val="28"/>
          <w:szCs w:val="28"/>
        </w:rPr>
        <w:t xml:space="preserve">  人防建设重点项目</w:t>
      </w:r>
    </w:p>
    <w:tbl>
      <w:tblPr>
        <w:tblStyle w:val="24"/>
        <w:tblW w:w="8522" w:type="dxa"/>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8522"/>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Ex>
        <w:tc>
          <w:tcPr>
            <w:tcW w:w="8522" w:type="dxa"/>
            <w:tcBorders>
              <w:top w:val="single" w:color="000000" w:sz="4" w:space="0"/>
              <w:left w:val="single" w:color="000000" w:sz="4" w:space="0"/>
              <w:bottom w:val="single" w:color="000000" w:sz="4" w:space="0"/>
              <w:right w:val="single" w:color="000000" w:sz="4" w:space="0"/>
            </w:tcBorders>
          </w:tcPr>
          <w:p>
            <w:pPr>
              <w:adjustRightInd w:val="0"/>
              <w:snapToGrid w:val="0"/>
              <w:spacing w:line="432" w:lineRule="auto"/>
              <w:ind w:firstLine="420" w:firstLineChars="175"/>
              <w:rPr>
                <w:rFonts w:ascii="方正兰亭纤黑简体" w:hAnsi="仿宋" w:eastAsia="方正兰亭纤黑简体" w:cs="仿宋"/>
                <w:sz w:val="24"/>
                <w:lang w:val="zh-CN"/>
              </w:rPr>
            </w:pPr>
            <w:r>
              <w:rPr>
                <w:rFonts w:hint="eastAsia" w:ascii="方正兰亭纤黑简体" w:hAnsi="仿宋" w:eastAsia="方正兰亭纤黑简体" w:cs="仿宋"/>
                <w:bCs/>
                <w:sz w:val="24"/>
                <w:lang w:val="zh-CN"/>
              </w:rPr>
              <w:t>公共人防工程</w:t>
            </w:r>
          </w:p>
        </w:tc>
      </w:tr>
    </w:tbl>
    <w:p>
      <w:pPr>
        <w:pStyle w:val="2"/>
        <w:ind w:firstLine="640"/>
      </w:pPr>
    </w:p>
    <w:p>
      <w:pPr>
        <w:ind w:firstLine="560"/>
        <w:rPr>
          <w:rFonts w:ascii="仿宋" w:hAnsi="仿宋" w:eastAsia="仿宋" w:cs="仿宋"/>
          <w:sz w:val="28"/>
        </w:rPr>
      </w:pPr>
      <w:r>
        <w:rPr>
          <w:rFonts w:hint="eastAsia" w:ascii="仿宋" w:hAnsi="仿宋" w:eastAsia="仿宋" w:cs="仿宋"/>
          <w:sz w:val="28"/>
        </w:rPr>
        <w:br w:type="page"/>
      </w:r>
    </w:p>
    <w:p>
      <w:pPr>
        <w:pStyle w:val="4"/>
        <w:adjustRightInd w:val="0"/>
        <w:snapToGrid w:val="0"/>
        <w:spacing w:line="432" w:lineRule="auto"/>
        <w:ind w:left="0"/>
        <w:rPr>
          <w:rFonts w:ascii="方正兰亭粗黑简体" w:hAnsi="仿宋" w:eastAsia="方正兰亭粗黑简体" w:cs="仿宋"/>
          <w:b/>
        </w:rPr>
      </w:pPr>
      <w:bookmarkStart w:id="220" w:name="_Toc10918"/>
      <w:bookmarkStart w:id="221" w:name="_Toc6927"/>
      <w:bookmarkStart w:id="222" w:name="_Toc31506"/>
      <w:bookmarkStart w:id="223" w:name="_Toc977"/>
      <w:r>
        <w:rPr>
          <w:rFonts w:hint="eastAsia" w:ascii="方正兰亭粗黑简体" w:hAnsi="仿宋" w:eastAsia="方正兰亭粗黑简体" w:cs="仿宋"/>
          <w:b/>
        </w:rPr>
        <w:t>重点片区</w:t>
      </w:r>
      <w:bookmarkEnd w:id="220"/>
      <w:bookmarkEnd w:id="221"/>
      <w:bookmarkEnd w:id="222"/>
      <w:bookmarkEnd w:id="223"/>
    </w:p>
    <w:p>
      <w:pPr>
        <w:pStyle w:val="5"/>
        <w:ind w:left="0"/>
        <w:rPr>
          <w:rFonts w:ascii="方正兰亭纤黑简体" w:hAnsi="仿宋" w:eastAsia="方正兰亭纤黑简体" w:cs="仿宋"/>
          <w:b/>
          <w:bCs w:val="0"/>
        </w:rPr>
      </w:pPr>
      <w:bookmarkStart w:id="224" w:name="_Toc13561"/>
      <w:bookmarkStart w:id="225" w:name="_Toc16695"/>
      <w:bookmarkStart w:id="226" w:name="_Toc24806"/>
      <w:bookmarkStart w:id="227" w:name="_Toc12165"/>
      <w:r>
        <w:rPr>
          <w:rFonts w:hint="eastAsia" w:ascii="方正兰亭纤黑简体" w:hAnsi="仿宋" w:eastAsia="方正兰亭纤黑简体" w:cs="仿宋"/>
          <w:b/>
          <w:bCs w:val="0"/>
        </w:rPr>
        <w:t>文化会客前厅</w:t>
      </w:r>
      <w:bookmarkEnd w:id="224"/>
    </w:p>
    <w:p>
      <w:pPr>
        <w:pStyle w:val="15"/>
        <w:numPr>
          <w:ilvl w:val="0"/>
          <w:numId w:val="3"/>
        </w:numPr>
        <w:ind w:firstLine="562"/>
        <w:rPr>
          <w:rFonts w:ascii="方正兰亭纤黑简体" w:hAnsi="仿宋" w:eastAsia="方正兰亭纤黑简体" w:cs="仿宋"/>
          <w:b/>
          <w:sz w:val="28"/>
          <w:szCs w:val="28"/>
        </w:rPr>
      </w:pPr>
      <w:r>
        <w:rPr>
          <w:rFonts w:hint="eastAsia" w:ascii="方正兰亭纤黑简体" w:hAnsi="仿宋" w:eastAsia="方正兰亭纤黑简体" w:cs="仿宋"/>
          <w:b/>
          <w:sz w:val="28"/>
          <w:szCs w:val="28"/>
        </w:rPr>
        <w:t>规划背景</w:t>
      </w:r>
    </w:p>
    <w:p>
      <w:pPr>
        <w:widowControl/>
        <w:ind w:firstLine="560"/>
        <w:jc w:val="left"/>
        <w:rPr>
          <w:rFonts w:ascii="方正兰亭纤黑简体" w:hAnsi="仿宋" w:eastAsia="方正兰亭纤黑简体" w:cs="仿宋"/>
          <w:sz w:val="28"/>
        </w:rPr>
      </w:pPr>
      <w:r>
        <w:rPr>
          <w:rFonts w:hint="eastAsia" w:ascii="方正兰亭纤黑简体" w:hAnsi="仿宋" w:eastAsia="方正兰亭纤黑简体" w:cs="仿宋"/>
          <w:sz w:val="28"/>
        </w:rPr>
        <w:t>为配合成渝中线铁路建设，引领城市空间拓展，带动北部槽谷发展，增强石刻文化对外影响力，促进“文化+”城市建设，2021-2025期间我区将高品质打造北厅-</w:t>
      </w:r>
      <w:r>
        <w:rPr>
          <w:rFonts w:ascii="方正兰亭纤黑简体" w:hAnsi="仿宋" w:eastAsia="方正兰亭纤黑简体" w:cs="仿宋"/>
          <w:sz w:val="28"/>
        </w:rPr>
        <w:t>文旅服务区</w:t>
      </w:r>
      <w:r>
        <w:rPr>
          <w:rFonts w:hint="eastAsia" w:ascii="方正兰亭纤黑简体" w:hAnsi="仿宋" w:eastAsia="方正兰亭纤黑简体" w:cs="仿宋"/>
          <w:sz w:val="28"/>
        </w:rPr>
        <w:t>，构建大足城市会客前厅。</w:t>
      </w:r>
    </w:p>
    <w:p>
      <w:pPr>
        <w:pStyle w:val="15"/>
        <w:numPr>
          <w:ilvl w:val="0"/>
          <w:numId w:val="3"/>
        </w:numPr>
        <w:ind w:firstLine="562"/>
        <w:rPr>
          <w:rFonts w:ascii="方正兰亭纤黑简体" w:hAnsi="仿宋" w:eastAsia="方正兰亭纤黑简体" w:cs="仿宋"/>
          <w:b/>
          <w:sz w:val="28"/>
          <w:szCs w:val="28"/>
        </w:rPr>
      </w:pPr>
      <w:r>
        <w:rPr>
          <w:rFonts w:hint="eastAsia" w:ascii="方正兰亭纤黑简体" w:hAnsi="仿宋" w:eastAsia="方正兰亭纤黑简体" w:cs="仿宋"/>
          <w:b/>
          <w:sz w:val="28"/>
          <w:szCs w:val="28"/>
        </w:rPr>
        <w:t>发展目标</w:t>
      </w:r>
    </w:p>
    <w:p>
      <w:pPr>
        <w:widowControl/>
        <w:ind w:firstLine="560"/>
        <w:jc w:val="left"/>
        <w:rPr>
          <w:rFonts w:ascii="方正兰亭纤黑简体" w:hAnsi="仿宋" w:eastAsia="方正兰亭纤黑简体" w:cs="仿宋"/>
          <w:sz w:val="28"/>
        </w:rPr>
      </w:pPr>
      <w:r>
        <w:rPr>
          <w:rFonts w:hint="eastAsia" w:ascii="方正兰亭纤黑简体" w:hAnsi="仿宋" w:eastAsia="方正兰亭纤黑简体" w:cs="仿宋"/>
          <w:sz w:val="28"/>
        </w:rPr>
        <w:t>联动主城区、大足石刻高铁站与宝顶山石刻景区，打造具有大足石刻特色的城市文化门户区。</w:t>
      </w:r>
    </w:p>
    <w:p>
      <w:pPr>
        <w:pStyle w:val="15"/>
        <w:numPr>
          <w:ilvl w:val="0"/>
          <w:numId w:val="3"/>
        </w:numPr>
        <w:ind w:firstLine="562"/>
        <w:rPr>
          <w:rFonts w:ascii="方正兰亭纤黑简体" w:hAnsi="仿宋" w:eastAsia="方正兰亭纤黑简体" w:cs="仿宋"/>
          <w:b/>
          <w:sz w:val="28"/>
          <w:szCs w:val="28"/>
        </w:rPr>
      </w:pPr>
      <w:r>
        <w:rPr>
          <w:rFonts w:hint="eastAsia" w:ascii="方正兰亭纤黑简体" w:hAnsi="仿宋" w:eastAsia="方正兰亭纤黑简体" w:cs="仿宋"/>
          <w:b/>
          <w:sz w:val="28"/>
          <w:szCs w:val="28"/>
        </w:rPr>
        <w:t>重点任务</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弘扬文化，打造全国独一无二的“石刻文化城市封面”。</w:t>
      </w:r>
      <w:r>
        <w:rPr>
          <w:rFonts w:hint="eastAsia" w:ascii="方正兰亭纤黑简体" w:hAnsi="仿宋" w:eastAsia="方正兰亭纤黑简体" w:cs="仿宋"/>
          <w:sz w:val="28"/>
        </w:rPr>
        <w:t xml:space="preserve"> 依托宝顶石刻公园与区域自然生态本底，2021-2025期间拟</w:t>
      </w:r>
      <w:r>
        <w:rPr>
          <w:rFonts w:ascii="方正兰亭纤黑简体" w:hAnsi="仿宋" w:eastAsia="方正兰亭纤黑简体" w:cs="仿宋"/>
          <w:sz w:val="28"/>
        </w:rPr>
        <w:t>打造南北宋街，</w:t>
      </w:r>
      <w:r>
        <w:rPr>
          <w:rFonts w:hint="eastAsia" w:ascii="方正兰亭纤黑简体" w:hAnsi="仿宋" w:eastAsia="方正兰亭纤黑简体" w:cs="仿宋"/>
          <w:sz w:val="28"/>
        </w:rPr>
        <w:t>建设</w:t>
      </w:r>
      <w:r>
        <w:rPr>
          <w:rFonts w:ascii="方正兰亭纤黑简体" w:hAnsi="仿宋" w:eastAsia="方正兰亭纤黑简体" w:cs="仿宋"/>
          <w:sz w:val="28"/>
        </w:rPr>
        <w:t>宝顶学堂</w:t>
      </w:r>
      <w:r>
        <w:rPr>
          <w:rFonts w:hint="eastAsia" w:ascii="方正兰亭纤黑简体" w:hAnsi="仿宋" w:eastAsia="方正兰亭纤黑简体" w:cs="仿宋"/>
          <w:sz w:val="28"/>
        </w:rPr>
        <w:t>，</w:t>
      </w:r>
      <w:r>
        <w:rPr>
          <w:rFonts w:ascii="方正兰亭纤黑简体" w:hAnsi="仿宋" w:eastAsia="方正兰亭纤黑简体" w:cs="仿宋"/>
          <w:sz w:val="28"/>
        </w:rPr>
        <w:t>并储备</w:t>
      </w:r>
      <w:r>
        <w:rPr>
          <w:rFonts w:hint="eastAsia" w:ascii="方正兰亭纤黑简体" w:hAnsi="仿宋" w:eastAsia="方正兰亭纤黑简体" w:cs="仿宋"/>
          <w:sz w:val="28"/>
        </w:rPr>
        <w:t>大足石刻保护传承科技创新基地</w:t>
      </w:r>
      <w:r>
        <w:rPr>
          <w:rFonts w:ascii="方正兰亭纤黑简体" w:hAnsi="仿宋" w:eastAsia="方正兰亭纤黑简体" w:cs="仿宋"/>
          <w:sz w:val="28"/>
        </w:rPr>
        <w:t>、</w:t>
      </w:r>
      <w:r>
        <w:rPr>
          <w:rFonts w:hint="eastAsia" w:ascii="方正兰亭纤黑简体" w:hAnsi="仿宋" w:eastAsia="方正兰亭纤黑简体" w:cs="仿宋"/>
          <w:sz w:val="28"/>
        </w:rPr>
        <w:t>川渝石窟博物馆等，提供石刻文化体验场所，提升大足文化产业价值。</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高铁赋能，建设站城景文融合的“文化会客前厅“。</w:t>
      </w:r>
      <w:r>
        <w:rPr>
          <w:rFonts w:hint="eastAsia" w:ascii="方正兰亭纤黑简体" w:hAnsi="仿宋" w:eastAsia="方正兰亭纤黑简体" w:cs="仿宋"/>
          <w:sz w:val="28"/>
        </w:rPr>
        <w:t>为加快城市文化门户区发展，拟建设大足石刻高铁站片区骨干道路，融合文旅与交通集散两大区域发展引擎，构建川渝石刻文化高地与对外开放高地。串联高铁枢纽与对外高速、快速干道，提升我区在川渝融合发展中交通纽带作用。补全大足石刻高铁站与大足城区衔接通道，完善大足融城“最后一公里”。构建站前路网体系，充分发挥高铁站集散潜力，提速高铁站站前片区开发。</w:t>
      </w:r>
    </w:p>
    <w:bookmarkEnd w:id="225"/>
    <w:bookmarkEnd w:id="226"/>
    <w:bookmarkEnd w:id="227"/>
    <w:p>
      <w:pPr>
        <w:pStyle w:val="5"/>
        <w:ind w:left="0"/>
        <w:rPr>
          <w:rFonts w:ascii="方正兰亭纤黑简体" w:hAnsi="仿宋" w:eastAsia="方正兰亭纤黑简体" w:cs="仿宋"/>
          <w:b/>
          <w:bCs w:val="0"/>
        </w:rPr>
      </w:pPr>
      <w:bookmarkStart w:id="228" w:name="_Toc6368"/>
      <w:r>
        <w:rPr>
          <w:rFonts w:hint="eastAsia" w:ascii="方正兰亭纤黑简体" w:hAnsi="仿宋" w:eastAsia="方正兰亭纤黑简体" w:cs="仿宋"/>
          <w:b/>
          <w:bCs w:val="0"/>
        </w:rPr>
        <w:t>棠香活力母城</w:t>
      </w:r>
      <w:bookmarkEnd w:id="228"/>
    </w:p>
    <w:p>
      <w:pPr>
        <w:pStyle w:val="15"/>
        <w:numPr>
          <w:ilvl w:val="0"/>
          <w:numId w:val="4"/>
        </w:numPr>
        <w:ind w:firstLine="562"/>
        <w:rPr>
          <w:rFonts w:ascii="方正兰亭纤黑简体" w:hAnsi="仿宋" w:eastAsia="方正兰亭纤黑简体" w:cs="仿宋"/>
          <w:b/>
          <w:sz w:val="28"/>
          <w:szCs w:val="28"/>
        </w:rPr>
      </w:pPr>
      <w:r>
        <w:rPr>
          <w:rFonts w:hint="eastAsia" w:ascii="方正兰亭纤黑简体" w:hAnsi="仿宋" w:eastAsia="方正兰亭纤黑简体" w:cs="仿宋"/>
          <w:b/>
          <w:sz w:val="28"/>
          <w:szCs w:val="28"/>
        </w:rPr>
        <w:t>规划背景与规划范围</w:t>
      </w:r>
    </w:p>
    <w:p>
      <w:pPr>
        <w:widowControl/>
        <w:ind w:firstLine="560"/>
        <w:jc w:val="left"/>
        <w:rPr>
          <w:rFonts w:ascii="方正兰亭纤黑简体" w:hAnsi="仿宋" w:eastAsia="方正兰亭纤黑简体" w:cs="仿宋"/>
          <w:sz w:val="28"/>
        </w:rPr>
      </w:pPr>
      <w:r>
        <w:rPr>
          <w:rFonts w:hint="eastAsia" w:ascii="方正兰亭纤黑简体" w:hAnsi="仿宋" w:eastAsia="方正兰亭纤黑简体" w:cs="仿宋"/>
          <w:sz w:val="28"/>
        </w:rPr>
        <w:t>深入落实习近平总书记对重庆提出的系列重要指示精神，始终牢记“一定要把大足石刻保护好”的重要要求，统筹推进“五位一体”总体布局，协调推进“四个全面”战略布局，弘扬伟大建党精神，立足新发展阶段，完整、准确、全面贯彻新发展理念，积极融入和服务新发展格局，深度融入成渝地区双城经济圈建设和全市“一区两群”协调发展，加快做靓享誉世界的文化会客厅、建强连接成渝的“两高”桥头堡，充分发挥“母城”文化优势。</w:t>
      </w:r>
    </w:p>
    <w:p>
      <w:pPr>
        <w:widowControl/>
        <w:ind w:firstLine="560"/>
        <w:jc w:val="left"/>
        <w:rPr>
          <w:rFonts w:ascii="方正兰亭纤黑简体" w:hAnsi="仿宋" w:eastAsia="方正兰亭纤黑简体" w:cs="仿宋"/>
          <w:sz w:val="28"/>
        </w:rPr>
      </w:pPr>
      <w:r>
        <w:rPr>
          <w:rFonts w:hint="eastAsia" w:ascii="方正兰亭纤黑简体" w:hAnsi="仿宋" w:eastAsia="方正兰亭纤黑简体" w:cs="仿宋"/>
          <w:sz w:val="28"/>
        </w:rPr>
        <w:t>龙岗-棠香片区规划建设区面积约</w:t>
      </w:r>
      <w:r>
        <w:rPr>
          <w:rFonts w:ascii="方正兰亭纤黑简体" w:hAnsi="仿宋" w:eastAsia="方正兰亭纤黑简体" w:cs="仿宋"/>
          <w:sz w:val="28"/>
        </w:rPr>
        <w:t>31.7</w:t>
      </w:r>
      <w:r>
        <w:rPr>
          <w:rFonts w:hint="eastAsia" w:ascii="方正兰亭纤黑简体" w:hAnsi="仿宋" w:eastAsia="方正兰亭纤黑简体" w:cs="仿宋"/>
          <w:sz w:val="28"/>
        </w:rPr>
        <w:t>平方公里。</w:t>
      </w:r>
    </w:p>
    <w:p>
      <w:pPr>
        <w:pStyle w:val="15"/>
        <w:numPr>
          <w:ilvl w:val="0"/>
          <w:numId w:val="4"/>
        </w:numPr>
        <w:ind w:firstLine="562"/>
        <w:rPr>
          <w:rFonts w:ascii="方正兰亭纤黑简体" w:hAnsi="仿宋" w:eastAsia="方正兰亭纤黑简体" w:cs="仿宋"/>
          <w:b/>
          <w:sz w:val="28"/>
          <w:szCs w:val="28"/>
        </w:rPr>
      </w:pPr>
      <w:r>
        <w:rPr>
          <w:rFonts w:hint="eastAsia" w:ascii="方正兰亭纤黑简体" w:hAnsi="仿宋" w:eastAsia="方正兰亭纤黑简体" w:cs="仿宋"/>
          <w:b/>
          <w:sz w:val="28"/>
          <w:szCs w:val="28"/>
        </w:rPr>
        <w:t>发展目标</w:t>
      </w:r>
    </w:p>
    <w:p>
      <w:pPr>
        <w:widowControl/>
        <w:ind w:firstLine="560"/>
        <w:jc w:val="left"/>
        <w:rPr>
          <w:rFonts w:ascii="方正兰亭纤黑简体" w:hAnsi="仿宋" w:eastAsia="方正兰亭纤黑简体" w:cs="仿宋"/>
          <w:sz w:val="28"/>
        </w:rPr>
      </w:pPr>
      <w:r>
        <w:rPr>
          <w:rFonts w:hint="eastAsia" w:ascii="方正兰亭纤黑简体" w:hAnsi="仿宋" w:eastAsia="方正兰亭纤黑简体" w:cs="仿宋"/>
          <w:sz w:val="28"/>
        </w:rPr>
        <w:t>以人为本、“三生”融合，将龙岗—棠香片区打造为生产、生活、生态“三生”最优空间和宜居、宜业、宜游、宜乐“四宜”高品质城市，打造美丽幸福之城。</w:t>
      </w:r>
    </w:p>
    <w:p>
      <w:pPr>
        <w:pStyle w:val="15"/>
        <w:numPr>
          <w:ilvl w:val="0"/>
          <w:numId w:val="4"/>
        </w:numPr>
        <w:ind w:firstLine="562"/>
        <w:rPr>
          <w:rFonts w:ascii="方正兰亭纤黑简体" w:hAnsi="仿宋" w:eastAsia="方正兰亭纤黑简体" w:cs="仿宋"/>
          <w:b/>
          <w:sz w:val="28"/>
          <w:szCs w:val="28"/>
        </w:rPr>
      </w:pPr>
      <w:r>
        <w:rPr>
          <w:rFonts w:hint="eastAsia" w:ascii="方正兰亭纤黑简体" w:hAnsi="仿宋" w:eastAsia="方正兰亭纤黑简体" w:cs="仿宋"/>
          <w:b/>
          <w:sz w:val="28"/>
          <w:szCs w:val="28"/>
        </w:rPr>
        <w:t>重点任务</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发挥地方特色、传承历史人文。</w:t>
      </w:r>
      <w:r>
        <w:rPr>
          <w:rFonts w:hint="eastAsia" w:ascii="方正兰亭纤黑简体" w:hAnsi="仿宋" w:eastAsia="方正兰亭纤黑简体" w:cs="仿宋"/>
          <w:sz w:val="28"/>
        </w:rPr>
        <w:t>科学保护石刻文化，提档游览体验，传承</w:t>
      </w:r>
      <w:r>
        <w:rPr>
          <w:rFonts w:ascii="方正兰亭纤黑简体" w:hAnsi="仿宋" w:eastAsia="方正兰亭纤黑简体" w:cs="仿宋"/>
          <w:sz w:val="28"/>
        </w:rPr>
        <w:t>石刻文化。</w:t>
      </w:r>
      <w:r>
        <w:rPr>
          <w:rFonts w:hint="eastAsia" w:ascii="方正兰亭纤黑简体" w:hAnsi="仿宋" w:eastAsia="方正兰亭纤黑简体" w:cs="仿宋"/>
          <w:sz w:val="28"/>
        </w:rPr>
        <w:t>2021-2025期间我区拟建设大足区三山连接旅游轨道线路串联优质旅游资源并植入石刻文化，建设大足特色文旅出行方式。同时构建中心城区内（海棠文化、昌州文化为主）、外（石刻文化为主）2条旅游环路，加强标识指引，“以点连线，以线促面”。通过串联中心城区公园绿地，形成完善的慢行体系，拟建设</w:t>
      </w:r>
      <w:r>
        <w:rPr>
          <w:rFonts w:ascii="方正兰亭纤黑简体" w:hAnsi="仿宋" w:eastAsia="方正兰亭纤黑简体" w:cs="仿宋"/>
          <w:sz w:val="28"/>
        </w:rPr>
        <w:t>2</w:t>
      </w:r>
      <w:r>
        <w:rPr>
          <w:rFonts w:hint="eastAsia" w:ascii="方正兰亭纤黑简体" w:hAnsi="仿宋" w:eastAsia="方正兰亭纤黑简体" w:cs="仿宋"/>
          <w:sz w:val="28"/>
        </w:rPr>
        <w:t>1.23公里特色绿色慢行步道，植入</w:t>
      </w:r>
      <w:r>
        <w:rPr>
          <w:rFonts w:ascii="方正兰亭纤黑简体" w:hAnsi="仿宋" w:eastAsia="方正兰亭纤黑简体" w:cs="仿宋"/>
          <w:sz w:val="28"/>
        </w:rPr>
        <w:t>文化IP</w:t>
      </w:r>
      <w:r>
        <w:rPr>
          <w:rFonts w:hint="eastAsia" w:ascii="方正兰亭纤黑简体" w:hAnsi="仿宋" w:eastAsia="方正兰亭纤黑简体" w:cs="仿宋"/>
          <w:sz w:val="28"/>
        </w:rPr>
        <w:t>，承载文化元素，突出“石刻文化”和“海棠香国”，展现文化底蕴。</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凸显本底优势、打造文化公园。</w:t>
      </w:r>
      <w:r>
        <w:rPr>
          <w:rFonts w:hint="eastAsia" w:ascii="方正兰亭纤黑简体" w:hAnsi="仿宋" w:eastAsia="方正兰亭纤黑简体" w:cs="仿宋"/>
          <w:sz w:val="28"/>
        </w:rPr>
        <w:t>加强文化植入，把大足本地特色文化融入公园游园和市政设施，让城在景中、景在城里，打造“十里景观十里城”的花园城市，做到“开门见山、推窗见绿、闻香识路、移步换景、四季有花”，形成大足石刻文化体验的重要空间载体。通过</w:t>
      </w:r>
      <w:r>
        <w:rPr>
          <w:rFonts w:ascii="方正兰亭纤黑简体" w:hAnsi="仿宋" w:eastAsia="方正兰亭纤黑简体" w:cs="仿宋"/>
          <w:sz w:val="28"/>
        </w:rPr>
        <w:t>建立</w:t>
      </w:r>
      <w:r>
        <w:rPr>
          <w:rFonts w:hint="eastAsia" w:ascii="方正兰亭纤黑简体" w:hAnsi="仿宋" w:eastAsia="方正兰亭纤黑简体" w:cs="仿宋"/>
          <w:sz w:val="28"/>
        </w:rPr>
        <w:t>建立风景名胜公园、郊野公园、城市文化公园、社区公园四</w:t>
      </w:r>
      <w:r>
        <w:rPr>
          <w:rFonts w:ascii="方正兰亭纤黑简体" w:hAnsi="仿宋" w:eastAsia="方正兰亭纤黑简体" w:cs="仿宋"/>
          <w:sz w:val="28"/>
        </w:rPr>
        <w:t>级</w:t>
      </w:r>
      <w:r>
        <w:rPr>
          <w:rFonts w:hint="eastAsia" w:ascii="方正兰亭纤黑简体" w:hAnsi="仿宋" w:eastAsia="方正兰亭纤黑简体" w:cs="仿宋"/>
          <w:sz w:val="28"/>
        </w:rPr>
        <w:t>公园体系，提升公园绿地游憩服务供给水平，实现“300米见绿，500米见园”的目标，满足100%的公园服务半径覆盖率。</w:t>
      </w:r>
    </w:p>
    <w:p>
      <w:pPr>
        <w:pStyle w:val="2"/>
        <w:ind w:firstLine="562"/>
      </w:pPr>
      <w:r>
        <w:rPr>
          <w:rFonts w:hint="eastAsia" w:ascii="方正兰亭纤黑简体" w:hAnsi="仿宋" w:eastAsia="方正兰亭纤黑简体" w:cs="仿宋"/>
          <w:b/>
          <w:bCs/>
          <w:sz w:val="28"/>
        </w:rPr>
        <w:t>实施有机更新、改善宜居环境。</w:t>
      </w:r>
      <w:r>
        <w:rPr>
          <w:rFonts w:hint="eastAsia" w:ascii="方正兰亭纤黑简体" w:hAnsi="仿宋" w:eastAsia="方正兰亭纤黑简体" w:cs="仿宋"/>
          <w:sz w:val="28"/>
        </w:rPr>
        <w:t>遵循以人为本、因地制宜、精准施策的更新改造原则，切实提升城市更新改造质量，全面提升母城运行活力。问题为导向，对现状老旧小区采用补充绿化、更新线网、新增便民设施等多项措施，提升生活品质。开展母城更新改造工程建设，打造符合我区城市建设格局与人文体系的公共空间改造样板，传承母城历史空间格局。聚焦城区级及镇街道级公共服务设施，全面解决好同老百姓生活息息相关的医疗、教育等设施问题，实现医疗、教育、文化等公共服务的供给平衡与品质提升。</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盘活道路资源、疏解交通脉络。</w:t>
      </w:r>
      <w:r>
        <w:rPr>
          <w:rFonts w:hint="eastAsia" w:ascii="方正兰亭纤黑简体" w:hAnsi="仿宋" w:eastAsia="方正兰亭纤黑简体" w:cs="仿宋"/>
          <w:sz w:val="28"/>
        </w:rPr>
        <w:t>为挖掘龙岗区交通运行潜力，拟实施龙岗山山门处</w:t>
      </w:r>
      <w:r>
        <w:rPr>
          <w:rFonts w:ascii="方正兰亭纤黑简体" w:hAnsi="仿宋" w:eastAsia="方正兰亭纤黑简体" w:cs="仿宋"/>
          <w:sz w:val="28"/>
        </w:rPr>
        <w:t>道路整改工程</w:t>
      </w:r>
      <w:r>
        <w:rPr>
          <w:rFonts w:hint="eastAsia" w:ascii="方正兰亭纤黑简体" w:hAnsi="仿宋" w:eastAsia="方正兰亭纤黑简体" w:cs="仿宋"/>
          <w:sz w:val="28"/>
        </w:rPr>
        <w:t>、</w:t>
      </w:r>
      <w:r>
        <w:rPr>
          <w:rFonts w:ascii="方正兰亭纤黑简体" w:hAnsi="仿宋" w:eastAsia="方正兰亭纤黑简体" w:cs="仿宋"/>
          <w:sz w:val="28"/>
        </w:rPr>
        <w:t>西荣路延伸段</w:t>
      </w:r>
      <w:r>
        <w:rPr>
          <w:rFonts w:hint="eastAsia" w:ascii="方正兰亭纤黑简体" w:hAnsi="仿宋" w:eastAsia="方正兰亭纤黑简体" w:cs="仿宋"/>
          <w:sz w:val="28"/>
        </w:rPr>
        <w:t>，储备城市道路改造提升工程（含二环南路改造工程、一环南路改造工程、一环西路改造工程、南凤路与二环南路东段交叉口改造工程、累丰路延伸段工程、西城国际北侧工程、龙中路改造工程）等；为提速新城区开发，拟建设</w:t>
      </w:r>
      <w:r>
        <w:rPr>
          <w:rFonts w:ascii="方正兰亭纤黑简体" w:hAnsi="仿宋" w:eastAsia="方正兰亭纤黑简体" w:cs="仿宋"/>
          <w:sz w:val="28"/>
        </w:rPr>
        <w:t>建设</w:t>
      </w:r>
      <w:r>
        <w:rPr>
          <w:rFonts w:hint="eastAsia" w:ascii="方正兰亭纤黑简体" w:hAnsi="仿宋" w:eastAsia="方正兰亭纤黑简体" w:cs="仿宋"/>
          <w:sz w:val="28"/>
        </w:rPr>
        <w:t>香国</w:t>
      </w:r>
      <w:r>
        <w:rPr>
          <w:rFonts w:ascii="方正兰亭纤黑简体" w:hAnsi="仿宋" w:eastAsia="方正兰亭纤黑简体" w:cs="仿宋"/>
          <w:sz w:val="28"/>
        </w:rPr>
        <w:t>公园棠溪路、云雾路、天宫河片区开发道路项目</w:t>
      </w:r>
      <w:r>
        <w:rPr>
          <w:rFonts w:hint="eastAsia" w:ascii="方正兰亭纤黑简体" w:hAnsi="仿宋" w:eastAsia="方正兰亭纤黑简体" w:cs="仿宋"/>
          <w:sz w:val="28"/>
        </w:rPr>
        <w:t>、</w:t>
      </w:r>
      <w:r>
        <w:rPr>
          <w:rFonts w:ascii="方正兰亭纤黑简体" w:hAnsi="仿宋" w:eastAsia="方正兰亭纤黑简体" w:cs="仿宋"/>
          <w:sz w:val="28"/>
        </w:rPr>
        <w:t>海棠新城南部片区城市道路建设</w:t>
      </w:r>
      <w:r>
        <w:rPr>
          <w:rFonts w:hint="eastAsia" w:ascii="方正兰亭纤黑简体" w:hAnsi="仿宋" w:eastAsia="方正兰亭纤黑简体" w:cs="仿宋"/>
          <w:sz w:val="28"/>
        </w:rPr>
        <w:t>、</w:t>
      </w:r>
      <w:r>
        <w:rPr>
          <w:rFonts w:ascii="方正兰亭纤黑简体" w:hAnsi="仿宋" w:eastAsia="方正兰亭纤黑简体" w:cs="仿宋"/>
          <w:sz w:val="28"/>
        </w:rPr>
        <w:t>五星大道</w:t>
      </w:r>
      <w:r>
        <w:rPr>
          <w:rFonts w:hint="eastAsia" w:ascii="方正兰亭纤黑简体" w:hAnsi="仿宋" w:eastAsia="方正兰亭纤黑简体" w:cs="仿宋"/>
          <w:sz w:val="28"/>
        </w:rPr>
        <w:t>疏堵</w:t>
      </w:r>
      <w:r>
        <w:rPr>
          <w:rFonts w:ascii="方正兰亭纤黑简体" w:hAnsi="仿宋" w:eastAsia="方正兰亭纤黑简体" w:cs="仿宋"/>
          <w:sz w:val="28"/>
        </w:rPr>
        <w:t>改造工程（</w:t>
      </w:r>
      <w:r>
        <w:rPr>
          <w:rFonts w:hint="eastAsia" w:ascii="方正兰亭纤黑简体" w:hAnsi="仿宋" w:eastAsia="方正兰亭纤黑简体" w:cs="仿宋"/>
          <w:sz w:val="28"/>
        </w:rPr>
        <w:t>一期</w:t>
      </w:r>
      <w:r>
        <w:rPr>
          <w:rFonts w:ascii="方正兰亭纤黑简体" w:hAnsi="仿宋" w:eastAsia="方正兰亭纤黑简体" w:cs="仿宋"/>
          <w:sz w:val="28"/>
        </w:rPr>
        <w:t>）</w:t>
      </w:r>
      <w:r>
        <w:rPr>
          <w:rFonts w:hint="eastAsia" w:ascii="方正兰亭纤黑简体" w:hAnsi="仿宋" w:eastAsia="方正兰亭纤黑简体" w:cs="仿宋"/>
          <w:sz w:val="28"/>
        </w:rPr>
        <w:t>、五星大道疏堵改造工程二期（体育中心至三环路交叉口）</w:t>
      </w:r>
      <w:r>
        <w:rPr>
          <w:rFonts w:ascii="方正兰亭纤黑简体" w:hAnsi="仿宋" w:eastAsia="方正兰亭纤黑简体" w:cs="仿宋"/>
          <w:sz w:val="28"/>
        </w:rPr>
        <w:t>等</w:t>
      </w:r>
      <w:r>
        <w:rPr>
          <w:rFonts w:hint="eastAsia" w:ascii="方正兰亭纤黑简体" w:hAnsi="仿宋" w:eastAsia="方正兰亭纤黑简体" w:cs="仿宋"/>
          <w:sz w:val="28"/>
        </w:rPr>
        <w:t>，</w:t>
      </w:r>
      <w:r>
        <w:rPr>
          <w:rFonts w:ascii="方正兰亭纤黑简体" w:hAnsi="仿宋" w:eastAsia="方正兰亭纤黑简体" w:cs="仿宋"/>
          <w:sz w:val="28"/>
        </w:rPr>
        <w:t>并储备</w:t>
      </w:r>
      <w:r>
        <w:rPr>
          <w:rFonts w:hint="eastAsia" w:ascii="方正兰亭纤黑简体" w:hAnsi="仿宋" w:eastAsia="方正兰亭纤黑简体" w:cs="仿宋"/>
          <w:sz w:val="28"/>
        </w:rPr>
        <w:t>香国</w:t>
      </w:r>
      <w:r>
        <w:rPr>
          <w:rFonts w:ascii="方正兰亭纤黑简体" w:hAnsi="仿宋" w:eastAsia="方正兰亭纤黑简体" w:cs="仿宋"/>
          <w:sz w:val="28"/>
        </w:rPr>
        <w:t>公园站片区路网、</w:t>
      </w:r>
      <w:r>
        <w:rPr>
          <w:rFonts w:hint="eastAsia" w:ascii="方正兰亭纤黑简体" w:hAnsi="仿宋" w:eastAsia="方正兰亭纤黑简体" w:cs="仿宋"/>
          <w:sz w:val="28"/>
        </w:rPr>
        <w:t>大足</w:t>
      </w:r>
      <w:r>
        <w:rPr>
          <w:rFonts w:ascii="方正兰亭纤黑简体" w:hAnsi="仿宋" w:eastAsia="方正兰亭纤黑简体" w:cs="仿宋"/>
          <w:sz w:val="28"/>
        </w:rPr>
        <w:t>东站</w:t>
      </w:r>
      <w:r>
        <w:rPr>
          <w:rFonts w:hint="eastAsia" w:ascii="方正兰亭纤黑简体" w:hAnsi="仿宋" w:eastAsia="方正兰亭纤黑简体" w:cs="仿宋"/>
          <w:sz w:val="28"/>
        </w:rPr>
        <w:t>周边</w:t>
      </w:r>
      <w:r>
        <w:rPr>
          <w:rFonts w:ascii="方正兰亭纤黑简体" w:hAnsi="仿宋" w:eastAsia="方正兰亭纤黑简体" w:cs="仿宋"/>
          <w:sz w:val="28"/>
        </w:rPr>
        <w:t>路网等项目</w:t>
      </w:r>
      <w:r>
        <w:rPr>
          <w:rFonts w:hint="eastAsia" w:ascii="方正兰亭纤黑简体" w:hAnsi="仿宋" w:eastAsia="方正兰亭纤黑简体" w:cs="仿宋"/>
          <w:sz w:val="28"/>
        </w:rPr>
        <w:t>。</w:t>
      </w:r>
    </w:p>
    <w:p>
      <w:pPr>
        <w:pStyle w:val="5"/>
        <w:ind w:left="0"/>
        <w:rPr>
          <w:rFonts w:ascii="方正兰亭纤黑简体" w:hAnsi="仿宋" w:eastAsia="方正兰亭纤黑简体" w:cs="仿宋"/>
          <w:b/>
          <w:bCs w:val="0"/>
        </w:rPr>
      </w:pPr>
      <w:bookmarkStart w:id="229" w:name="_Toc13642"/>
      <w:r>
        <w:rPr>
          <w:rFonts w:hint="eastAsia" w:ascii="方正兰亭纤黑简体" w:hAnsi="仿宋" w:eastAsia="方正兰亭纤黑简体" w:cs="仿宋"/>
          <w:b/>
          <w:bCs w:val="0"/>
        </w:rPr>
        <w:t>产居融合高地</w:t>
      </w:r>
      <w:bookmarkEnd w:id="229"/>
    </w:p>
    <w:p>
      <w:pPr>
        <w:pStyle w:val="15"/>
        <w:ind w:left="560" w:firstLine="0" w:firstLineChars="0"/>
        <w:rPr>
          <w:rFonts w:ascii="方正兰亭纤黑简体" w:hAnsi="仿宋" w:eastAsia="方正兰亭纤黑简体" w:cs="仿宋"/>
          <w:b/>
          <w:sz w:val="28"/>
          <w:szCs w:val="28"/>
        </w:rPr>
      </w:pPr>
      <w:r>
        <w:rPr>
          <w:rFonts w:hint="eastAsia" w:ascii="方正兰亭纤黑简体" w:hAnsi="仿宋" w:eastAsia="方正兰亭纤黑简体" w:cs="仿宋"/>
          <w:b/>
          <w:sz w:val="28"/>
          <w:szCs w:val="28"/>
        </w:rPr>
        <w:t>（一）规划背景</w:t>
      </w:r>
    </w:p>
    <w:p>
      <w:pPr>
        <w:widowControl/>
        <w:ind w:firstLine="560"/>
        <w:jc w:val="left"/>
        <w:rPr>
          <w:rFonts w:ascii="方正兰亭纤黑简体" w:hAnsi="仿宋" w:eastAsia="方正兰亭纤黑简体" w:cs="仿宋"/>
          <w:sz w:val="28"/>
        </w:rPr>
      </w:pPr>
      <w:r>
        <w:rPr>
          <w:rFonts w:hint="eastAsia" w:ascii="方正兰亭纤黑简体" w:hAnsi="仿宋" w:eastAsia="方正兰亭纤黑简体" w:cs="仿宋"/>
          <w:sz w:val="28"/>
        </w:rPr>
        <w:t>龙水片区作为我区制造业重地与龙水湖旅游集散地，是“成渝双城经济圈”中重要的产业纽带与文旅纽带。龙水片区作为大足中心城区重要组成部分，2021-2025期间的高质量规划将对我区未来整体发展起到重要作用。</w:t>
      </w:r>
    </w:p>
    <w:p>
      <w:pPr>
        <w:pStyle w:val="15"/>
        <w:ind w:left="560" w:firstLine="0" w:firstLineChars="0"/>
        <w:rPr>
          <w:rFonts w:ascii="方正兰亭纤黑简体" w:hAnsi="仿宋" w:eastAsia="方正兰亭纤黑简体" w:cs="仿宋"/>
          <w:b/>
          <w:sz w:val="28"/>
          <w:szCs w:val="28"/>
        </w:rPr>
      </w:pPr>
      <w:r>
        <w:rPr>
          <w:rFonts w:hint="eastAsia" w:ascii="方正兰亭纤黑简体" w:hAnsi="仿宋" w:eastAsia="方正兰亭纤黑简体" w:cs="仿宋"/>
          <w:b/>
          <w:sz w:val="28"/>
          <w:szCs w:val="28"/>
        </w:rPr>
        <w:t>（二）发展目标</w:t>
      </w:r>
    </w:p>
    <w:p>
      <w:pPr>
        <w:widowControl/>
        <w:ind w:firstLine="560"/>
        <w:jc w:val="left"/>
        <w:rPr>
          <w:rFonts w:ascii="方正兰亭纤黑简体" w:hAnsi="仿宋" w:eastAsia="方正兰亭纤黑简体" w:cs="仿宋"/>
          <w:sz w:val="28"/>
        </w:rPr>
      </w:pPr>
      <w:r>
        <w:rPr>
          <w:rFonts w:hint="eastAsia" w:ascii="方正兰亭纤黑简体" w:hAnsi="仿宋" w:eastAsia="方正兰亭纤黑简体" w:cs="仿宋"/>
          <w:sz w:val="28"/>
        </w:rPr>
        <w:t>围绕工业园东区开发与龙水新城建设，不断完善道路路网、给排水管网及绿化种植等基础设施，使城镇面貌日新月异，城镇基础设施供给能力和水平不断提高，支撑“现代五金科技生态新城”建设，打造</w:t>
      </w:r>
      <w:r>
        <w:rPr>
          <w:rFonts w:ascii="方正兰亭纤黑简体" w:hAnsi="仿宋" w:eastAsia="方正兰亭纤黑简体" w:cs="仿宋"/>
          <w:sz w:val="28"/>
        </w:rPr>
        <w:t>产</w:t>
      </w:r>
      <w:r>
        <w:rPr>
          <w:rFonts w:hint="eastAsia" w:ascii="方正兰亭纤黑简体" w:hAnsi="仿宋" w:eastAsia="方正兰亭纤黑简体" w:cs="仿宋"/>
          <w:sz w:val="28"/>
        </w:rPr>
        <w:t>居融合</w:t>
      </w:r>
      <w:r>
        <w:rPr>
          <w:rFonts w:ascii="方正兰亭纤黑简体" w:hAnsi="仿宋" w:eastAsia="方正兰亭纤黑简体" w:cs="仿宋"/>
          <w:sz w:val="28"/>
        </w:rPr>
        <w:t>高</w:t>
      </w:r>
      <w:r>
        <w:rPr>
          <w:rFonts w:hint="eastAsia" w:ascii="方正兰亭纤黑简体" w:hAnsi="仿宋" w:eastAsia="方正兰亭纤黑简体" w:cs="仿宋"/>
          <w:sz w:val="28"/>
        </w:rPr>
        <w:t>地</w:t>
      </w:r>
      <w:r>
        <w:rPr>
          <w:rFonts w:ascii="方正兰亭纤黑简体" w:hAnsi="仿宋" w:eastAsia="方正兰亭纤黑简体" w:cs="仿宋"/>
          <w:sz w:val="28"/>
        </w:rPr>
        <w:t>。</w:t>
      </w:r>
    </w:p>
    <w:p>
      <w:pPr>
        <w:pStyle w:val="15"/>
        <w:ind w:left="560" w:firstLine="0" w:firstLineChars="0"/>
        <w:rPr>
          <w:rFonts w:ascii="方正兰亭纤黑简体" w:hAnsi="仿宋" w:eastAsia="方正兰亭纤黑简体" w:cs="仿宋"/>
          <w:b/>
          <w:sz w:val="28"/>
          <w:szCs w:val="28"/>
        </w:rPr>
      </w:pPr>
      <w:r>
        <w:rPr>
          <w:rFonts w:hint="eastAsia" w:ascii="方正兰亭纤黑简体" w:hAnsi="仿宋" w:eastAsia="方正兰亭纤黑简体" w:cs="仿宋"/>
          <w:b/>
          <w:sz w:val="28"/>
          <w:szCs w:val="28"/>
        </w:rPr>
        <w:t>（三）重点任务</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构建高效联系的产业服务路网。</w:t>
      </w:r>
      <w:r>
        <w:rPr>
          <w:rFonts w:hint="eastAsia" w:ascii="方正兰亭纤黑简体" w:hAnsi="仿宋" w:eastAsia="方正兰亭纤黑简体" w:cs="仿宋"/>
          <w:sz w:val="28"/>
        </w:rPr>
        <w:t>2021-2025期间配合工业园区东扩和</w:t>
      </w:r>
      <w:r>
        <w:rPr>
          <w:rFonts w:ascii="方正兰亭纤黑简体" w:hAnsi="仿宋" w:eastAsia="方正兰亭纤黑简体" w:cs="仿宋"/>
          <w:sz w:val="28"/>
        </w:rPr>
        <w:t>北扩</w:t>
      </w:r>
      <w:r>
        <w:rPr>
          <w:rFonts w:hint="eastAsia" w:ascii="方正兰亭纤黑简体" w:hAnsi="仿宋" w:eastAsia="方正兰亭纤黑简体" w:cs="仿宋"/>
          <w:sz w:val="28"/>
        </w:rPr>
        <w:t>，拟建设工业园区东部和</w:t>
      </w:r>
      <w:r>
        <w:rPr>
          <w:rFonts w:ascii="方正兰亭纤黑简体" w:hAnsi="仿宋" w:eastAsia="方正兰亭纤黑简体" w:cs="仿宋"/>
          <w:sz w:val="28"/>
        </w:rPr>
        <w:t>北部</w:t>
      </w:r>
      <w:r>
        <w:rPr>
          <w:rFonts w:hint="eastAsia" w:ascii="方正兰亭纤黑简体" w:hAnsi="仿宋" w:eastAsia="方正兰亭纤黑简体" w:cs="仿宋"/>
          <w:sz w:val="28"/>
        </w:rPr>
        <w:t>片区开发及配套基础设施工程，构建大邮路货运通道；为提升龙水镇交通运行品质，拟实施龙水镇老玉路道路</w:t>
      </w:r>
      <w:r>
        <w:rPr>
          <w:rFonts w:ascii="方正兰亭纤黑简体" w:hAnsi="仿宋" w:eastAsia="方正兰亭纤黑简体" w:cs="仿宋"/>
          <w:sz w:val="28"/>
        </w:rPr>
        <w:t>维修工程，</w:t>
      </w:r>
      <w:r>
        <w:rPr>
          <w:rFonts w:hint="eastAsia" w:ascii="方正兰亭纤黑简体" w:hAnsi="仿宋" w:eastAsia="方正兰亭纤黑简体" w:cs="仿宋"/>
          <w:sz w:val="28"/>
        </w:rPr>
        <w:t>并储备龙棠</w:t>
      </w:r>
      <w:r>
        <w:rPr>
          <w:rFonts w:ascii="方正兰亭纤黑简体" w:hAnsi="仿宋" w:eastAsia="方正兰亭纤黑简体" w:cs="仿宋"/>
          <w:sz w:val="28"/>
        </w:rPr>
        <w:t>大道龙水段</w:t>
      </w:r>
      <w:r>
        <w:rPr>
          <w:rFonts w:hint="eastAsia" w:ascii="方正兰亭纤黑简体" w:hAnsi="仿宋" w:eastAsia="方正兰亭纤黑简体" w:cs="仿宋"/>
          <w:sz w:val="28"/>
        </w:rPr>
        <w:t>疏堵改造工程等</w:t>
      </w:r>
      <w:r>
        <w:rPr>
          <w:rFonts w:ascii="方正兰亭纤黑简体" w:hAnsi="仿宋" w:eastAsia="方正兰亭纤黑简体" w:cs="仿宋"/>
          <w:sz w:val="28"/>
        </w:rPr>
        <w:t>多</w:t>
      </w:r>
      <w:r>
        <w:rPr>
          <w:rFonts w:hint="eastAsia" w:ascii="方正兰亭纤黑简体" w:hAnsi="仿宋" w:eastAsia="方正兰亭纤黑简体" w:cs="仿宋"/>
          <w:sz w:val="28"/>
        </w:rPr>
        <w:t>个</w:t>
      </w:r>
      <w:r>
        <w:rPr>
          <w:rFonts w:ascii="方正兰亭纤黑简体" w:hAnsi="仿宋" w:eastAsia="方正兰亭纤黑简体" w:cs="仿宋"/>
          <w:sz w:val="28"/>
        </w:rPr>
        <w:t>项目</w:t>
      </w:r>
      <w:r>
        <w:rPr>
          <w:rFonts w:hint="eastAsia" w:ascii="方正兰亭纤黑简体" w:hAnsi="仿宋" w:eastAsia="方正兰亭纤黑简体" w:cs="仿宋"/>
          <w:sz w:val="28"/>
        </w:rPr>
        <w:t>。</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营造产居融合社区生活场景。</w:t>
      </w:r>
      <w:r>
        <w:rPr>
          <w:rFonts w:hint="eastAsia" w:ascii="方正兰亭纤黑简体" w:hAnsi="仿宋" w:eastAsia="方正兰亭纤黑简体" w:cs="仿宋"/>
          <w:sz w:val="28"/>
        </w:rPr>
        <w:t>针对龙水镇老城区亟待更新换代，2021-2025期间拟实施老旧小区更新，提升群众居住环境；建设龙水二小扩建工程、第二人民医院迁建项目一期工程等一批群众关心的公共设施项目，便捷群众日常生活。同时依托龙水湖旅游资源优势，2021-2025期间拟建设9.</w:t>
      </w:r>
      <w:r>
        <w:rPr>
          <w:rFonts w:ascii="方正兰亭纤黑简体" w:hAnsi="仿宋" w:eastAsia="方正兰亭纤黑简体" w:cs="仿宋"/>
          <w:sz w:val="28"/>
        </w:rPr>
        <w:t>2</w:t>
      </w:r>
      <w:r>
        <w:rPr>
          <w:rFonts w:hint="eastAsia" w:ascii="方正兰亭纤黑简体" w:hAnsi="仿宋" w:eastAsia="方正兰亭纤黑简体" w:cs="仿宋"/>
          <w:sz w:val="28"/>
        </w:rPr>
        <w:t>公里特色绿色</w:t>
      </w:r>
      <w:r>
        <w:rPr>
          <w:rFonts w:ascii="方正兰亭纤黑简体" w:hAnsi="仿宋" w:eastAsia="方正兰亭纤黑简体" w:cs="仿宋"/>
          <w:sz w:val="28"/>
        </w:rPr>
        <w:t>慢行系统</w:t>
      </w:r>
      <w:r>
        <w:rPr>
          <w:rFonts w:hint="eastAsia" w:ascii="方正兰亭纤黑简体" w:hAnsi="仿宋" w:eastAsia="方正兰亭纤黑简体" w:cs="仿宋"/>
          <w:sz w:val="28"/>
        </w:rPr>
        <w:t>，为本地群众及外来游客提供休闲游览新体验。</w:t>
      </w:r>
    </w:p>
    <w:p>
      <w:pPr>
        <w:widowControl/>
        <w:ind w:firstLine="562"/>
        <w:jc w:val="left"/>
        <w:rPr>
          <w:rFonts w:ascii="方正兰亭纤黑简体" w:hAnsi="仿宋" w:eastAsia="方正兰亭纤黑简体" w:cs="仿宋"/>
          <w:sz w:val="28"/>
        </w:rPr>
      </w:pPr>
      <w:r>
        <w:rPr>
          <w:rFonts w:hint="eastAsia" w:ascii="方正兰亭纤黑简体" w:hAnsi="仿宋" w:eastAsia="方正兰亭纤黑简体" w:cs="仿宋"/>
          <w:b/>
          <w:bCs/>
          <w:sz w:val="28"/>
        </w:rPr>
        <w:t>建立安全完善的保障配套设施。</w:t>
      </w:r>
      <w:r>
        <w:rPr>
          <w:rFonts w:hint="eastAsia" w:ascii="方正兰亭纤黑简体" w:hAnsi="仿宋" w:eastAsia="方正兰亭纤黑简体" w:cs="仿宋"/>
          <w:sz w:val="28"/>
        </w:rPr>
        <w:t>2021-2025期间为保证龙水工业园与龙水新城开发所需安全、稳定的能源供应，在电力方面拟实施大围35kV变电站1号主变改造工程、十里110kV变电站35kV送出工程，在燃气方面拟扩建龙水配气站与龙水沙桥配气站，为龙水片区产城融合夯实基础。</w:t>
      </w:r>
    </w:p>
    <w:p>
      <w:pPr>
        <w:pStyle w:val="2"/>
        <w:ind w:firstLine="640"/>
      </w:pPr>
    </w:p>
    <w:p>
      <w:pPr>
        <w:widowControl/>
        <w:ind w:firstLine="560"/>
        <w:jc w:val="left"/>
        <w:rPr>
          <w:rFonts w:ascii="仿宋" w:hAnsi="仿宋" w:eastAsia="仿宋" w:cs="仿宋"/>
          <w:sz w:val="28"/>
        </w:rPr>
      </w:pPr>
      <w:r>
        <w:rPr>
          <w:rFonts w:ascii="仿宋" w:hAnsi="仿宋" w:eastAsia="仿宋" w:cs="仿宋"/>
          <w:sz w:val="28"/>
        </w:rPr>
        <w:br w:type="page"/>
      </w:r>
    </w:p>
    <w:p>
      <w:pPr>
        <w:pStyle w:val="4"/>
        <w:adjustRightInd w:val="0"/>
        <w:snapToGrid w:val="0"/>
        <w:spacing w:line="432" w:lineRule="auto"/>
        <w:ind w:left="0"/>
        <w:rPr>
          <w:rFonts w:ascii="方正兰亭粗黑简体" w:hAnsi="仿宋" w:eastAsia="方正兰亭粗黑简体" w:cs="仿宋"/>
          <w:b/>
        </w:rPr>
      </w:pPr>
      <w:bookmarkStart w:id="230" w:name="_Toc698"/>
      <w:bookmarkStart w:id="231" w:name="_Toc18394"/>
      <w:bookmarkStart w:id="232" w:name="_Toc24707"/>
      <w:bookmarkStart w:id="233" w:name="_Toc22156"/>
      <w:bookmarkStart w:id="234" w:name="_Toc20699"/>
      <w:bookmarkStart w:id="235" w:name="_Toc1210"/>
      <w:r>
        <w:rPr>
          <w:rFonts w:hint="eastAsia" w:ascii="方正兰亭粗黑简体" w:hAnsi="仿宋" w:eastAsia="方正兰亭粗黑简体" w:cs="仿宋"/>
          <w:b/>
        </w:rPr>
        <w:t>健全保障措施</w:t>
      </w:r>
      <w:bookmarkEnd w:id="230"/>
      <w:bookmarkEnd w:id="231"/>
      <w:bookmarkEnd w:id="232"/>
      <w:bookmarkEnd w:id="233"/>
      <w:bookmarkEnd w:id="234"/>
      <w:bookmarkEnd w:id="235"/>
    </w:p>
    <w:p>
      <w:pPr>
        <w:widowControl/>
        <w:ind w:firstLine="560"/>
        <w:jc w:val="left"/>
        <w:rPr>
          <w:rFonts w:ascii="方正兰亭纤黑简体" w:hAnsi="仿宋" w:eastAsia="方正兰亭纤黑简体" w:cs="仿宋"/>
          <w:sz w:val="28"/>
        </w:rPr>
      </w:pPr>
      <w:r>
        <w:rPr>
          <w:rFonts w:hint="eastAsia" w:ascii="方正兰亭纤黑简体" w:hAnsi="仿宋" w:eastAsia="方正兰亭纤黑简体" w:cs="仿宋"/>
          <w:sz w:val="28"/>
        </w:rPr>
        <w:t>基础设施作为社会赖以生存和发展的重要物质基础条件，更是实现国家高质量发展的基础保障。未来五年，基础设施建设任务重、困难多、挑战大，健全组织保障、完善政策保障、强化资金保障是确保大足区</w:t>
      </w:r>
      <w:r>
        <w:rPr>
          <w:rFonts w:hint="eastAsia" w:ascii="方正兰亭纤黑简体" w:hAnsi="仿宋" w:eastAsia="方正兰亭纤黑简体" w:cs="仿宋"/>
          <w:sz w:val="28"/>
          <w:lang w:eastAsia="zh-CN"/>
        </w:rPr>
        <w:t>基础设施建设</w:t>
      </w:r>
      <w:r>
        <w:rPr>
          <w:rFonts w:hint="eastAsia" w:ascii="方正兰亭纤黑简体" w:hAnsi="仿宋" w:eastAsia="方正兰亭纤黑简体" w:cs="仿宋"/>
          <w:sz w:val="28"/>
        </w:rPr>
        <w:t>稳步推进的定心丸和强心针。</w:t>
      </w:r>
    </w:p>
    <w:p>
      <w:pPr>
        <w:pStyle w:val="5"/>
        <w:ind w:left="0"/>
        <w:rPr>
          <w:rFonts w:ascii="方正兰亭纤黑简体" w:hAnsi="仿宋" w:eastAsia="方正兰亭纤黑简体" w:cs="仿宋"/>
          <w:b/>
          <w:bCs w:val="0"/>
        </w:rPr>
      </w:pPr>
      <w:bookmarkStart w:id="236" w:name="_Toc7092"/>
      <w:bookmarkStart w:id="237" w:name="_Toc4141"/>
      <w:bookmarkStart w:id="238" w:name="_Toc17736"/>
      <w:bookmarkStart w:id="239" w:name="_Toc21234"/>
      <w:bookmarkStart w:id="240" w:name="_Toc30915"/>
      <w:bookmarkStart w:id="241" w:name="_Toc17882"/>
      <w:bookmarkStart w:id="242" w:name="_Toc17433"/>
      <w:r>
        <w:rPr>
          <w:rFonts w:hint="eastAsia" w:ascii="方正兰亭纤黑简体" w:hAnsi="仿宋" w:eastAsia="方正兰亭纤黑简体" w:cs="仿宋"/>
          <w:b/>
          <w:bCs w:val="0"/>
        </w:rPr>
        <w:t>组织保障</w:t>
      </w:r>
      <w:bookmarkEnd w:id="236"/>
      <w:bookmarkEnd w:id="237"/>
      <w:bookmarkEnd w:id="238"/>
      <w:bookmarkEnd w:id="239"/>
      <w:bookmarkEnd w:id="240"/>
      <w:bookmarkEnd w:id="241"/>
      <w:bookmarkEnd w:id="242"/>
    </w:p>
    <w:p>
      <w:pPr>
        <w:widowControl/>
        <w:ind w:firstLine="560"/>
        <w:jc w:val="left"/>
        <w:rPr>
          <w:rFonts w:ascii="方正兰亭纤黑简体" w:hAnsi="仿宋" w:eastAsia="方正兰亭纤黑简体" w:cs="仿宋"/>
          <w:sz w:val="28"/>
        </w:rPr>
      </w:pPr>
      <w:r>
        <w:rPr>
          <w:rFonts w:hint="eastAsia" w:ascii="方正兰亭纤黑简体" w:hAnsi="仿宋" w:eastAsia="方正兰亭纤黑简体" w:cs="仿宋"/>
          <w:sz w:val="28"/>
        </w:rPr>
        <w:t>坚持以党的全面领导为基础，根据“实施一批、储备一批、谋划一批”的原则，做好基础设施建设项目推进的信息反馈和进度的跟踪监督机制，根据宏观环境变化，适时提出规划调整方案。各级部门深化认识，强化担当，压实领导责任、部门责任、市区责任，明确分工、各司其职、相互配合，积极谋划本领域、本行业基础设施建设项目，以基础设施大系统的优化完善为基础，统筹考虑综合性基础设施发展趋势，结合国家和地方基础设施现状及需求，强调针对性和协调性，统筹规划布局建设体现高质量发展要求的基础设施重点工程，以大工程项目带动整个基础设施体系的高质量发展。做好项目的招引、培育、落地及政策扶持，补齐上下游产业链，形成全区基础设施大系统建设协同推进的良好氛围。</w:t>
      </w:r>
    </w:p>
    <w:p>
      <w:pPr>
        <w:pStyle w:val="5"/>
        <w:ind w:left="0"/>
        <w:rPr>
          <w:rFonts w:ascii="方正兰亭纤黑简体" w:hAnsi="仿宋" w:eastAsia="方正兰亭纤黑简体" w:cs="仿宋"/>
          <w:b/>
          <w:bCs w:val="0"/>
        </w:rPr>
      </w:pPr>
      <w:bookmarkStart w:id="243" w:name="_Toc24788"/>
      <w:bookmarkStart w:id="244" w:name="_Toc3256"/>
      <w:bookmarkStart w:id="245" w:name="_Toc29365"/>
      <w:bookmarkStart w:id="246" w:name="_Toc11992"/>
      <w:bookmarkStart w:id="247" w:name="_Toc28726"/>
      <w:bookmarkStart w:id="248" w:name="_Toc21134"/>
      <w:bookmarkStart w:id="249" w:name="_Toc17037"/>
      <w:r>
        <w:rPr>
          <w:rFonts w:hint="eastAsia" w:ascii="方正兰亭纤黑简体" w:hAnsi="仿宋" w:eastAsia="方正兰亭纤黑简体" w:cs="仿宋"/>
          <w:b/>
          <w:bCs w:val="0"/>
        </w:rPr>
        <w:t>政策保障</w:t>
      </w:r>
      <w:bookmarkEnd w:id="243"/>
      <w:bookmarkEnd w:id="244"/>
      <w:bookmarkEnd w:id="245"/>
      <w:bookmarkEnd w:id="246"/>
      <w:bookmarkEnd w:id="247"/>
      <w:bookmarkEnd w:id="248"/>
      <w:bookmarkEnd w:id="249"/>
    </w:p>
    <w:p>
      <w:pPr>
        <w:widowControl/>
        <w:ind w:firstLine="560"/>
        <w:jc w:val="left"/>
        <w:rPr>
          <w:rFonts w:ascii="方正兰亭纤黑简体" w:hAnsi="仿宋" w:eastAsia="方正兰亭纤黑简体" w:cs="仿宋"/>
          <w:sz w:val="28"/>
        </w:rPr>
      </w:pPr>
      <w:r>
        <w:rPr>
          <w:rFonts w:hint="eastAsia" w:ascii="方正兰亭纤黑简体" w:hAnsi="仿宋" w:eastAsia="方正兰亭纤黑简体" w:cs="仿宋"/>
          <w:sz w:val="28"/>
        </w:rPr>
        <w:t>健全部门联动机制，统筹协调规划设计、用地审查、环境影响评价、资金筹措、项目审批核准等前期工作，加快重大项目建设。同时严格以规划为依据，合理运用土地、财税、金融、环保、价格等综合经济政策，加强政府调控力度。立足于区域的发展定位和区位特征，制定上下贯通、层级传导的基础设施重大项目清单，从财税、金融、用地等政策依法合规予以倾斜支持，以此加大对重点项目的保障政策，滚动推进项目的实施。</w:t>
      </w:r>
    </w:p>
    <w:p>
      <w:pPr>
        <w:pStyle w:val="5"/>
        <w:ind w:left="0"/>
        <w:rPr>
          <w:rFonts w:ascii="方正兰亭纤黑简体" w:hAnsi="仿宋" w:eastAsia="方正兰亭纤黑简体" w:cs="仿宋"/>
          <w:b/>
          <w:bCs w:val="0"/>
        </w:rPr>
      </w:pPr>
      <w:bookmarkStart w:id="250" w:name="_Toc17132"/>
      <w:bookmarkStart w:id="251" w:name="_Toc28530"/>
      <w:bookmarkStart w:id="252" w:name="_Toc2350"/>
      <w:bookmarkStart w:id="253" w:name="_Toc17634"/>
      <w:bookmarkStart w:id="254" w:name="_Toc7898"/>
      <w:bookmarkStart w:id="255" w:name="_Toc18491"/>
      <w:bookmarkStart w:id="256" w:name="_Toc17020"/>
      <w:r>
        <w:rPr>
          <w:rFonts w:hint="eastAsia" w:ascii="方正兰亭纤黑简体" w:hAnsi="仿宋" w:eastAsia="方正兰亭纤黑简体" w:cs="仿宋"/>
          <w:b/>
          <w:bCs w:val="0"/>
        </w:rPr>
        <w:t>资金保障</w:t>
      </w:r>
      <w:bookmarkEnd w:id="250"/>
      <w:bookmarkEnd w:id="251"/>
      <w:bookmarkEnd w:id="252"/>
      <w:bookmarkEnd w:id="253"/>
      <w:bookmarkEnd w:id="254"/>
      <w:bookmarkEnd w:id="255"/>
      <w:bookmarkEnd w:id="256"/>
    </w:p>
    <w:p>
      <w:pPr>
        <w:widowControl/>
        <w:ind w:firstLine="560"/>
        <w:jc w:val="left"/>
        <w:rPr>
          <w:rFonts w:ascii="方正兰亭纤黑简体" w:hAnsi="仿宋" w:eastAsia="方正兰亭纤黑简体" w:cs="仿宋"/>
          <w:sz w:val="28"/>
        </w:rPr>
      </w:pPr>
      <w:r>
        <w:rPr>
          <w:rFonts w:hint="eastAsia" w:ascii="方正兰亭纤黑简体" w:hAnsi="仿宋" w:eastAsia="方正兰亭纤黑简体" w:cs="仿宋"/>
          <w:sz w:val="28"/>
        </w:rPr>
        <w:t>建立政府引导、市场推动、社会参与的投融资机制，推动各类资本相互融合、优势互补，加大基础设施建设的开放合作力度，形成多层次、多元化的投入格局。保持投资规模稳步较快增长，促进投资结构进一步优化，确保规划纲要明确的重大项目有效实施。多渠道筹集建设资金，充分发挥政府投资集团在城市基础设施建设中的主力军作用，提高政府投资效益，发挥政府投资的引导作用；通过产业投资基金、发行企业债券、政策性融资等方式，创新PPP、基金、专项债等多种投融资模式，积极引导社会资本投向城市基础设施。规范投入管理，加强绩效评价，切实提高资金的使用效率和效益。</w:t>
      </w:r>
    </w:p>
    <w:p>
      <w:pPr>
        <w:widowControl/>
        <w:ind w:firstLine="560"/>
        <w:jc w:val="left"/>
        <w:rPr>
          <w:rFonts w:ascii="方正兰亭纤黑简体" w:hAnsi="仿宋" w:eastAsia="方正兰亭纤黑简体" w:cs="仿宋"/>
          <w:sz w:val="28"/>
        </w:rPr>
        <w:sectPr>
          <w:headerReference r:id="rId11" w:type="default"/>
          <w:footerReference r:id="rId12" w:type="default"/>
          <w:pgSz w:w="11906" w:h="16838"/>
          <w:pgMar w:top="1440" w:right="1800" w:bottom="1440" w:left="1800" w:header="851" w:footer="992" w:gutter="0"/>
          <w:pgNumType w:start="1"/>
          <w:cols w:space="425" w:num="1"/>
          <w:docGrid w:type="lines" w:linePitch="312" w:charSpace="0"/>
        </w:sectPr>
      </w:pPr>
      <w:r>
        <w:rPr>
          <w:rFonts w:hint="eastAsia" w:ascii="方正兰亭纤黑简体" w:hAnsi="仿宋" w:eastAsia="方正兰亭纤黑简体" w:cs="仿宋"/>
          <w:sz w:val="28"/>
        </w:rPr>
        <w:t>坚决打好防范化解重大风险攻坚战，对确有必要、关系国计民生的在建项目，统筹采取有效措施保障合理融资需求，推动项目顺利建成，避免资金断供、工程烂尾，防止造成重大经济损失、影响社会稳定，有效防范“处置风险的风险”。</w:t>
      </w:r>
    </w:p>
    <w:p>
      <w:pPr>
        <w:pStyle w:val="26"/>
        <w:ind w:firstLine="0" w:firstLineChars="0"/>
        <w:rPr>
          <w:rFonts w:ascii="方正兰亭纤黑简体" w:eastAsia="方正兰亭纤黑简体"/>
          <w:b/>
          <w:bCs/>
        </w:rPr>
      </w:pPr>
      <w:r>
        <w:rPr>
          <w:rFonts w:hint="eastAsia" w:ascii="方正兰亭纤黑简体" w:eastAsia="方正兰亭纤黑简体"/>
          <w:b/>
          <w:bCs/>
        </w:rPr>
        <w:t>附表：</w:t>
      </w:r>
    </w:p>
    <w:tbl>
      <w:tblPr>
        <w:tblStyle w:val="24"/>
        <w:tblW w:w="14085" w:type="dxa"/>
        <w:tblInd w:w="93" w:type="dxa"/>
        <w:tblLayout w:type="fixed"/>
        <w:tblCellMar>
          <w:top w:w="0" w:type="dxa"/>
          <w:left w:w="108" w:type="dxa"/>
          <w:bottom w:w="0" w:type="dxa"/>
          <w:right w:w="108" w:type="dxa"/>
        </w:tblCellMar>
      </w:tblPr>
      <w:tblGrid>
        <w:gridCol w:w="598"/>
        <w:gridCol w:w="1719"/>
        <w:gridCol w:w="992"/>
        <w:gridCol w:w="709"/>
        <w:gridCol w:w="3686"/>
        <w:gridCol w:w="992"/>
        <w:gridCol w:w="1181"/>
        <w:gridCol w:w="945"/>
        <w:gridCol w:w="851"/>
        <w:gridCol w:w="775"/>
        <w:gridCol w:w="814"/>
        <w:gridCol w:w="823"/>
      </w:tblGrid>
      <w:tr>
        <w:tblPrEx>
          <w:tblLayout w:type="fixed"/>
          <w:tblCellMar>
            <w:top w:w="0" w:type="dxa"/>
            <w:left w:w="108" w:type="dxa"/>
            <w:bottom w:w="0" w:type="dxa"/>
            <w:right w:w="108" w:type="dxa"/>
          </w:tblCellMar>
        </w:tblPrEx>
        <w:trPr>
          <w:trHeight w:val="375" w:hRule="atLeast"/>
        </w:trPr>
        <w:tc>
          <w:tcPr>
            <w:tcW w:w="14085" w:type="dxa"/>
            <w:gridSpan w:val="12"/>
            <w:tcBorders>
              <w:top w:val="nil"/>
              <w:left w:val="nil"/>
              <w:bottom w:val="single" w:color="auto" w:sz="4" w:space="0"/>
              <w:right w:val="nil"/>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8"/>
                <w:szCs w:val="28"/>
                <w:lang w:bidi="ar"/>
              </w:rPr>
              <w:t>铁路、轨道交通项目</w:t>
            </w:r>
          </w:p>
        </w:tc>
      </w:tr>
      <w:tr>
        <w:tblPrEx>
          <w:tblLayout w:type="fixed"/>
          <w:tblCellMar>
            <w:top w:w="0" w:type="dxa"/>
            <w:left w:w="108" w:type="dxa"/>
            <w:bottom w:w="0" w:type="dxa"/>
            <w:right w:w="108" w:type="dxa"/>
          </w:tblCellMar>
        </w:tblPrEx>
        <w:trPr>
          <w:trHeight w:val="315" w:hRule="atLeast"/>
        </w:trPr>
        <w:tc>
          <w:tcPr>
            <w:tcW w:w="598"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序号</w:t>
            </w:r>
          </w:p>
        </w:tc>
        <w:tc>
          <w:tcPr>
            <w:tcW w:w="1719"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项目名字</w:t>
            </w:r>
          </w:p>
        </w:tc>
        <w:tc>
          <w:tcPr>
            <w:tcW w:w="992"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责任单位</w:t>
            </w:r>
          </w:p>
        </w:tc>
        <w:tc>
          <w:tcPr>
            <w:tcW w:w="709"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建设性质</w:t>
            </w:r>
          </w:p>
        </w:tc>
        <w:tc>
          <w:tcPr>
            <w:tcW w:w="3686"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建设内容</w:t>
            </w:r>
          </w:p>
        </w:tc>
        <w:tc>
          <w:tcPr>
            <w:tcW w:w="992"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项目总投资（万元）</w:t>
            </w:r>
          </w:p>
        </w:tc>
        <w:tc>
          <w:tcPr>
            <w:tcW w:w="1181"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eastAsia="zh-CN" w:bidi="ar"/>
              </w:rPr>
              <w:t>“十四五”</w:t>
            </w:r>
            <w:r>
              <w:rPr>
                <w:rFonts w:hint="eastAsia" w:ascii="方正兰亭纤黑简体" w:hAnsi="仿宋" w:eastAsia="方正兰亭纤黑简体" w:cs="仿宋"/>
                <w:b/>
                <w:bCs/>
                <w:kern w:val="0"/>
                <w:sz w:val="21"/>
                <w:szCs w:val="21"/>
                <w:lang w:bidi="ar"/>
              </w:rPr>
              <w:t>计划投资（万元）</w:t>
            </w:r>
          </w:p>
        </w:tc>
        <w:tc>
          <w:tcPr>
            <w:tcW w:w="2571" w:type="dxa"/>
            <w:gridSpan w:val="3"/>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eastAsia="zh-CN" w:bidi="ar"/>
              </w:rPr>
              <w:t>“十四五”</w:t>
            </w:r>
            <w:r>
              <w:rPr>
                <w:rFonts w:hint="eastAsia" w:ascii="方正兰亭纤黑简体" w:hAnsi="仿宋" w:eastAsia="方正兰亭纤黑简体" w:cs="仿宋"/>
                <w:b/>
                <w:bCs/>
                <w:kern w:val="0"/>
                <w:sz w:val="21"/>
                <w:szCs w:val="21"/>
                <w:lang w:bidi="ar"/>
              </w:rPr>
              <w:t>计划投资分类（万元）</w:t>
            </w:r>
          </w:p>
        </w:tc>
        <w:tc>
          <w:tcPr>
            <w:tcW w:w="814"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开工时间</w:t>
            </w:r>
          </w:p>
        </w:tc>
        <w:tc>
          <w:tcPr>
            <w:tcW w:w="823"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竣工时间</w:t>
            </w:r>
          </w:p>
        </w:tc>
      </w:tr>
      <w:tr>
        <w:tblPrEx>
          <w:tblLayout w:type="fixed"/>
          <w:tblCellMar>
            <w:top w:w="0" w:type="dxa"/>
            <w:left w:w="108" w:type="dxa"/>
            <w:bottom w:w="0" w:type="dxa"/>
            <w:right w:w="108" w:type="dxa"/>
          </w:tblCellMar>
        </w:tblPrEx>
        <w:trPr>
          <w:trHeight w:val="630" w:hRule="atLeast"/>
        </w:trPr>
        <w:tc>
          <w:tcPr>
            <w:tcW w:w="59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719"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709"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3686"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992"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181"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945"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中央及市级投资</w:t>
            </w:r>
          </w:p>
        </w:tc>
        <w:tc>
          <w:tcPr>
            <w:tcW w:w="851"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区级投资</w:t>
            </w:r>
          </w:p>
        </w:tc>
        <w:tc>
          <w:tcPr>
            <w:tcW w:w="775"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其它</w:t>
            </w:r>
          </w:p>
        </w:tc>
        <w:tc>
          <w:tcPr>
            <w:tcW w:w="814"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823"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r>
      <w:tr>
        <w:tblPrEx>
          <w:tblLayout w:type="fixed"/>
          <w:tblCellMar>
            <w:top w:w="0" w:type="dxa"/>
            <w:left w:w="108" w:type="dxa"/>
            <w:bottom w:w="0" w:type="dxa"/>
            <w:right w:w="108" w:type="dxa"/>
          </w:tblCellMar>
        </w:tblPrEx>
        <w:trPr>
          <w:trHeight w:val="1125" w:hRule="atLeast"/>
        </w:trPr>
        <w:tc>
          <w:tcPr>
            <w:tcW w:w="598"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w:t>
            </w:r>
          </w:p>
        </w:tc>
        <w:tc>
          <w:tcPr>
            <w:tcW w:w="1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成渝中线高铁（大足段）</w:t>
            </w:r>
          </w:p>
        </w:tc>
        <w:tc>
          <w:tcPr>
            <w:tcW w:w="99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区交通局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新开工</w:t>
            </w:r>
          </w:p>
        </w:tc>
        <w:tc>
          <w:tcPr>
            <w:tcW w:w="368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新建重庆至成都高速铁路，大足区境内约40公里。</w:t>
            </w:r>
          </w:p>
        </w:tc>
        <w:tc>
          <w:tcPr>
            <w:tcW w:w="99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900000</w:t>
            </w:r>
          </w:p>
        </w:tc>
        <w:tc>
          <w:tcPr>
            <w:tcW w:w="118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200000</w:t>
            </w:r>
          </w:p>
        </w:tc>
        <w:tc>
          <w:tcPr>
            <w:tcW w:w="94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144500</w:t>
            </w:r>
          </w:p>
        </w:tc>
        <w:tc>
          <w:tcPr>
            <w:tcW w:w="8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55500</w:t>
            </w:r>
          </w:p>
        </w:tc>
        <w:tc>
          <w:tcPr>
            <w:tcW w:w="7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82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r>
      <w:tr>
        <w:tblPrEx>
          <w:tblLayout w:type="fixed"/>
          <w:tblCellMar>
            <w:top w:w="0" w:type="dxa"/>
            <w:left w:w="108" w:type="dxa"/>
            <w:bottom w:w="0" w:type="dxa"/>
            <w:right w:w="108" w:type="dxa"/>
          </w:tblCellMar>
        </w:tblPrEx>
        <w:trPr>
          <w:trHeight w:val="3240" w:hRule="atLeast"/>
        </w:trPr>
        <w:tc>
          <w:tcPr>
            <w:tcW w:w="59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w:t>
            </w:r>
          </w:p>
        </w:tc>
        <w:tc>
          <w:tcPr>
            <w:tcW w:w="1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市域（郊）铁路璧山至大足（C3线）</w:t>
            </w:r>
          </w:p>
        </w:tc>
        <w:tc>
          <w:tcPr>
            <w:tcW w:w="99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新开工</w:t>
            </w:r>
          </w:p>
        </w:tc>
        <w:tc>
          <w:tcPr>
            <w:tcW w:w="368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自璧铜线璧山（黛山大道站）引出，经璧山、铜梁至大足。全长约57.4公里，设车站9座。大足境内设大足石刻站、香国公园站、大足东站、金山站和万古共5座车站，境内长度约32.2公里，总投资约106亿元。</w:t>
            </w:r>
          </w:p>
        </w:tc>
        <w:tc>
          <w:tcPr>
            <w:tcW w:w="99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340000</w:t>
            </w:r>
          </w:p>
        </w:tc>
        <w:tc>
          <w:tcPr>
            <w:tcW w:w="118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85000</w:t>
            </w:r>
          </w:p>
        </w:tc>
        <w:tc>
          <w:tcPr>
            <w:tcW w:w="94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85000</w:t>
            </w:r>
          </w:p>
        </w:tc>
        <w:tc>
          <w:tcPr>
            <w:tcW w:w="8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82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r>
      <w:tr>
        <w:tblPrEx>
          <w:tblLayout w:type="fixed"/>
          <w:tblCellMar>
            <w:top w:w="0" w:type="dxa"/>
            <w:left w:w="108" w:type="dxa"/>
            <w:bottom w:w="0" w:type="dxa"/>
            <w:right w:w="108" w:type="dxa"/>
          </w:tblCellMar>
        </w:tblPrEx>
        <w:trPr>
          <w:trHeight w:val="844" w:hRule="atLeast"/>
        </w:trPr>
        <w:tc>
          <w:tcPr>
            <w:tcW w:w="59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w:t>
            </w:r>
          </w:p>
        </w:tc>
        <w:tc>
          <w:tcPr>
            <w:tcW w:w="1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石刻文化城核心区综合整治</w:t>
            </w:r>
          </w:p>
        </w:tc>
        <w:tc>
          <w:tcPr>
            <w:tcW w:w="99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w:t>
            </w:r>
            <w:r>
              <w:rPr>
                <w:rFonts w:hint="eastAsia" w:ascii="方正兰亭纤黑简体" w:hAnsi="仿宋" w:eastAsia="方正兰亭纤黑简体" w:cs="仿宋"/>
                <w:kern w:val="0"/>
                <w:sz w:val="21"/>
                <w:szCs w:val="21"/>
                <w:lang w:bidi="ar"/>
              </w:rPr>
              <w:br w:type="textWrapping"/>
            </w:r>
            <w:r>
              <w:rPr>
                <w:rFonts w:hint="eastAsia" w:ascii="方正兰亭纤黑简体" w:hAnsi="仿宋" w:eastAsia="方正兰亭纤黑简体" w:cs="仿宋"/>
                <w:kern w:val="0"/>
                <w:sz w:val="21"/>
                <w:szCs w:val="21"/>
                <w:lang w:bidi="ar"/>
              </w:rPr>
              <w:t>管委会</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新开工</w:t>
            </w:r>
          </w:p>
        </w:tc>
        <w:tc>
          <w:tcPr>
            <w:tcW w:w="368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石刻文化城核心区约1153亩环境综合整治，配套高铁新城片区市政道路，总长约18.7KM，配套路网周边绿化、环境改造、高铁站前广场</w:t>
            </w:r>
          </w:p>
        </w:tc>
        <w:tc>
          <w:tcPr>
            <w:tcW w:w="99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234000</w:t>
            </w:r>
          </w:p>
        </w:tc>
        <w:tc>
          <w:tcPr>
            <w:tcW w:w="118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234000</w:t>
            </w:r>
          </w:p>
        </w:tc>
        <w:tc>
          <w:tcPr>
            <w:tcW w:w="94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234000</w:t>
            </w:r>
          </w:p>
        </w:tc>
        <w:tc>
          <w:tcPr>
            <w:tcW w:w="8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82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2831" w:hRule="atLeast"/>
        </w:trPr>
        <w:tc>
          <w:tcPr>
            <w:tcW w:w="59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w:t>
            </w:r>
          </w:p>
        </w:tc>
        <w:tc>
          <w:tcPr>
            <w:tcW w:w="1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成渝铁路扩能改造</w:t>
            </w:r>
          </w:p>
        </w:tc>
        <w:tc>
          <w:tcPr>
            <w:tcW w:w="99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区交通局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68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重庆境内长101公里，大足境内约40公里</w:t>
            </w:r>
          </w:p>
        </w:tc>
        <w:tc>
          <w:tcPr>
            <w:tcW w:w="99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120000</w:t>
            </w:r>
          </w:p>
        </w:tc>
        <w:tc>
          <w:tcPr>
            <w:tcW w:w="118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90000</w:t>
            </w:r>
          </w:p>
        </w:tc>
        <w:tc>
          <w:tcPr>
            <w:tcW w:w="94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90000</w:t>
            </w:r>
          </w:p>
        </w:tc>
        <w:tc>
          <w:tcPr>
            <w:tcW w:w="8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82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r>
      <w:tr>
        <w:tblPrEx>
          <w:tblLayout w:type="fixed"/>
          <w:tblCellMar>
            <w:top w:w="0" w:type="dxa"/>
            <w:left w:w="108" w:type="dxa"/>
            <w:bottom w:w="0" w:type="dxa"/>
            <w:right w:w="108" w:type="dxa"/>
          </w:tblCellMar>
        </w:tblPrEx>
        <w:trPr>
          <w:trHeight w:val="450" w:hRule="atLeast"/>
        </w:trPr>
        <w:tc>
          <w:tcPr>
            <w:tcW w:w="59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w:t>
            </w:r>
          </w:p>
        </w:tc>
        <w:tc>
          <w:tcPr>
            <w:tcW w:w="1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汉中至南充至潼南至铜梁至大足至荣昌至泸州铁路</w:t>
            </w:r>
          </w:p>
        </w:tc>
        <w:tc>
          <w:tcPr>
            <w:tcW w:w="99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待定</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68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境内约35公里</w:t>
            </w:r>
          </w:p>
        </w:tc>
        <w:tc>
          <w:tcPr>
            <w:tcW w:w="99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 xml:space="preserve">2000000 </w:t>
            </w:r>
          </w:p>
        </w:tc>
        <w:tc>
          <w:tcPr>
            <w:tcW w:w="118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 xml:space="preserve">500 </w:t>
            </w:r>
          </w:p>
        </w:tc>
        <w:tc>
          <w:tcPr>
            <w:tcW w:w="94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 xml:space="preserve">500 </w:t>
            </w:r>
          </w:p>
        </w:tc>
        <w:tc>
          <w:tcPr>
            <w:tcW w:w="7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82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900" w:hRule="atLeast"/>
        </w:trPr>
        <w:tc>
          <w:tcPr>
            <w:tcW w:w="59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w:t>
            </w:r>
          </w:p>
        </w:tc>
        <w:tc>
          <w:tcPr>
            <w:tcW w:w="1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渝自城际铁路重庆至自贡至乐山城际铁路</w:t>
            </w:r>
          </w:p>
        </w:tc>
        <w:tc>
          <w:tcPr>
            <w:tcW w:w="99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区交通局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68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雅眉乐自隆大渝铁路西起雅安市，向东经眉山市洪雅县，乐山市夹江县、井研县，自贡市荣县、富顺县，内江市所辖隆昌市，重庆市大足区，全长约280公里。设计时速250千米/小时</w:t>
            </w:r>
          </w:p>
        </w:tc>
        <w:tc>
          <w:tcPr>
            <w:tcW w:w="99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5000000</w:t>
            </w:r>
          </w:p>
        </w:tc>
        <w:tc>
          <w:tcPr>
            <w:tcW w:w="118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5000000</w:t>
            </w:r>
          </w:p>
        </w:tc>
        <w:tc>
          <w:tcPr>
            <w:tcW w:w="94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5000000</w:t>
            </w:r>
          </w:p>
        </w:tc>
        <w:tc>
          <w:tcPr>
            <w:tcW w:w="8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82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900" w:hRule="atLeast"/>
        </w:trPr>
        <w:tc>
          <w:tcPr>
            <w:tcW w:w="59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w:t>
            </w:r>
          </w:p>
        </w:tc>
        <w:tc>
          <w:tcPr>
            <w:tcW w:w="1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市域（郊）铁路合大线（C8线）</w:t>
            </w:r>
          </w:p>
        </w:tc>
        <w:tc>
          <w:tcPr>
            <w:tcW w:w="99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区交通局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68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新建市郊铁路合大线，大足境内约60公里，设计时速160千米/小时</w:t>
            </w:r>
          </w:p>
        </w:tc>
        <w:tc>
          <w:tcPr>
            <w:tcW w:w="99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720000</w:t>
            </w:r>
          </w:p>
        </w:tc>
        <w:tc>
          <w:tcPr>
            <w:tcW w:w="118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720000</w:t>
            </w:r>
          </w:p>
        </w:tc>
        <w:tc>
          <w:tcPr>
            <w:tcW w:w="94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720000</w:t>
            </w:r>
          </w:p>
        </w:tc>
        <w:tc>
          <w:tcPr>
            <w:tcW w:w="8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82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1125" w:hRule="atLeast"/>
        </w:trPr>
        <w:tc>
          <w:tcPr>
            <w:tcW w:w="59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w:t>
            </w:r>
          </w:p>
        </w:tc>
        <w:tc>
          <w:tcPr>
            <w:tcW w:w="1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市域（郊）铁路永（大）荣线（C4）</w:t>
            </w:r>
          </w:p>
        </w:tc>
        <w:tc>
          <w:tcPr>
            <w:tcW w:w="99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区交通局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68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新建市郊铁路永（大）荣线</w:t>
            </w:r>
          </w:p>
        </w:tc>
        <w:tc>
          <w:tcPr>
            <w:tcW w:w="99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8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4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82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1432" w:hRule="atLeast"/>
        </w:trPr>
        <w:tc>
          <w:tcPr>
            <w:tcW w:w="59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9</w:t>
            </w:r>
          </w:p>
        </w:tc>
        <w:tc>
          <w:tcPr>
            <w:tcW w:w="1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大足区南北向低运量轨道交通</w:t>
            </w:r>
          </w:p>
        </w:tc>
        <w:tc>
          <w:tcPr>
            <w:tcW w:w="99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68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线路起于市域铁路大足线（C3线）香国公园站，沿龙棠大道设吾悦广场站，经龙水、双桥、止于邮亭大足南站，全长36Km。通过低运量轨道交通串联大足中心城区、双桥龙水组团和邮亭镇。</w:t>
            </w:r>
          </w:p>
        </w:tc>
        <w:tc>
          <w:tcPr>
            <w:tcW w:w="99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460000</w:t>
            </w:r>
          </w:p>
        </w:tc>
        <w:tc>
          <w:tcPr>
            <w:tcW w:w="118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100000</w:t>
            </w:r>
          </w:p>
        </w:tc>
        <w:tc>
          <w:tcPr>
            <w:tcW w:w="94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100000</w:t>
            </w:r>
          </w:p>
        </w:tc>
        <w:tc>
          <w:tcPr>
            <w:tcW w:w="8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c>
          <w:tcPr>
            <w:tcW w:w="82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1125" w:hRule="atLeast"/>
        </w:trPr>
        <w:tc>
          <w:tcPr>
            <w:tcW w:w="59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w:t>
            </w:r>
          </w:p>
        </w:tc>
        <w:tc>
          <w:tcPr>
            <w:tcW w:w="1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大足石刻高铁站站点慢行与接驳研究</w:t>
            </w:r>
          </w:p>
        </w:tc>
        <w:tc>
          <w:tcPr>
            <w:tcW w:w="99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68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大足石刻高铁站周边慢行与站点交通接驳研究。</w:t>
            </w:r>
          </w:p>
        </w:tc>
        <w:tc>
          <w:tcPr>
            <w:tcW w:w="99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w:t>
            </w:r>
          </w:p>
        </w:tc>
        <w:tc>
          <w:tcPr>
            <w:tcW w:w="118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w:t>
            </w:r>
          </w:p>
        </w:tc>
        <w:tc>
          <w:tcPr>
            <w:tcW w:w="94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w:t>
            </w:r>
          </w:p>
        </w:tc>
        <w:tc>
          <w:tcPr>
            <w:tcW w:w="8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82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1125" w:hRule="atLeast"/>
        </w:trPr>
        <w:tc>
          <w:tcPr>
            <w:tcW w:w="59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11</w:t>
            </w:r>
          </w:p>
        </w:tc>
        <w:tc>
          <w:tcPr>
            <w:tcW w:w="1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C3线香国公园站、大足东站站点慢行与接驳研究</w:t>
            </w:r>
          </w:p>
        </w:tc>
        <w:tc>
          <w:tcPr>
            <w:tcW w:w="99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68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对香国公园站、大足东站慢行与接驳系统进行梳理研究。</w:t>
            </w:r>
          </w:p>
        </w:tc>
        <w:tc>
          <w:tcPr>
            <w:tcW w:w="99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w:t>
            </w:r>
          </w:p>
        </w:tc>
        <w:tc>
          <w:tcPr>
            <w:tcW w:w="118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w:t>
            </w:r>
          </w:p>
        </w:tc>
        <w:tc>
          <w:tcPr>
            <w:tcW w:w="94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w:t>
            </w:r>
          </w:p>
        </w:tc>
        <w:tc>
          <w:tcPr>
            <w:tcW w:w="8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82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1125" w:hRule="atLeast"/>
        </w:trPr>
        <w:tc>
          <w:tcPr>
            <w:tcW w:w="59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12</w:t>
            </w:r>
          </w:p>
        </w:tc>
        <w:tc>
          <w:tcPr>
            <w:tcW w:w="1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C3线香国公园站“P+R”设施</w:t>
            </w:r>
          </w:p>
        </w:tc>
        <w:tc>
          <w:tcPr>
            <w:tcW w:w="99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68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香国公园站“P+R”增加约2300个泊位。</w:t>
            </w:r>
          </w:p>
        </w:tc>
        <w:tc>
          <w:tcPr>
            <w:tcW w:w="99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19727</w:t>
            </w:r>
          </w:p>
        </w:tc>
        <w:tc>
          <w:tcPr>
            <w:tcW w:w="118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19727</w:t>
            </w:r>
          </w:p>
        </w:tc>
        <w:tc>
          <w:tcPr>
            <w:tcW w:w="94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19727</w:t>
            </w:r>
          </w:p>
        </w:tc>
        <w:tc>
          <w:tcPr>
            <w:tcW w:w="8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82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1125" w:hRule="atLeast"/>
        </w:trPr>
        <w:tc>
          <w:tcPr>
            <w:tcW w:w="59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13</w:t>
            </w:r>
          </w:p>
        </w:tc>
        <w:tc>
          <w:tcPr>
            <w:tcW w:w="1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C3线大足东站“P+R”设施</w:t>
            </w:r>
          </w:p>
        </w:tc>
        <w:tc>
          <w:tcPr>
            <w:tcW w:w="99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68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大足东站“P+R”增加约900个泊位。</w:t>
            </w:r>
          </w:p>
        </w:tc>
        <w:tc>
          <w:tcPr>
            <w:tcW w:w="99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7540</w:t>
            </w:r>
          </w:p>
        </w:tc>
        <w:tc>
          <w:tcPr>
            <w:tcW w:w="118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7540</w:t>
            </w:r>
          </w:p>
        </w:tc>
        <w:tc>
          <w:tcPr>
            <w:tcW w:w="94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7540</w:t>
            </w:r>
          </w:p>
        </w:tc>
        <w:tc>
          <w:tcPr>
            <w:tcW w:w="8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82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1125" w:hRule="atLeast"/>
        </w:trPr>
        <w:tc>
          <w:tcPr>
            <w:tcW w:w="59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14</w:t>
            </w:r>
          </w:p>
        </w:tc>
        <w:tc>
          <w:tcPr>
            <w:tcW w:w="1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C3线站点建设</w:t>
            </w:r>
          </w:p>
        </w:tc>
        <w:tc>
          <w:tcPr>
            <w:tcW w:w="99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海棠新城管委会</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68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沿途站点建设</w:t>
            </w:r>
          </w:p>
        </w:tc>
        <w:tc>
          <w:tcPr>
            <w:tcW w:w="99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30000</w:t>
            </w:r>
          </w:p>
        </w:tc>
        <w:tc>
          <w:tcPr>
            <w:tcW w:w="118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30000</w:t>
            </w:r>
          </w:p>
        </w:tc>
        <w:tc>
          <w:tcPr>
            <w:tcW w:w="94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82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1125" w:hRule="atLeast"/>
        </w:trPr>
        <w:tc>
          <w:tcPr>
            <w:tcW w:w="59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15</w:t>
            </w:r>
          </w:p>
        </w:tc>
        <w:tc>
          <w:tcPr>
            <w:tcW w:w="1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C3线沿线综合开发整治</w:t>
            </w:r>
          </w:p>
        </w:tc>
        <w:tc>
          <w:tcPr>
            <w:tcW w:w="99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海棠新城管委会</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68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沿线土地整治利用和市政基础设施、环境综合整治建设</w:t>
            </w:r>
          </w:p>
        </w:tc>
        <w:tc>
          <w:tcPr>
            <w:tcW w:w="99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30000</w:t>
            </w:r>
          </w:p>
        </w:tc>
        <w:tc>
          <w:tcPr>
            <w:tcW w:w="118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30000</w:t>
            </w:r>
          </w:p>
        </w:tc>
        <w:tc>
          <w:tcPr>
            <w:tcW w:w="94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82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1125" w:hRule="atLeast"/>
        </w:trPr>
        <w:tc>
          <w:tcPr>
            <w:tcW w:w="598"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16</w:t>
            </w:r>
          </w:p>
        </w:tc>
        <w:tc>
          <w:tcPr>
            <w:tcW w:w="1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香国公园站综合交通枢纽</w:t>
            </w:r>
          </w:p>
        </w:tc>
        <w:tc>
          <w:tcPr>
            <w:tcW w:w="99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68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建设香国公园站综合交通枢纽</w:t>
            </w:r>
          </w:p>
        </w:tc>
        <w:tc>
          <w:tcPr>
            <w:tcW w:w="99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20000</w:t>
            </w:r>
          </w:p>
        </w:tc>
        <w:tc>
          <w:tcPr>
            <w:tcW w:w="118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20000</w:t>
            </w:r>
          </w:p>
        </w:tc>
        <w:tc>
          <w:tcPr>
            <w:tcW w:w="94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20000</w:t>
            </w:r>
          </w:p>
        </w:tc>
        <w:tc>
          <w:tcPr>
            <w:tcW w:w="8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82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1125" w:hRule="atLeast"/>
        </w:trPr>
        <w:tc>
          <w:tcPr>
            <w:tcW w:w="59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17</w:t>
            </w:r>
          </w:p>
        </w:tc>
        <w:tc>
          <w:tcPr>
            <w:tcW w:w="1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大足东站综合交通枢纽</w:t>
            </w:r>
          </w:p>
        </w:tc>
        <w:tc>
          <w:tcPr>
            <w:tcW w:w="99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68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建设大足东站综合交通枢纽</w:t>
            </w:r>
          </w:p>
        </w:tc>
        <w:tc>
          <w:tcPr>
            <w:tcW w:w="99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20000</w:t>
            </w:r>
          </w:p>
        </w:tc>
        <w:tc>
          <w:tcPr>
            <w:tcW w:w="118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20000</w:t>
            </w:r>
          </w:p>
        </w:tc>
        <w:tc>
          <w:tcPr>
            <w:tcW w:w="94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20000</w:t>
            </w:r>
          </w:p>
        </w:tc>
        <w:tc>
          <w:tcPr>
            <w:tcW w:w="8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82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bl>
    <w:p>
      <w:pPr>
        <w:pStyle w:val="26"/>
        <w:ind w:firstLine="0" w:firstLineChars="0"/>
        <w:rPr>
          <w:rFonts w:ascii="方正兰亭纤黑简体" w:hAnsi="仿宋" w:eastAsia="方正兰亭纤黑简体" w:cs="仿宋"/>
          <w:b/>
          <w:bCs/>
          <w:sz w:val="24"/>
        </w:rPr>
        <w:sectPr>
          <w:headerReference r:id="rId13" w:type="default"/>
          <w:footerReference r:id="rId14" w:type="default"/>
          <w:pgSz w:w="16838" w:h="11906" w:orient="landscape"/>
          <w:pgMar w:top="1800" w:right="1440" w:bottom="1800" w:left="1440" w:header="851" w:footer="992" w:gutter="0"/>
          <w:pgNumType w:start="1"/>
          <w:cols w:space="425" w:num="1"/>
          <w:docGrid w:type="lines" w:linePitch="312" w:charSpace="0"/>
        </w:sectPr>
      </w:pPr>
    </w:p>
    <w:tbl>
      <w:tblPr>
        <w:tblStyle w:val="24"/>
        <w:tblW w:w="14158" w:type="dxa"/>
        <w:tblInd w:w="5" w:type="dxa"/>
        <w:tblLayout w:type="fixed"/>
        <w:tblCellMar>
          <w:top w:w="0" w:type="dxa"/>
          <w:left w:w="108" w:type="dxa"/>
          <w:bottom w:w="0" w:type="dxa"/>
          <w:right w:w="108" w:type="dxa"/>
        </w:tblCellMar>
      </w:tblPr>
      <w:tblGrid>
        <w:gridCol w:w="532"/>
        <w:gridCol w:w="1586"/>
        <w:gridCol w:w="757"/>
        <w:gridCol w:w="719"/>
        <w:gridCol w:w="3310"/>
        <w:gridCol w:w="719"/>
        <w:gridCol w:w="1008"/>
        <w:gridCol w:w="1008"/>
        <w:gridCol w:w="1008"/>
        <w:gridCol w:w="1005"/>
        <w:gridCol w:w="866"/>
        <w:gridCol w:w="861"/>
        <w:gridCol w:w="779"/>
      </w:tblGrid>
      <w:tr>
        <w:tblPrEx>
          <w:tblLayout w:type="fixed"/>
          <w:tblCellMar>
            <w:top w:w="0" w:type="dxa"/>
            <w:left w:w="108" w:type="dxa"/>
            <w:bottom w:w="0" w:type="dxa"/>
            <w:right w:w="108" w:type="dxa"/>
          </w:tblCellMar>
        </w:tblPrEx>
        <w:trPr>
          <w:trHeight w:val="375" w:hRule="atLeast"/>
        </w:trPr>
        <w:tc>
          <w:tcPr>
            <w:tcW w:w="14158" w:type="dxa"/>
            <w:gridSpan w:val="13"/>
            <w:tcBorders>
              <w:top w:val="nil"/>
              <w:left w:val="nil"/>
              <w:bottom w:val="single" w:color="auto" w:sz="4" w:space="0"/>
              <w:right w:val="nil"/>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kern w:val="0"/>
                <w:sz w:val="28"/>
                <w:szCs w:val="28"/>
                <w:lang w:bidi="ar"/>
              </w:rPr>
            </w:pPr>
            <w:r>
              <w:rPr>
                <w:rFonts w:hint="eastAsia" w:ascii="方正兰亭纤黑简体" w:hAnsi="仿宋" w:eastAsia="方正兰亭纤黑简体" w:cs="仿宋"/>
                <w:b/>
                <w:bCs/>
                <w:kern w:val="0"/>
                <w:sz w:val="28"/>
                <w:szCs w:val="28"/>
                <w:lang w:bidi="ar"/>
              </w:rPr>
              <w:t>城市道路项目（新建完工）</w:t>
            </w:r>
          </w:p>
        </w:tc>
      </w:tr>
      <w:tr>
        <w:tblPrEx>
          <w:tblLayout w:type="fixed"/>
          <w:tblCellMar>
            <w:top w:w="0" w:type="dxa"/>
            <w:left w:w="108" w:type="dxa"/>
            <w:bottom w:w="0" w:type="dxa"/>
            <w:right w:w="108" w:type="dxa"/>
          </w:tblCellMar>
        </w:tblPrEx>
        <w:trPr>
          <w:trHeight w:val="315" w:hRule="atLeast"/>
        </w:trPr>
        <w:tc>
          <w:tcPr>
            <w:tcW w:w="532"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序号</w:t>
            </w:r>
          </w:p>
        </w:tc>
        <w:tc>
          <w:tcPr>
            <w:tcW w:w="1586"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项目名字</w:t>
            </w:r>
          </w:p>
        </w:tc>
        <w:tc>
          <w:tcPr>
            <w:tcW w:w="757"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责任单位</w:t>
            </w:r>
          </w:p>
        </w:tc>
        <w:tc>
          <w:tcPr>
            <w:tcW w:w="719"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建设性质</w:t>
            </w:r>
          </w:p>
        </w:tc>
        <w:tc>
          <w:tcPr>
            <w:tcW w:w="3310"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建设内容</w:t>
            </w:r>
          </w:p>
        </w:tc>
        <w:tc>
          <w:tcPr>
            <w:tcW w:w="719"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kern w:val="0"/>
                <w:sz w:val="21"/>
                <w:szCs w:val="21"/>
                <w:lang w:bidi="ar"/>
              </w:rPr>
            </w:pPr>
            <w:r>
              <w:rPr>
                <w:rFonts w:hint="eastAsia" w:ascii="方正兰亭纤黑简体" w:hAnsi="仿宋" w:eastAsia="方正兰亭纤黑简体" w:cs="仿宋"/>
                <w:b/>
                <w:bCs/>
                <w:kern w:val="0"/>
                <w:sz w:val="21"/>
                <w:szCs w:val="21"/>
                <w:lang w:bidi="ar"/>
              </w:rPr>
              <w:t>项目</w:t>
            </w:r>
          </w:p>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长度（km）</w:t>
            </w:r>
          </w:p>
        </w:tc>
        <w:tc>
          <w:tcPr>
            <w:tcW w:w="1008"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项目总投资（万元）</w:t>
            </w:r>
          </w:p>
        </w:tc>
        <w:tc>
          <w:tcPr>
            <w:tcW w:w="1008"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eastAsia="zh-CN" w:bidi="ar"/>
              </w:rPr>
              <w:t>“十四五”</w:t>
            </w:r>
            <w:r>
              <w:rPr>
                <w:rFonts w:hint="eastAsia" w:ascii="方正兰亭纤黑简体" w:hAnsi="仿宋" w:eastAsia="方正兰亭纤黑简体" w:cs="仿宋"/>
                <w:b/>
                <w:bCs/>
                <w:kern w:val="0"/>
                <w:sz w:val="21"/>
                <w:szCs w:val="21"/>
                <w:lang w:bidi="ar"/>
              </w:rPr>
              <w:t>计划投资（万元）</w:t>
            </w:r>
          </w:p>
        </w:tc>
        <w:tc>
          <w:tcPr>
            <w:tcW w:w="2879" w:type="dxa"/>
            <w:gridSpan w:val="3"/>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eastAsia="zh-CN" w:bidi="ar"/>
              </w:rPr>
              <w:t>“十四五”</w:t>
            </w:r>
            <w:r>
              <w:rPr>
                <w:rFonts w:hint="eastAsia" w:ascii="方正兰亭纤黑简体" w:hAnsi="仿宋" w:eastAsia="方正兰亭纤黑简体" w:cs="仿宋"/>
                <w:b/>
                <w:bCs/>
                <w:kern w:val="0"/>
                <w:sz w:val="21"/>
                <w:szCs w:val="21"/>
                <w:lang w:bidi="ar"/>
              </w:rPr>
              <w:t>计划投资分类（万元）</w:t>
            </w:r>
          </w:p>
        </w:tc>
        <w:tc>
          <w:tcPr>
            <w:tcW w:w="861"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开工时间</w:t>
            </w:r>
          </w:p>
        </w:tc>
        <w:tc>
          <w:tcPr>
            <w:tcW w:w="779"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竣工时间</w:t>
            </w:r>
          </w:p>
        </w:tc>
      </w:tr>
      <w:tr>
        <w:tblPrEx>
          <w:tblLayout w:type="fixed"/>
          <w:tblCellMar>
            <w:top w:w="0" w:type="dxa"/>
            <w:left w:w="108" w:type="dxa"/>
            <w:bottom w:w="0" w:type="dxa"/>
            <w:right w:w="108" w:type="dxa"/>
          </w:tblCellMar>
        </w:tblPrEx>
        <w:trPr>
          <w:trHeight w:val="630" w:hRule="atLeast"/>
        </w:trPr>
        <w:tc>
          <w:tcPr>
            <w:tcW w:w="532"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586"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757"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719"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3310"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719"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00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00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中央</w:t>
            </w:r>
            <w:r>
              <w:rPr>
                <w:rFonts w:ascii="方正兰亭纤黑简体" w:hAnsi="仿宋" w:eastAsia="方正兰亭纤黑简体" w:cs="仿宋"/>
                <w:b/>
                <w:bCs/>
                <w:kern w:val="0"/>
                <w:sz w:val="21"/>
                <w:szCs w:val="21"/>
                <w:lang w:bidi="ar"/>
              </w:rPr>
              <w:t>及</w:t>
            </w:r>
            <w:r>
              <w:rPr>
                <w:rFonts w:hint="eastAsia" w:ascii="方正兰亭纤黑简体" w:hAnsi="仿宋" w:eastAsia="方正兰亭纤黑简体" w:cs="仿宋"/>
                <w:b/>
                <w:bCs/>
                <w:kern w:val="0"/>
                <w:sz w:val="21"/>
                <w:szCs w:val="21"/>
                <w:lang w:bidi="ar"/>
              </w:rPr>
              <w:t>市级投资</w:t>
            </w:r>
          </w:p>
        </w:tc>
        <w:tc>
          <w:tcPr>
            <w:tcW w:w="1005"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区级投资</w:t>
            </w:r>
          </w:p>
        </w:tc>
        <w:tc>
          <w:tcPr>
            <w:tcW w:w="866"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其它</w:t>
            </w:r>
          </w:p>
        </w:tc>
        <w:tc>
          <w:tcPr>
            <w:tcW w:w="861"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779"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r>
      <w:tr>
        <w:tblPrEx>
          <w:tblLayout w:type="fixed"/>
          <w:tblCellMar>
            <w:top w:w="0" w:type="dxa"/>
            <w:left w:w="108" w:type="dxa"/>
            <w:bottom w:w="0" w:type="dxa"/>
            <w:right w:w="108" w:type="dxa"/>
          </w:tblCellMar>
        </w:tblPrEx>
        <w:trPr>
          <w:trHeight w:val="90" w:hRule="atLeast"/>
        </w:trPr>
        <w:tc>
          <w:tcPr>
            <w:tcW w:w="14158" w:type="dxa"/>
            <w:gridSpan w:val="13"/>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b/>
                <w:bCs/>
                <w:kern w:val="0"/>
                <w:sz w:val="21"/>
                <w:szCs w:val="21"/>
                <w:lang w:bidi="ar"/>
              </w:rPr>
              <w:t>一、快速通道</w:t>
            </w:r>
          </w:p>
        </w:tc>
      </w:tr>
      <w:tr>
        <w:tblPrEx>
          <w:tblLayout w:type="fixed"/>
          <w:tblCellMar>
            <w:top w:w="0" w:type="dxa"/>
            <w:left w:w="108" w:type="dxa"/>
            <w:bottom w:w="0" w:type="dxa"/>
            <w:right w:w="108" w:type="dxa"/>
          </w:tblCellMar>
        </w:tblPrEx>
        <w:trPr>
          <w:trHeight w:val="1030" w:hRule="atLeast"/>
        </w:trPr>
        <w:tc>
          <w:tcPr>
            <w:tcW w:w="53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1</w:t>
            </w:r>
          </w:p>
        </w:tc>
        <w:tc>
          <w:tcPr>
            <w:tcW w:w="1586"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宝顶山景区至北山景区快速通道（S302渡槽至龙岗新建工程）</w:t>
            </w:r>
          </w:p>
        </w:tc>
        <w:tc>
          <w:tcPr>
            <w:tcW w:w="757"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区交通局</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310"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含一条主线和一条至北山景区的连接线。起点与即将升级改造的S309于倒庙村附近相交，路线自东向西布设至大柏树垭口，设880米宝棠隧道穿越贺家坡山体，以桥梁跨越芋禾沟至惜字阁，随后道路偏向西南沿惜字阁山体南侧布设，设龙塘沟大桥，道路沿黄木岭南侧山体布设，随后设1800米龙岗隧道穿越山体后止于二环西路与即将升级改造的S106相交处，路线全长7.059km，按80km/h设计时速、路基宽24.5m的一级公路技术标准进行建设。连接线起于主线K3+873处，路线向南布设，沿主线南侧山体依山就势展线至规划景区，采用双向两车道三级公路断面，路基全宽7.5m。路线全长2.344km。</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9.4</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124431</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124431</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6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6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c>
          <w:tcPr>
            <w:tcW w:w="77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r>
      <w:tr>
        <w:tblPrEx>
          <w:tblLayout w:type="fixed"/>
          <w:tblCellMar>
            <w:top w:w="0" w:type="dxa"/>
            <w:left w:w="108" w:type="dxa"/>
            <w:bottom w:w="0" w:type="dxa"/>
            <w:right w:w="108" w:type="dxa"/>
          </w:tblCellMar>
        </w:tblPrEx>
        <w:trPr>
          <w:trHeight w:val="1030" w:hRule="atLeast"/>
        </w:trPr>
        <w:tc>
          <w:tcPr>
            <w:tcW w:w="53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w:t>
            </w:r>
          </w:p>
        </w:tc>
        <w:tc>
          <w:tcPr>
            <w:tcW w:w="158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大足城区至中敖快速通道（G246大足城区至中敖升级工程）</w:t>
            </w:r>
          </w:p>
        </w:tc>
        <w:tc>
          <w:tcPr>
            <w:tcW w:w="7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海棠新城开发区/区交通局</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31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升级改造城区至中敖快速通道，全长约9.803公里，采用双向四车道（城区段双向六车道），路基宽度19米</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9.75</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49000</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49000</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6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6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7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r>
      <w:tr>
        <w:tblPrEx>
          <w:tblLayout w:type="fixed"/>
          <w:tblCellMar>
            <w:top w:w="0" w:type="dxa"/>
            <w:left w:w="108" w:type="dxa"/>
            <w:bottom w:w="0" w:type="dxa"/>
            <w:right w:w="108" w:type="dxa"/>
          </w:tblCellMar>
        </w:tblPrEx>
        <w:trPr>
          <w:trHeight w:val="90" w:hRule="atLeast"/>
        </w:trPr>
        <w:tc>
          <w:tcPr>
            <w:tcW w:w="14158" w:type="dxa"/>
            <w:gridSpan w:val="13"/>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b/>
                <w:bCs/>
                <w:kern w:val="0"/>
                <w:sz w:val="21"/>
                <w:szCs w:val="21"/>
                <w:lang w:bidi="ar"/>
              </w:rPr>
              <w:t>二、城市主干路</w:t>
            </w:r>
          </w:p>
        </w:tc>
      </w:tr>
      <w:tr>
        <w:tblPrEx>
          <w:tblLayout w:type="fixed"/>
          <w:tblCellMar>
            <w:top w:w="0" w:type="dxa"/>
            <w:left w:w="108" w:type="dxa"/>
            <w:bottom w:w="0" w:type="dxa"/>
            <w:right w:w="108" w:type="dxa"/>
          </w:tblCellMar>
        </w:tblPrEx>
        <w:trPr>
          <w:trHeight w:val="1030" w:hRule="atLeast"/>
        </w:trPr>
        <w:tc>
          <w:tcPr>
            <w:tcW w:w="53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w:t>
            </w:r>
          </w:p>
        </w:tc>
        <w:tc>
          <w:tcPr>
            <w:tcW w:w="158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天宫河片区景城融合项目一期（北厅两横道路）</w:t>
            </w:r>
          </w:p>
        </w:tc>
        <w:tc>
          <w:tcPr>
            <w:tcW w:w="7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海棠新城开发区</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31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北厅的市政道路两横建设，包括规划道路长840米，宽36米，规划道路630米，宽24米。包括道路、给排水等市政管网、照明、交通设施和绿化工程。</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1.48</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13000</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13000</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13000</w:t>
            </w:r>
          </w:p>
        </w:tc>
        <w:tc>
          <w:tcPr>
            <w:tcW w:w="86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6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7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1030" w:hRule="atLeast"/>
        </w:trPr>
        <w:tc>
          <w:tcPr>
            <w:tcW w:w="53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w:t>
            </w:r>
          </w:p>
        </w:tc>
        <w:tc>
          <w:tcPr>
            <w:tcW w:w="158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北厅一纵一横道路</w:t>
            </w:r>
          </w:p>
        </w:tc>
        <w:tc>
          <w:tcPr>
            <w:tcW w:w="7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海棠新城开发区</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31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主要建设内容包括北厅西侧一纵市政道路5500米，路幅宽度36米；北厅一横市政道路605米，路幅宽度30米；包括道路、涵洞、综合管廊、桥梁、排水、照明、交通设施和绿化工程等。</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6.1</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87000</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87000</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87000</w:t>
            </w:r>
          </w:p>
        </w:tc>
        <w:tc>
          <w:tcPr>
            <w:tcW w:w="86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6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7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1030" w:hRule="atLeast"/>
        </w:trPr>
        <w:tc>
          <w:tcPr>
            <w:tcW w:w="53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w:t>
            </w:r>
          </w:p>
        </w:tc>
        <w:tc>
          <w:tcPr>
            <w:tcW w:w="158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累丰路延伸段</w:t>
            </w:r>
          </w:p>
        </w:tc>
        <w:tc>
          <w:tcPr>
            <w:tcW w:w="7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31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道路为东西走向，全长约0.3km，西至现状三环路，东接现状累丰路</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0.3</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3000</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3000</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3000</w:t>
            </w:r>
          </w:p>
        </w:tc>
        <w:tc>
          <w:tcPr>
            <w:tcW w:w="86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6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c>
          <w:tcPr>
            <w:tcW w:w="77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548" w:hRule="atLeast"/>
        </w:trPr>
        <w:tc>
          <w:tcPr>
            <w:tcW w:w="14158" w:type="dxa"/>
            <w:gridSpan w:val="13"/>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b/>
                <w:bCs/>
                <w:kern w:val="0"/>
                <w:sz w:val="21"/>
                <w:szCs w:val="21"/>
                <w:lang w:bidi="ar"/>
              </w:rPr>
              <w:t>三、城市次干路及支路</w:t>
            </w:r>
          </w:p>
        </w:tc>
      </w:tr>
      <w:tr>
        <w:tblPrEx>
          <w:tblLayout w:type="fixed"/>
          <w:tblCellMar>
            <w:top w:w="0" w:type="dxa"/>
            <w:left w:w="108" w:type="dxa"/>
            <w:bottom w:w="0" w:type="dxa"/>
            <w:right w:w="108" w:type="dxa"/>
          </w:tblCellMar>
        </w:tblPrEx>
        <w:trPr>
          <w:trHeight w:val="1030" w:hRule="atLeast"/>
        </w:trPr>
        <w:tc>
          <w:tcPr>
            <w:tcW w:w="53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w:t>
            </w:r>
          </w:p>
        </w:tc>
        <w:tc>
          <w:tcPr>
            <w:tcW w:w="158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龙凤路</w:t>
            </w:r>
          </w:p>
        </w:tc>
        <w:tc>
          <w:tcPr>
            <w:tcW w:w="7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发展集团</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31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龙凤路约365米。</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0.37</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2500</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2500</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2500</w:t>
            </w:r>
          </w:p>
        </w:tc>
        <w:tc>
          <w:tcPr>
            <w:tcW w:w="86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6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c>
          <w:tcPr>
            <w:tcW w:w="77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1030" w:hRule="atLeast"/>
        </w:trPr>
        <w:tc>
          <w:tcPr>
            <w:tcW w:w="53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w:t>
            </w:r>
          </w:p>
        </w:tc>
        <w:tc>
          <w:tcPr>
            <w:tcW w:w="158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金福路延伸段</w:t>
            </w:r>
          </w:p>
        </w:tc>
        <w:tc>
          <w:tcPr>
            <w:tcW w:w="7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31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道路为东西走向，路幅宽度18米，全长约0.3km，西至现状三环路，东接现状金福路</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0.3</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1700</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1700</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1700</w:t>
            </w:r>
          </w:p>
        </w:tc>
        <w:tc>
          <w:tcPr>
            <w:tcW w:w="86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6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c>
          <w:tcPr>
            <w:tcW w:w="77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1030" w:hRule="atLeast"/>
        </w:trPr>
        <w:tc>
          <w:tcPr>
            <w:tcW w:w="53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w:t>
            </w:r>
          </w:p>
        </w:tc>
        <w:tc>
          <w:tcPr>
            <w:tcW w:w="158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香国公园棠溪路、云雾路</w:t>
            </w:r>
          </w:p>
        </w:tc>
        <w:tc>
          <w:tcPr>
            <w:tcW w:w="7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棠香街道</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31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棠溪路约320米，宽16米，车行道8米，人行道面积2560平方米；云雾路约380米，宽16米，车行道8米，人行道约3040平方米。配套建设地下管网，消防栓5具，路灯等</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0.7</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3763</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3763</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3763</w:t>
            </w:r>
          </w:p>
        </w:tc>
        <w:tc>
          <w:tcPr>
            <w:tcW w:w="86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6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c>
          <w:tcPr>
            <w:tcW w:w="77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r>
      <w:tr>
        <w:tblPrEx>
          <w:tblLayout w:type="fixed"/>
          <w:tblCellMar>
            <w:top w:w="0" w:type="dxa"/>
            <w:left w:w="108" w:type="dxa"/>
            <w:bottom w:w="0" w:type="dxa"/>
            <w:right w:w="108" w:type="dxa"/>
          </w:tblCellMar>
        </w:tblPrEx>
        <w:trPr>
          <w:trHeight w:val="1030" w:hRule="atLeast"/>
        </w:trPr>
        <w:tc>
          <w:tcPr>
            <w:tcW w:w="53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w:t>
            </w:r>
          </w:p>
        </w:tc>
        <w:tc>
          <w:tcPr>
            <w:tcW w:w="158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高新区市政道路建设（经东六路、纬四路、纬东二路、纬五路、纬六路纬东三路；纬东四路、纬东五路（末段）、经东七路）</w:t>
            </w:r>
          </w:p>
        </w:tc>
        <w:tc>
          <w:tcPr>
            <w:tcW w:w="7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万古</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31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经东六路长约2009.86米，宽16米，人行道面积12059.16平方米。纬四路长613.08米，宽16米，人行道面积3678平方米。纬东二路长约750米、纬五路长约337米、纬六路长约750.1米，纬东三路长约1125.000m；纬东四路长750.000m；纬东五路（末段）长约304.814m，经东七路道路全长2480米，设计车速40km/h，路幅宽30米，双向6车道，路面为沥青混凝土，人行道面积14880平方米，消防栓21个。</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9</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31350</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31350</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31350</w:t>
            </w:r>
          </w:p>
        </w:tc>
        <w:tc>
          <w:tcPr>
            <w:tcW w:w="86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6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2021</w:t>
            </w:r>
          </w:p>
        </w:tc>
        <w:tc>
          <w:tcPr>
            <w:tcW w:w="77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r>
      <w:tr>
        <w:tblPrEx>
          <w:tblLayout w:type="fixed"/>
          <w:tblCellMar>
            <w:top w:w="0" w:type="dxa"/>
            <w:left w:w="108" w:type="dxa"/>
            <w:bottom w:w="0" w:type="dxa"/>
            <w:right w:w="108" w:type="dxa"/>
          </w:tblCellMar>
        </w:tblPrEx>
        <w:trPr>
          <w:trHeight w:val="1030" w:hRule="atLeast"/>
        </w:trPr>
        <w:tc>
          <w:tcPr>
            <w:tcW w:w="53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w:t>
            </w:r>
          </w:p>
        </w:tc>
        <w:tc>
          <w:tcPr>
            <w:tcW w:w="158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水峰片区城中村改造及配套市政道路工程</w:t>
            </w:r>
          </w:p>
        </w:tc>
        <w:tc>
          <w:tcPr>
            <w:tcW w:w="7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发展集团</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31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项目道路包括地块右侧道路1和地块北侧道路2，道路共计926米。道路1全长310米，标准路幅宽24米，设计车速30km/h，为城市次干路，双向四车道，采用沥青混凝土路面，道路2全长616米，标准路幅宽16米，设计车速30km/h，为城市支路，双向2车道。</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0.93</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5574</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5574</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6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5574</w:t>
            </w:r>
          </w:p>
        </w:tc>
        <w:tc>
          <w:tcPr>
            <w:tcW w:w="86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7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r>
      <w:tr>
        <w:tblPrEx>
          <w:tblLayout w:type="fixed"/>
          <w:tblCellMar>
            <w:top w:w="0" w:type="dxa"/>
            <w:left w:w="108" w:type="dxa"/>
            <w:bottom w:w="0" w:type="dxa"/>
            <w:right w:w="108" w:type="dxa"/>
          </w:tblCellMar>
        </w:tblPrEx>
        <w:trPr>
          <w:trHeight w:val="1030" w:hRule="atLeast"/>
        </w:trPr>
        <w:tc>
          <w:tcPr>
            <w:tcW w:w="53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w:t>
            </w:r>
          </w:p>
        </w:tc>
        <w:tc>
          <w:tcPr>
            <w:tcW w:w="158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kern w:val="0"/>
                <w:sz w:val="21"/>
                <w:szCs w:val="21"/>
                <w:lang w:bidi="ar"/>
              </w:rPr>
            </w:pPr>
            <w:r>
              <w:rPr>
                <w:rFonts w:hint="eastAsia" w:ascii="方正兰亭纤黑简体" w:hAnsi="仿宋" w:eastAsia="方正兰亭纤黑简体" w:cs="仿宋"/>
                <w:color w:val="FF0000"/>
                <w:kern w:val="0"/>
                <w:sz w:val="21"/>
                <w:szCs w:val="21"/>
                <w:lang w:bidi="ar"/>
              </w:rPr>
              <w:t>大足石刻文化城石窟寺保护利用国际交流基地三条配套道路</w:t>
            </w:r>
          </w:p>
        </w:tc>
        <w:tc>
          <w:tcPr>
            <w:tcW w:w="7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w:t>
            </w:r>
            <w:r>
              <w:rPr>
                <w:rFonts w:hint="eastAsia" w:ascii="方正兰亭纤黑简体" w:hAnsi="仿宋" w:eastAsia="方正兰亭纤黑简体" w:cs="仿宋"/>
                <w:kern w:val="0"/>
                <w:sz w:val="21"/>
                <w:szCs w:val="21"/>
                <w:lang w:bidi="ar"/>
              </w:rPr>
              <w:br w:type="textWrapping"/>
            </w:r>
            <w:r>
              <w:rPr>
                <w:rFonts w:hint="eastAsia" w:ascii="方正兰亭纤黑简体" w:hAnsi="仿宋" w:eastAsia="方正兰亭纤黑简体" w:cs="仿宋"/>
                <w:kern w:val="0"/>
                <w:sz w:val="21"/>
                <w:szCs w:val="21"/>
                <w:lang w:bidi="ar"/>
              </w:rPr>
              <w:t>开发区</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31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kern w:val="0"/>
                <w:sz w:val="21"/>
                <w:szCs w:val="21"/>
                <w:lang w:bidi="ar"/>
              </w:rPr>
            </w:pPr>
            <w:r>
              <w:rPr>
                <w:rFonts w:hint="eastAsia" w:ascii="方正兰亭纤黑简体" w:hAnsi="仿宋" w:eastAsia="方正兰亭纤黑简体" w:cs="仿宋"/>
                <w:color w:val="FF0000"/>
                <w:kern w:val="0"/>
                <w:sz w:val="21"/>
                <w:szCs w:val="21"/>
                <w:lang w:bidi="ar"/>
              </w:rPr>
              <w:t>新建石窟寺保护利用国际交流基地三条配套道路总长2.585公里，计划2024年完工：昌龙路1000米，路幅宽度50米；佛都大道延伸1085米，路幅宽度24米；规划道路500米，路幅宽度24米；包括道路、涵洞、综合管廊、桥梁、排水、照明、交通设施和绿化工程。</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kern w:val="0"/>
                <w:sz w:val="21"/>
                <w:szCs w:val="21"/>
                <w:lang w:bidi="ar"/>
              </w:rPr>
            </w:pPr>
            <w:r>
              <w:rPr>
                <w:rFonts w:hint="eastAsia" w:ascii="方正兰亭纤黑简体" w:hAnsi="仿宋" w:eastAsia="方正兰亭纤黑简体" w:cs="仿宋"/>
                <w:color w:val="FF0000"/>
                <w:kern w:val="0"/>
                <w:sz w:val="21"/>
                <w:szCs w:val="21"/>
                <w:lang w:bidi="ar"/>
              </w:rPr>
              <w:t>2.585</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26000</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26000</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6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26000</w:t>
            </w:r>
          </w:p>
        </w:tc>
        <w:tc>
          <w:tcPr>
            <w:tcW w:w="86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7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r>
      <w:tr>
        <w:tblPrEx>
          <w:tblLayout w:type="fixed"/>
          <w:tblCellMar>
            <w:top w:w="0" w:type="dxa"/>
            <w:left w:w="108" w:type="dxa"/>
            <w:bottom w:w="0" w:type="dxa"/>
            <w:right w:w="108" w:type="dxa"/>
          </w:tblCellMar>
        </w:tblPrEx>
        <w:trPr>
          <w:trHeight w:val="1030" w:hRule="atLeast"/>
        </w:trPr>
        <w:tc>
          <w:tcPr>
            <w:tcW w:w="53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w:t>
            </w:r>
          </w:p>
        </w:tc>
        <w:tc>
          <w:tcPr>
            <w:tcW w:w="158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人民医院北侧市政道路</w:t>
            </w:r>
          </w:p>
        </w:tc>
        <w:tc>
          <w:tcPr>
            <w:tcW w:w="7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区卫健委</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31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位于人民医院与梧桐阅府小区之间，道路全长约430米，宽12米，人行道面积2150</w:t>
            </w:r>
            <w:r>
              <w:rPr>
                <w:rFonts w:hint="eastAsia" w:ascii="Batang" w:hAnsi="Batang" w:eastAsia="Batang" w:cs="Batang"/>
                <w:kern w:val="0"/>
                <w:sz w:val="21"/>
                <w:szCs w:val="21"/>
                <w:lang w:bidi="ar"/>
              </w:rPr>
              <w:t>㎡</w:t>
            </w:r>
            <w:r>
              <w:rPr>
                <w:rFonts w:hint="eastAsia" w:ascii="方正兰亭纤黑简体" w:hAnsi="方正兰亭纤黑简体" w:eastAsia="方正兰亭纤黑简体" w:cs="方正兰亭纤黑简体"/>
                <w:kern w:val="0"/>
                <w:sz w:val="21"/>
                <w:szCs w:val="21"/>
                <w:lang w:bidi="ar"/>
              </w:rPr>
              <w:t>，消火栓</w:t>
            </w:r>
            <w:r>
              <w:rPr>
                <w:rFonts w:hint="eastAsia" w:ascii="方正兰亭纤黑简体" w:hAnsi="仿宋" w:eastAsia="方正兰亭纤黑简体" w:cs="仿宋"/>
                <w:kern w:val="0"/>
                <w:sz w:val="21"/>
                <w:szCs w:val="21"/>
                <w:lang w:bidi="ar"/>
              </w:rPr>
              <w:t>3具。</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0.43</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1950</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1950</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6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1950</w:t>
            </w:r>
          </w:p>
        </w:tc>
        <w:tc>
          <w:tcPr>
            <w:tcW w:w="86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c>
          <w:tcPr>
            <w:tcW w:w="77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r>
      <w:tr>
        <w:tblPrEx>
          <w:tblLayout w:type="fixed"/>
          <w:tblCellMar>
            <w:top w:w="0" w:type="dxa"/>
            <w:left w:w="108" w:type="dxa"/>
            <w:bottom w:w="0" w:type="dxa"/>
            <w:right w:w="108" w:type="dxa"/>
          </w:tblCellMar>
        </w:tblPrEx>
        <w:trPr>
          <w:trHeight w:val="1030" w:hRule="atLeast"/>
        </w:trPr>
        <w:tc>
          <w:tcPr>
            <w:tcW w:w="53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w:t>
            </w:r>
          </w:p>
        </w:tc>
        <w:tc>
          <w:tcPr>
            <w:tcW w:w="158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天宫河片区开发道路项目</w:t>
            </w:r>
          </w:p>
        </w:tc>
        <w:tc>
          <w:tcPr>
            <w:tcW w:w="7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海棠新城开发区</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31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本项目拟建七条道路总长6178米，包括：梅家冲路1023米、菡萏路1862米、龙凤路604米、田坝路431米、启智路586米、东序支路604米、莲北路258米。</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6.178</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38000</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38000</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6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38000</w:t>
            </w:r>
          </w:p>
        </w:tc>
        <w:tc>
          <w:tcPr>
            <w:tcW w:w="86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2021</w:t>
            </w:r>
          </w:p>
        </w:tc>
        <w:tc>
          <w:tcPr>
            <w:tcW w:w="77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r>
      <w:tr>
        <w:tblPrEx>
          <w:tblLayout w:type="fixed"/>
          <w:tblCellMar>
            <w:top w:w="0" w:type="dxa"/>
            <w:left w:w="108" w:type="dxa"/>
            <w:bottom w:w="0" w:type="dxa"/>
            <w:right w:w="108" w:type="dxa"/>
          </w:tblCellMar>
        </w:tblPrEx>
        <w:trPr>
          <w:trHeight w:val="1030" w:hRule="atLeast"/>
        </w:trPr>
        <w:tc>
          <w:tcPr>
            <w:tcW w:w="53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9</w:t>
            </w:r>
          </w:p>
        </w:tc>
        <w:tc>
          <w:tcPr>
            <w:tcW w:w="158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大足工业园区东部片区开发及配套基础设施工程(一期)</w:t>
            </w:r>
          </w:p>
        </w:tc>
        <w:tc>
          <w:tcPr>
            <w:tcW w:w="7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kern w:val="0"/>
                <w:sz w:val="21"/>
                <w:szCs w:val="21"/>
                <w:lang w:bidi="ar"/>
              </w:rPr>
            </w:pPr>
            <w:r>
              <w:rPr>
                <w:rFonts w:hint="eastAsia" w:ascii="方正兰亭纤黑简体" w:hAnsi="仿宋" w:eastAsia="方正兰亭纤黑简体" w:cs="仿宋"/>
                <w:color w:val="FF0000"/>
                <w:kern w:val="0"/>
                <w:sz w:val="21"/>
                <w:szCs w:val="21"/>
                <w:lang w:bidi="ar"/>
              </w:rPr>
              <w:t>大足工业园区、</w:t>
            </w:r>
            <w:r>
              <w:rPr>
                <w:rFonts w:ascii="方正兰亭纤黑简体" w:hAnsi="仿宋" w:eastAsia="方正兰亭纤黑简体" w:cs="仿宋"/>
                <w:color w:val="FF0000"/>
                <w:kern w:val="0"/>
                <w:sz w:val="21"/>
                <w:szCs w:val="21"/>
                <w:lang w:bidi="ar"/>
              </w:rPr>
              <w:t>高科集团</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31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本项目为工业干道以北区域，道路工程包括北三路、北二路、北一路、东一路北段、东二路北段，共5条新建道路，总长5007m.，其中北一路:总长约998m，北二路:总长约903m，北三路:总长约789m，东二路北段（工业纵三路北段）:总长约1665m，东一路北段（工业纵四路）总长:约652m</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6900</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6900</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6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6900</w:t>
            </w:r>
          </w:p>
        </w:tc>
        <w:tc>
          <w:tcPr>
            <w:tcW w:w="86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7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r>
      <w:tr>
        <w:tblPrEx>
          <w:tblLayout w:type="fixed"/>
          <w:tblCellMar>
            <w:top w:w="0" w:type="dxa"/>
            <w:left w:w="108" w:type="dxa"/>
            <w:bottom w:w="0" w:type="dxa"/>
            <w:right w:w="108" w:type="dxa"/>
          </w:tblCellMar>
        </w:tblPrEx>
        <w:trPr>
          <w:trHeight w:val="1030" w:hRule="atLeast"/>
        </w:trPr>
        <w:tc>
          <w:tcPr>
            <w:tcW w:w="53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w:t>
            </w:r>
          </w:p>
        </w:tc>
        <w:tc>
          <w:tcPr>
            <w:tcW w:w="158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大足石刻文创园附属设施二期道路（一标段）</w:t>
            </w:r>
          </w:p>
        </w:tc>
        <w:tc>
          <w:tcPr>
            <w:tcW w:w="7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kern w:val="0"/>
                <w:sz w:val="21"/>
                <w:szCs w:val="21"/>
                <w:lang w:bidi="ar"/>
              </w:rPr>
            </w:pPr>
            <w:r>
              <w:rPr>
                <w:rFonts w:hint="eastAsia" w:ascii="方正兰亭纤黑简体" w:hAnsi="仿宋" w:eastAsia="方正兰亭纤黑简体" w:cs="仿宋"/>
                <w:color w:val="FF0000"/>
                <w:kern w:val="0"/>
                <w:sz w:val="21"/>
                <w:szCs w:val="21"/>
                <w:lang w:bidi="ar"/>
              </w:rPr>
              <w:t>大足石刻文创园</w:t>
            </w:r>
            <w:r>
              <w:rPr>
                <w:rFonts w:ascii="方正兰亭纤黑简体" w:hAnsi="仿宋" w:eastAsia="方正兰亭纤黑简体" w:cs="仿宋"/>
                <w:color w:val="FF0000"/>
                <w:kern w:val="0"/>
                <w:sz w:val="21"/>
                <w:szCs w:val="21"/>
                <w:lang w:bidi="ar"/>
              </w:rPr>
              <w:t>、高科集团</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31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建及改扩青石路、玉义路、流纹路、千枚路、枚岩路、玄武路西、云母路等7条市政道路，总长度约3.2km，包括道路工程、桥梁工程、给排水工程、照明工程、燃气工程、通信工程、交通工程、绿化工程、景观工程、相应的土石方工程及其他附属配套工程等。</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3.2</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10000</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10000</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6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10000</w:t>
            </w:r>
          </w:p>
        </w:tc>
        <w:tc>
          <w:tcPr>
            <w:tcW w:w="86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c>
          <w:tcPr>
            <w:tcW w:w="77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r>
      <w:tr>
        <w:tblPrEx>
          <w:tblLayout w:type="fixed"/>
          <w:tblCellMar>
            <w:top w:w="0" w:type="dxa"/>
            <w:left w:w="108" w:type="dxa"/>
            <w:bottom w:w="0" w:type="dxa"/>
            <w:right w:w="108" w:type="dxa"/>
          </w:tblCellMar>
        </w:tblPrEx>
        <w:trPr>
          <w:trHeight w:val="1030" w:hRule="atLeast"/>
        </w:trPr>
        <w:tc>
          <w:tcPr>
            <w:tcW w:w="53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11</w:t>
            </w:r>
          </w:p>
        </w:tc>
        <w:tc>
          <w:tcPr>
            <w:tcW w:w="158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大足石刻文创园附属设施建设二期项目（青田路、凝灰路、正合路、花岗路北段、玉金路）</w:t>
            </w:r>
          </w:p>
        </w:tc>
        <w:tc>
          <w:tcPr>
            <w:tcW w:w="7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color w:val="FF0000"/>
                <w:kern w:val="0"/>
                <w:sz w:val="21"/>
                <w:szCs w:val="21"/>
                <w:lang w:bidi="ar"/>
              </w:rPr>
              <w:t>大足石刻文创园</w:t>
            </w:r>
            <w:r>
              <w:rPr>
                <w:rFonts w:ascii="方正兰亭纤黑简体" w:hAnsi="仿宋" w:eastAsia="方正兰亭纤黑简体" w:cs="仿宋"/>
                <w:color w:val="FF0000"/>
                <w:kern w:val="0"/>
                <w:sz w:val="21"/>
                <w:szCs w:val="21"/>
                <w:lang w:bidi="ar"/>
              </w:rPr>
              <w:t>、高科集团</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31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凝灰路403.91m，道路等级为城市支路，标准路幅宽14m，双向2车道，设计车速30Km/h；正合路378.93m，道路等级为城市支路，标准路幅宽16m，双向2车道，设计车速30Km/h；青田路219.51m，道路等级为城市次干路，标准路幅宽30m，双向6车道，设计车速40Km/h。1、新建玉金路:  道路长约632.024m,设计速度50km/h,城市主干路,标准路幅宽度30m,双向六车道。2、新建花岗路北段: 道路长约230.047m,设计速度40km/h,城市次干路,标准路幅宽度22m,双向四车道。</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1.9</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7300</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7300</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6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7300</w:t>
            </w:r>
          </w:p>
        </w:tc>
        <w:tc>
          <w:tcPr>
            <w:tcW w:w="86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c>
          <w:tcPr>
            <w:tcW w:w="77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r>
      <w:tr>
        <w:tblPrEx>
          <w:tblLayout w:type="fixed"/>
          <w:tblCellMar>
            <w:top w:w="0" w:type="dxa"/>
            <w:left w:w="108" w:type="dxa"/>
            <w:bottom w:w="0" w:type="dxa"/>
            <w:right w:w="108" w:type="dxa"/>
          </w:tblCellMar>
        </w:tblPrEx>
        <w:trPr>
          <w:trHeight w:val="1030" w:hRule="atLeast"/>
        </w:trPr>
        <w:tc>
          <w:tcPr>
            <w:tcW w:w="53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12</w:t>
            </w:r>
          </w:p>
        </w:tc>
        <w:tc>
          <w:tcPr>
            <w:tcW w:w="158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重庆市大足区化龙溪流域综合整治项目（沿河一纵道路）</w:t>
            </w:r>
          </w:p>
        </w:tc>
        <w:tc>
          <w:tcPr>
            <w:tcW w:w="7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海棠新城开发区</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31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沿河一纵道路4100米，路幅宽度24米；包括道路、涵洞、桥梁、给排水等市政管网、照明、交通设施和绿化工程。</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4.1</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27000</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27000</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6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27000</w:t>
            </w:r>
          </w:p>
        </w:tc>
        <w:tc>
          <w:tcPr>
            <w:tcW w:w="86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7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1030" w:hRule="atLeast"/>
        </w:trPr>
        <w:tc>
          <w:tcPr>
            <w:tcW w:w="53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13</w:t>
            </w:r>
          </w:p>
        </w:tc>
        <w:tc>
          <w:tcPr>
            <w:tcW w:w="158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天宫河片区景城融合项目一期（新南路、</w:t>
            </w:r>
            <w:r>
              <w:rPr>
                <w:rFonts w:hint="eastAsia" w:ascii="方正兰亭纤黑简体" w:hAnsi="仿宋" w:eastAsia="方正兰亭纤黑简体" w:cs="仿宋"/>
                <w:color w:val="FF0000"/>
                <w:kern w:val="0"/>
                <w:sz w:val="21"/>
                <w:szCs w:val="21"/>
                <w:lang w:bidi="ar"/>
              </w:rPr>
              <w:t>海棠公园</w:t>
            </w:r>
            <w:r>
              <w:rPr>
                <w:rFonts w:ascii="方正兰亭纤黑简体" w:hAnsi="仿宋" w:eastAsia="方正兰亭纤黑简体" w:cs="仿宋"/>
                <w:color w:val="FF0000"/>
                <w:kern w:val="0"/>
                <w:sz w:val="21"/>
                <w:szCs w:val="21"/>
                <w:lang w:bidi="ar"/>
              </w:rPr>
              <w:t>周边道路</w:t>
            </w:r>
            <w:r>
              <w:rPr>
                <w:rFonts w:hint="eastAsia" w:ascii="方正兰亭纤黑简体" w:hAnsi="仿宋" w:eastAsia="方正兰亭纤黑简体" w:cs="仿宋"/>
                <w:kern w:val="0"/>
                <w:sz w:val="21"/>
                <w:szCs w:val="21"/>
                <w:lang w:bidi="ar"/>
              </w:rPr>
              <w:t>、茅里堡水厂周边道路）</w:t>
            </w:r>
          </w:p>
        </w:tc>
        <w:tc>
          <w:tcPr>
            <w:tcW w:w="7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海棠新城开发区</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31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南厅的部分市政道路建设，包括新南路长1130米、</w:t>
            </w:r>
            <w:r>
              <w:rPr>
                <w:rFonts w:hint="eastAsia" w:ascii="方正兰亭纤黑简体" w:hAnsi="仿宋" w:eastAsia="方正兰亭纤黑简体" w:cs="仿宋"/>
                <w:color w:val="FF0000"/>
                <w:kern w:val="0"/>
                <w:sz w:val="21"/>
                <w:szCs w:val="21"/>
                <w:lang w:bidi="ar"/>
              </w:rPr>
              <w:t>海棠公园</w:t>
            </w:r>
            <w:r>
              <w:rPr>
                <w:rFonts w:ascii="方正兰亭纤黑简体" w:hAnsi="仿宋" w:eastAsia="方正兰亭纤黑简体" w:cs="仿宋"/>
                <w:color w:val="FF0000"/>
                <w:kern w:val="0"/>
                <w:sz w:val="21"/>
                <w:szCs w:val="21"/>
                <w:lang w:bidi="ar"/>
              </w:rPr>
              <w:t>周边道路</w:t>
            </w:r>
            <w:r>
              <w:rPr>
                <w:rFonts w:hint="eastAsia" w:ascii="方正兰亭纤黑简体" w:hAnsi="仿宋" w:eastAsia="方正兰亭纤黑简体" w:cs="仿宋"/>
                <w:kern w:val="0"/>
                <w:sz w:val="21"/>
                <w:szCs w:val="21"/>
                <w:lang w:bidi="ar"/>
              </w:rPr>
              <w:t>1285米，宽16至24米、茅里堡水厂周边道路工程1480米，宽16至24米。包括道路、给排水等市政管网、交通设施和绿化工程。</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3.895</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43000</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43000</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6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43000</w:t>
            </w:r>
          </w:p>
        </w:tc>
        <w:tc>
          <w:tcPr>
            <w:tcW w:w="86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7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1030" w:hRule="atLeast"/>
        </w:trPr>
        <w:tc>
          <w:tcPr>
            <w:tcW w:w="53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14</w:t>
            </w:r>
          </w:p>
        </w:tc>
        <w:tc>
          <w:tcPr>
            <w:tcW w:w="158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支路二/三/九</w:t>
            </w:r>
          </w:p>
        </w:tc>
        <w:tc>
          <w:tcPr>
            <w:tcW w:w="7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万古</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31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万古片区支路3条</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6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6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7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r>
      <w:tr>
        <w:tblPrEx>
          <w:tblLayout w:type="fixed"/>
          <w:tblCellMar>
            <w:top w:w="0" w:type="dxa"/>
            <w:left w:w="108" w:type="dxa"/>
            <w:bottom w:w="0" w:type="dxa"/>
            <w:right w:w="108" w:type="dxa"/>
          </w:tblCellMar>
        </w:tblPrEx>
        <w:trPr>
          <w:trHeight w:val="510" w:hRule="atLeast"/>
        </w:trPr>
        <w:tc>
          <w:tcPr>
            <w:tcW w:w="14158" w:type="dxa"/>
            <w:gridSpan w:val="13"/>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b/>
                <w:bCs/>
                <w:kern w:val="0"/>
                <w:sz w:val="21"/>
                <w:szCs w:val="21"/>
                <w:lang w:bidi="ar"/>
              </w:rPr>
              <w:t>四、路网更新</w:t>
            </w:r>
          </w:p>
        </w:tc>
      </w:tr>
      <w:tr>
        <w:tblPrEx>
          <w:tblLayout w:type="fixed"/>
          <w:tblCellMar>
            <w:top w:w="0" w:type="dxa"/>
            <w:left w:w="108" w:type="dxa"/>
            <w:bottom w:w="0" w:type="dxa"/>
            <w:right w:w="108" w:type="dxa"/>
          </w:tblCellMar>
        </w:tblPrEx>
        <w:trPr>
          <w:trHeight w:val="1030" w:hRule="atLeast"/>
        </w:trPr>
        <w:tc>
          <w:tcPr>
            <w:tcW w:w="53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w:t>
            </w:r>
          </w:p>
        </w:tc>
        <w:tc>
          <w:tcPr>
            <w:tcW w:w="158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龙岗山山门处道路整改工程</w:t>
            </w:r>
          </w:p>
        </w:tc>
        <w:tc>
          <w:tcPr>
            <w:tcW w:w="7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龙岗</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31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共涉及北环二路与北山路的改造。北环二路改造长度约116米。北山路新建展线段长度约179米，改造段长度约72米；改造人行道面积700</w:t>
            </w:r>
            <w:r>
              <w:rPr>
                <w:rFonts w:hint="eastAsia" w:ascii="Batang" w:hAnsi="Batang" w:eastAsia="Batang" w:cs="Batang"/>
                <w:kern w:val="0"/>
                <w:sz w:val="21"/>
                <w:szCs w:val="21"/>
                <w:lang w:bidi="ar"/>
              </w:rPr>
              <w:t>㎡</w:t>
            </w:r>
            <w:r>
              <w:rPr>
                <w:rFonts w:hint="eastAsia" w:ascii="方正兰亭纤黑简体" w:hAnsi="方正兰亭纤黑简体" w:eastAsia="方正兰亭纤黑简体" w:cs="方正兰亭纤黑简体"/>
                <w:kern w:val="0"/>
                <w:sz w:val="21"/>
                <w:szCs w:val="21"/>
                <w:lang w:bidi="ar"/>
              </w:rPr>
              <w:t>。</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0.37</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3067</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3067</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3067</w:t>
            </w:r>
          </w:p>
        </w:tc>
        <w:tc>
          <w:tcPr>
            <w:tcW w:w="86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6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c>
          <w:tcPr>
            <w:tcW w:w="77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r>
      <w:tr>
        <w:tblPrEx>
          <w:tblLayout w:type="fixed"/>
          <w:tblCellMar>
            <w:top w:w="0" w:type="dxa"/>
            <w:left w:w="108" w:type="dxa"/>
            <w:bottom w:w="0" w:type="dxa"/>
            <w:right w:w="108" w:type="dxa"/>
          </w:tblCellMar>
        </w:tblPrEx>
        <w:trPr>
          <w:trHeight w:val="1030" w:hRule="atLeast"/>
        </w:trPr>
        <w:tc>
          <w:tcPr>
            <w:tcW w:w="53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w:t>
            </w:r>
          </w:p>
        </w:tc>
        <w:tc>
          <w:tcPr>
            <w:tcW w:w="158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五星大道疏堵改造工程（一期）</w:t>
            </w:r>
          </w:p>
        </w:tc>
        <w:tc>
          <w:tcPr>
            <w:tcW w:w="7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31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该项目主要建设内容为五星大道一期、棠凤路改造工程、东关小广场人行天桥。五星大道一期改造工程位于双塔中学至体育运动中心，长约2.3公里。改造内容：调整道路分幅，拆除原有道路绿化侧分带，增加机动车道数，通过划线方式设置非机动车道，并设置道路中间绿化隔离带，高压线下地，地下管线搬迁等。棠凤路改造工程位于东关大转盘至同心公园交叉口，全长约2公里。改造内容：拓宽及调整道路分幅、道路沿线绿化、路灯、缆线管廊、地下管线搬迁、高压线下地等配套基础设施改造等。东关小广场人行天桥位于二环北路与五星大道交叉口处，天桥圆环主梁全长约141米，主梁为等截面钢箱梁，采用装配式建造方式施工,植入大足文化。</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4.3</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6904</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6904</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6904</w:t>
            </w:r>
          </w:p>
        </w:tc>
        <w:tc>
          <w:tcPr>
            <w:tcW w:w="86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6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2021</w:t>
            </w:r>
          </w:p>
        </w:tc>
        <w:tc>
          <w:tcPr>
            <w:tcW w:w="77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r>
      <w:tr>
        <w:tblPrEx>
          <w:tblLayout w:type="fixed"/>
          <w:tblCellMar>
            <w:top w:w="0" w:type="dxa"/>
            <w:left w:w="108" w:type="dxa"/>
            <w:bottom w:w="0" w:type="dxa"/>
            <w:right w:w="108" w:type="dxa"/>
          </w:tblCellMar>
        </w:tblPrEx>
        <w:trPr>
          <w:trHeight w:val="1030" w:hRule="atLeast"/>
        </w:trPr>
        <w:tc>
          <w:tcPr>
            <w:tcW w:w="53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w:t>
            </w:r>
          </w:p>
        </w:tc>
        <w:tc>
          <w:tcPr>
            <w:tcW w:w="158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五星大道疏堵改造工程（二期）</w:t>
            </w:r>
          </w:p>
        </w:tc>
        <w:tc>
          <w:tcPr>
            <w:tcW w:w="7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31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起于五星大道与二环南路十字路口止于三环路交叉口，线路长度约3.3公里。</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3.3</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8000</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8000</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8000</w:t>
            </w:r>
          </w:p>
        </w:tc>
        <w:tc>
          <w:tcPr>
            <w:tcW w:w="86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6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c>
          <w:tcPr>
            <w:tcW w:w="77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1030" w:hRule="atLeast"/>
        </w:trPr>
        <w:tc>
          <w:tcPr>
            <w:tcW w:w="53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w:t>
            </w:r>
          </w:p>
        </w:tc>
        <w:tc>
          <w:tcPr>
            <w:tcW w:w="158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圣迹西路疏堵改造工程</w:t>
            </w:r>
          </w:p>
        </w:tc>
        <w:tc>
          <w:tcPr>
            <w:tcW w:w="7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31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改造圣迹北路至龙景路段，线路长度约1.1公里。</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1.1</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1650</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1650</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6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1650</w:t>
            </w:r>
          </w:p>
        </w:tc>
        <w:tc>
          <w:tcPr>
            <w:tcW w:w="86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c>
          <w:tcPr>
            <w:tcW w:w="77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r>
      <w:tr>
        <w:tblPrEx>
          <w:tblLayout w:type="fixed"/>
          <w:tblCellMar>
            <w:top w:w="0" w:type="dxa"/>
            <w:left w:w="108" w:type="dxa"/>
            <w:bottom w:w="0" w:type="dxa"/>
            <w:right w:w="108" w:type="dxa"/>
          </w:tblCellMar>
        </w:tblPrEx>
        <w:trPr>
          <w:trHeight w:val="1030" w:hRule="atLeast"/>
        </w:trPr>
        <w:tc>
          <w:tcPr>
            <w:tcW w:w="53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w:t>
            </w:r>
          </w:p>
        </w:tc>
        <w:tc>
          <w:tcPr>
            <w:tcW w:w="158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大邮路改造</w:t>
            </w:r>
          </w:p>
        </w:tc>
        <w:tc>
          <w:tcPr>
            <w:tcW w:w="7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龙水镇</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31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将现状龙水片区内约6.86公里大邮路改造为城市主干道。</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6.86</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14567</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14567</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14567</w:t>
            </w:r>
          </w:p>
        </w:tc>
        <w:tc>
          <w:tcPr>
            <w:tcW w:w="86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6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7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1030" w:hRule="atLeast"/>
        </w:trPr>
        <w:tc>
          <w:tcPr>
            <w:tcW w:w="53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w:t>
            </w:r>
          </w:p>
        </w:tc>
        <w:tc>
          <w:tcPr>
            <w:tcW w:w="158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西荣路延伸段</w:t>
            </w:r>
          </w:p>
        </w:tc>
        <w:tc>
          <w:tcPr>
            <w:tcW w:w="7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31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西荣路至西环线改造为双向4车道，改造长度约1公里。</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w:t>
            </w:r>
          </w:p>
        </w:tc>
        <w:tc>
          <w:tcPr>
            <w:tcW w:w="86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6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c>
          <w:tcPr>
            <w:tcW w:w="77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1030" w:hRule="atLeast"/>
        </w:trPr>
        <w:tc>
          <w:tcPr>
            <w:tcW w:w="53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w:t>
            </w:r>
          </w:p>
        </w:tc>
        <w:tc>
          <w:tcPr>
            <w:tcW w:w="158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龙水镇老龙玉道路维修工程</w:t>
            </w:r>
          </w:p>
        </w:tc>
        <w:tc>
          <w:tcPr>
            <w:tcW w:w="7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龙水镇</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31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left"/>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道路维修长450米，宽7米，主要为路面修整并铺设混凝土、新建雨水管网及路灯等。</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0.45</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w:t>
            </w:r>
          </w:p>
        </w:tc>
        <w:tc>
          <w:tcPr>
            <w:tcW w:w="86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6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c>
          <w:tcPr>
            <w:tcW w:w="77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r>
    </w:tbl>
    <w:p>
      <w:pPr>
        <w:ind w:firstLine="640"/>
        <w:rPr>
          <w:rFonts w:ascii="方正兰亭纤黑简体" w:eastAsia="方正兰亭纤黑简体"/>
        </w:rPr>
      </w:pPr>
      <w:r>
        <w:rPr>
          <w:rFonts w:hint="eastAsia" w:ascii="方正兰亭纤黑简体" w:eastAsia="方正兰亭纤黑简体"/>
        </w:rPr>
        <w:br w:type="page"/>
      </w:r>
    </w:p>
    <w:tbl>
      <w:tblPr>
        <w:tblStyle w:val="24"/>
        <w:tblW w:w="14156" w:type="dxa"/>
        <w:tblInd w:w="5" w:type="dxa"/>
        <w:tblLayout w:type="fixed"/>
        <w:tblCellMar>
          <w:top w:w="0" w:type="dxa"/>
          <w:left w:w="108" w:type="dxa"/>
          <w:bottom w:w="0" w:type="dxa"/>
          <w:right w:w="108" w:type="dxa"/>
        </w:tblCellMar>
      </w:tblPr>
      <w:tblGrid>
        <w:gridCol w:w="540"/>
        <w:gridCol w:w="1617"/>
        <w:gridCol w:w="714"/>
        <w:gridCol w:w="719"/>
        <w:gridCol w:w="3313"/>
        <w:gridCol w:w="996"/>
        <w:gridCol w:w="1008"/>
        <w:gridCol w:w="1002"/>
        <w:gridCol w:w="1002"/>
        <w:gridCol w:w="1008"/>
        <w:gridCol w:w="581"/>
        <w:gridCol w:w="858"/>
        <w:gridCol w:w="798"/>
      </w:tblGrid>
      <w:tr>
        <w:tblPrEx>
          <w:tblLayout w:type="fixed"/>
          <w:tblCellMar>
            <w:top w:w="0" w:type="dxa"/>
            <w:left w:w="108" w:type="dxa"/>
            <w:bottom w:w="0" w:type="dxa"/>
            <w:right w:w="108" w:type="dxa"/>
          </w:tblCellMar>
        </w:tblPrEx>
        <w:trPr>
          <w:trHeight w:val="375" w:hRule="atLeast"/>
        </w:trPr>
        <w:tc>
          <w:tcPr>
            <w:tcW w:w="14156" w:type="dxa"/>
            <w:gridSpan w:val="13"/>
            <w:tcBorders>
              <w:top w:val="nil"/>
              <w:left w:val="nil"/>
              <w:bottom w:val="single" w:color="auto" w:sz="4" w:space="0"/>
              <w:right w:val="nil"/>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kern w:val="0"/>
                <w:sz w:val="28"/>
                <w:szCs w:val="28"/>
                <w:lang w:bidi="ar"/>
              </w:rPr>
            </w:pPr>
            <w:r>
              <w:rPr>
                <w:rFonts w:hint="eastAsia" w:ascii="方正兰亭纤黑简体" w:hAnsi="仿宋" w:eastAsia="方正兰亭纤黑简体" w:cs="仿宋"/>
                <w:b/>
                <w:bCs/>
                <w:kern w:val="0"/>
                <w:sz w:val="28"/>
                <w:szCs w:val="28"/>
                <w:lang w:bidi="ar"/>
              </w:rPr>
              <w:t>城市道路（新开工及储备）</w:t>
            </w:r>
          </w:p>
        </w:tc>
      </w:tr>
      <w:tr>
        <w:tblPrEx>
          <w:tblLayout w:type="fixed"/>
          <w:tblCellMar>
            <w:top w:w="0" w:type="dxa"/>
            <w:left w:w="108" w:type="dxa"/>
            <w:bottom w:w="0" w:type="dxa"/>
            <w:right w:w="108" w:type="dxa"/>
          </w:tblCellMar>
        </w:tblPrEx>
        <w:trPr>
          <w:trHeight w:val="315" w:hRule="atLeast"/>
        </w:trPr>
        <w:tc>
          <w:tcPr>
            <w:tcW w:w="540"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序号</w:t>
            </w:r>
          </w:p>
        </w:tc>
        <w:tc>
          <w:tcPr>
            <w:tcW w:w="1617"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项目名字</w:t>
            </w:r>
          </w:p>
        </w:tc>
        <w:tc>
          <w:tcPr>
            <w:tcW w:w="714"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责任单位</w:t>
            </w:r>
          </w:p>
        </w:tc>
        <w:tc>
          <w:tcPr>
            <w:tcW w:w="719"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建设性质</w:t>
            </w:r>
          </w:p>
        </w:tc>
        <w:tc>
          <w:tcPr>
            <w:tcW w:w="3313"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建设内容</w:t>
            </w:r>
          </w:p>
        </w:tc>
        <w:tc>
          <w:tcPr>
            <w:tcW w:w="996"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项目长度（km）</w:t>
            </w:r>
          </w:p>
        </w:tc>
        <w:tc>
          <w:tcPr>
            <w:tcW w:w="1008"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项目总投资（万元）</w:t>
            </w:r>
          </w:p>
        </w:tc>
        <w:tc>
          <w:tcPr>
            <w:tcW w:w="1002"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eastAsia="zh-CN" w:bidi="ar"/>
              </w:rPr>
              <w:t>“十四五”</w:t>
            </w:r>
            <w:r>
              <w:rPr>
                <w:rFonts w:hint="eastAsia" w:ascii="方正兰亭纤黑简体" w:hAnsi="仿宋" w:eastAsia="方正兰亭纤黑简体" w:cs="仿宋"/>
                <w:b/>
                <w:bCs/>
                <w:kern w:val="0"/>
                <w:sz w:val="21"/>
                <w:szCs w:val="21"/>
                <w:lang w:bidi="ar"/>
              </w:rPr>
              <w:t>计划投资（万元）</w:t>
            </w:r>
          </w:p>
        </w:tc>
        <w:tc>
          <w:tcPr>
            <w:tcW w:w="2591" w:type="dxa"/>
            <w:gridSpan w:val="3"/>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eastAsia="zh-CN" w:bidi="ar"/>
              </w:rPr>
              <w:t>“十四五”</w:t>
            </w:r>
            <w:r>
              <w:rPr>
                <w:rFonts w:hint="eastAsia" w:ascii="方正兰亭纤黑简体" w:hAnsi="仿宋" w:eastAsia="方正兰亭纤黑简体" w:cs="仿宋"/>
                <w:b/>
                <w:bCs/>
                <w:kern w:val="0"/>
                <w:sz w:val="21"/>
                <w:szCs w:val="21"/>
                <w:lang w:bidi="ar"/>
              </w:rPr>
              <w:t>计划投资分类（万元）</w:t>
            </w:r>
          </w:p>
        </w:tc>
        <w:tc>
          <w:tcPr>
            <w:tcW w:w="858"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开工时间</w:t>
            </w:r>
          </w:p>
        </w:tc>
        <w:tc>
          <w:tcPr>
            <w:tcW w:w="798"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竣工时间</w:t>
            </w:r>
          </w:p>
        </w:tc>
      </w:tr>
      <w:tr>
        <w:tblPrEx>
          <w:tblLayout w:type="fixed"/>
          <w:tblCellMar>
            <w:top w:w="0" w:type="dxa"/>
            <w:left w:w="108" w:type="dxa"/>
            <w:bottom w:w="0" w:type="dxa"/>
            <w:right w:w="108" w:type="dxa"/>
          </w:tblCellMar>
        </w:tblPrEx>
        <w:trPr>
          <w:trHeight w:val="630" w:hRule="atLeast"/>
        </w:trPr>
        <w:tc>
          <w:tcPr>
            <w:tcW w:w="540"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617"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714"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719"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3313"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996"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00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002"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kern w:val="0"/>
                <w:sz w:val="21"/>
                <w:szCs w:val="21"/>
                <w:lang w:bidi="ar"/>
              </w:rPr>
            </w:pPr>
            <w:r>
              <w:rPr>
                <w:rFonts w:hint="eastAsia" w:ascii="方正兰亭纤黑简体" w:hAnsi="仿宋" w:eastAsia="方正兰亭纤黑简体" w:cs="仿宋"/>
                <w:b/>
                <w:bCs/>
                <w:kern w:val="0"/>
                <w:sz w:val="21"/>
                <w:szCs w:val="21"/>
                <w:lang w:bidi="ar"/>
              </w:rPr>
              <w:t>中央</w:t>
            </w:r>
            <w:r>
              <w:rPr>
                <w:rFonts w:ascii="方正兰亭纤黑简体" w:hAnsi="仿宋" w:eastAsia="方正兰亭纤黑简体" w:cs="仿宋"/>
                <w:b/>
                <w:bCs/>
                <w:kern w:val="0"/>
                <w:sz w:val="21"/>
                <w:szCs w:val="21"/>
                <w:lang w:bidi="ar"/>
              </w:rPr>
              <w:t>及</w:t>
            </w:r>
            <w:r>
              <w:rPr>
                <w:rFonts w:hint="eastAsia" w:ascii="方正兰亭纤黑简体" w:hAnsi="仿宋" w:eastAsia="方正兰亭纤黑简体" w:cs="仿宋"/>
                <w:b/>
                <w:bCs/>
                <w:kern w:val="0"/>
                <w:sz w:val="21"/>
                <w:szCs w:val="21"/>
                <w:lang w:bidi="ar"/>
              </w:rPr>
              <w:t>市级</w:t>
            </w:r>
          </w:p>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投资</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kern w:val="0"/>
                <w:sz w:val="21"/>
                <w:szCs w:val="21"/>
                <w:lang w:bidi="ar"/>
              </w:rPr>
            </w:pPr>
            <w:r>
              <w:rPr>
                <w:rFonts w:hint="eastAsia" w:ascii="方正兰亭纤黑简体" w:hAnsi="仿宋" w:eastAsia="方正兰亭纤黑简体" w:cs="仿宋"/>
                <w:b/>
                <w:bCs/>
                <w:kern w:val="0"/>
                <w:sz w:val="21"/>
                <w:szCs w:val="21"/>
                <w:lang w:bidi="ar"/>
              </w:rPr>
              <w:t>区级</w:t>
            </w:r>
          </w:p>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投资</w:t>
            </w:r>
          </w:p>
        </w:tc>
        <w:tc>
          <w:tcPr>
            <w:tcW w:w="581"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其它</w:t>
            </w:r>
          </w:p>
        </w:tc>
        <w:tc>
          <w:tcPr>
            <w:tcW w:w="85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79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r>
      <w:tr>
        <w:tblPrEx>
          <w:tblLayout w:type="fixed"/>
          <w:tblCellMar>
            <w:top w:w="0" w:type="dxa"/>
            <w:left w:w="108" w:type="dxa"/>
            <w:bottom w:w="0" w:type="dxa"/>
            <w:right w:w="108" w:type="dxa"/>
          </w:tblCellMar>
        </w:tblPrEx>
        <w:trPr>
          <w:trHeight w:val="630" w:hRule="atLeast"/>
        </w:trPr>
        <w:tc>
          <w:tcPr>
            <w:tcW w:w="14156" w:type="dxa"/>
            <w:gridSpan w:val="13"/>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sz w:val="21"/>
                <w:szCs w:val="21"/>
              </w:rPr>
              <w:t>一、融城通道</w:t>
            </w:r>
          </w:p>
        </w:tc>
      </w:tr>
      <w:tr>
        <w:tblPrEx>
          <w:tblLayout w:type="fixed"/>
          <w:tblCellMar>
            <w:top w:w="0" w:type="dxa"/>
            <w:left w:w="108" w:type="dxa"/>
            <w:bottom w:w="0" w:type="dxa"/>
            <w:right w:w="108" w:type="dxa"/>
          </w:tblCellMar>
        </w:tblPrEx>
        <w:trPr>
          <w:trHeight w:val="630" w:hRule="atLeast"/>
        </w:trPr>
        <w:tc>
          <w:tcPr>
            <w:tcW w:w="540"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w:t>
            </w:r>
          </w:p>
        </w:tc>
        <w:tc>
          <w:tcPr>
            <w:tcW w:w="1617"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中心城区-大足融城快速通道</w:t>
            </w:r>
          </w:p>
        </w:tc>
        <w:tc>
          <w:tcPr>
            <w:tcW w:w="714"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313"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东起于快速路三横线，沿西永隧道-西永大道-六旗隧道通道向西，沿线串联璧山北部城区，铜梁南部片区、永川北部片区，终点衔接大足万古组团，与城区至高新区快速通道衔接，全长约33.2km（大足范围内约9.7km）</w:t>
            </w:r>
          </w:p>
        </w:tc>
        <w:tc>
          <w:tcPr>
            <w:tcW w:w="996"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全长约33.2km（大足范围内约9.7km）</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135000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581"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58"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98"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2029</w:t>
            </w:r>
          </w:p>
        </w:tc>
      </w:tr>
      <w:tr>
        <w:tblPrEx>
          <w:tblLayout w:type="fixed"/>
          <w:tblCellMar>
            <w:top w:w="0" w:type="dxa"/>
            <w:left w:w="108" w:type="dxa"/>
            <w:bottom w:w="0" w:type="dxa"/>
            <w:right w:w="108" w:type="dxa"/>
          </w:tblCellMar>
        </w:tblPrEx>
        <w:trPr>
          <w:trHeight w:val="450" w:hRule="atLeast"/>
        </w:trPr>
        <w:tc>
          <w:tcPr>
            <w:tcW w:w="14156" w:type="dxa"/>
            <w:gridSpan w:val="13"/>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b/>
                <w:bCs/>
                <w:kern w:val="0"/>
                <w:sz w:val="21"/>
                <w:szCs w:val="21"/>
                <w:lang w:bidi="ar"/>
              </w:rPr>
              <w:t>二、快速通道</w:t>
            </w:r>
          </w:p>
        </w:tc>
      </w:tr>
      <w:tr>
        <w:tblPrEx>
          <w:tblLayout w:type="fixed"/>
          <w:tblCellMar>
            <w:top w:w="0" w:type="dxa"/>
            <w:left w:w="108" w:type="dxa"/>
            <w:bottom w:w="0" w:type="dxa"/>
            <w:right w:w="108" w:type="dxa"/>
          </w:tblCellMar>
        </w:tblPrEx>
        <w:trPr>
          <w:trHeight w:val="450" w:hRule="atLeast"/>
        </w:trPr>
        <w:tc>
          <w:tcPr>
            <w:tcW w:w="540"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1</w:t>
            </w:r>
          </w:p>
        </w:tc>
        <w:tc>
          <w:tcPr>
            <w:tcW w:w="1617"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城区至高新区快速通道（S303城区至高新区新建工程）</w:t>
            </w:r>
          </w:p>
        </w:tc>
        <w:tc>
          <w:tcPr>
            <w:tcW w:w="714"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区交通局</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储备</w:t>
            </w:r>
          </w:p>
        </w:tc>
        <w:tc>
          <w:tcPr>
            <w:tcW w:w="3313"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起点位于棠香街道，终点接大足高新区，全长约17公里，占地约1500亩。</w:t>
            </w:r>
          </w:p>
        </w:tc>
        <w:tc>
          <w:tcPr>
            <w:tcW w:w="996"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17</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179000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179000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24318</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154682</w:t>
            </w:r>
          </w:p>
        </w:tc>
        <w:tc>
          <w:tcPr>
            <w:tcW w:w="581"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w:t>
            </w:r>
          </w:p>
        </w:tc>
        <w:tc>
          <w:tcPr>
            <w:tcW w:w="858"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2026</w:t>
            </w:r>
          </w:p>
        </w:tc>
        <w:tc>
          <w:tcPr>
            <w:tcW w:w="798"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2029</w:t>
            </w:r>
          </w:p>
        </w:tc>
      </w:tr>
      <w:tr>
        <w:tblPrEx>
          <w:tblLayout w:type="fixed"/>
          <w:tblCellMar>
            <w:top w:w="0" w:type="dxa"/>
            <w:left w:w="108" w:type="dxa"/>
            <w:bottom w:w="0" w:type="dxa"/>
            <w:right w:w="108" w:type="dxa"/>
          </w:tblCellMar>
        </w:tblPrEx>
        <w:trPr>
          <w:trHeight w:val="900" w:hRule="atLeast"/>
        </w:trPr>
        <w:tc>
          <w:tcPr>
            <w:tcW w:w="540"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2</w:t>
            </w:r>
          </w:p>
        </w:tc>
        <w:tc>
          <w:tcPr>
            <w:tcW w:w="1617"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城区至文创园快速通道（S302城区至文创园新建工程）</w:t>
            </w:r>
          </w:p>
        </w:tc>
        <w:tc>
          <w:tcPr>
            <w:tcW w:w="714"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区交通局</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sz w:val="21"/>
                <w:szCs w:val="21"/>
              </w:rPr>
              <w:t>储备</w:t>
            </w:r>
          </w:p>
        </w:tc>
        <w:tc>
          <w:tcPr>
            <w:tcW w:w="3313"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起点位于龙岗街道，终点接大足文创园，项目全长约9公里，占地约642亩。</w:t>
            </w:r>
          </w:p>
        </w:tc>
        <w:tc>
          <w:tcPr>
            <w:tcW w:w="996"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9</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67600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67600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12578</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55022</w:t>
            </w:r>
          </w:p>
        </w:tc>
        <w:tc>
          <w:tcPr>
            <w:tcW w:w="581"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w:t>
            </w:r>
          </w:p>
        </w:tc>
        <w:tc>
          <w:tcPr>
            <w:tcW w:w="858"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2026</w:t>
            </w:r>
          </w:p>
        </w:tc>
        <w:tc>
          <w:tcPr>
            <w:tcW w:w="798"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2029</w:t>
            </w:r>
          </w:p>
        </w:tc>
      </w:tr>
      <w:tr>
        <w:tblPrEx>
          <w:tblLayout w:type="fixed"/>
          <w:tblCellMar>
            <w:top w:w="0" w:type="dxa"/>
            <w:left w:w="108" w:type="dxa"/>
            <w:bottom w:w="0" w:type="dxa"/>
            <w:right w:w="108" w:type="dxa"/>
          </w:tblCellMar>
        </w:tblPrEx>
        <w:trPr>
          <w:trHeight w:val="900" w:hRule="atLeast"/>
        </w:trPr>
        <w:tc>
          <w:tcPr>
            <w:tcW w:w="14156" w:type="dxa"/>
            <w:gridSpan w:val="13"/>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b/>
                <w:bCs/>
                <w:kern w:val="0"/>
                <w:sz w:val="21"/>
                <w:szCs w:val="21"/>
                <w:lang w:bidi="ar"/>
              </w:rPr>
              <w:t>三、城市次干道及支路</w:t>
            </w:r>
          </w:p>
        </w:tc>
      </w:tr>
      <w:tr>
        <w:tblPrEx>
          <w:tblLayout w:type="fixed"/>
          <w:tblCellMar>
            <w:top w:w="0" w:type="dxa"/>
            <w:left w:w="108" w:type="dxa"/>
            <w:bottom w:w="0" w:type="dxa"/>
            <w:right w:w="108" w:type="dxa"/>
          </w:tblCellMar>
        </w:tblPrEx>
        <w:trPr>
          <w:trHeight w:val="900" w:hRule="atLeast"/>
        </w:trPr>
        <w:tc>
          <w:tcPr>
            <w:tcW w:w="5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w:t>
            </w:r>
          </w:p>
        </w:tc>
        <w:tc>
          <w:tcPr>
            <w:tcW w:w="161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天宫河片区开发环境建设项目（天宫河博览园二期）</w:t>
            </w:r>
          </w:p>
        </w:tc>
        <w:tc>
          <w:tcPr>
            <w:tcW w:w="7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海棠新城开发区</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新开工</w:t>
            </w:r>
          </w:p>
        </w:tc>
        <w:tc>
          <w:tcPr>
            <w:tcW w:w="331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天宫河博览园二期周边城市次干道、支路全长约</w:t>
            </w:r>
            <w:r>
              <w:rPr>
                <w:rFonts w:ascii="方正兰亭纤黑简体" w:hAnsi="仿宋" w:eastAsia="方正兰亭纤黑简体" w:cs="仿宋"/>
                <w:kern w:val="0"/>
                <w:sz w:val="21"/>
                <w:szCs w:val="21"/>
                <w:lang w:bidi="ar"/>
              </w:rPr>
              <w:t>3.1</w:t>
            </w:r>
            <w:r>
              <w:rPr>
                <w:rFonts w:hint="eastAsia" w:ascii="方正兰亭纤黑简体" w:hAnsi="仿宋" w:eastAsia="方正兰亭纤黑简体" w:cs="仿宋"/>
                <w:kern w:val="0"/>
                <w:sz w:val="21"/>
                <w:szCs w:val="21"/>
                <w:lang w:bidi="ar"/>
              </w:rPr>
              <w:t>公里。</w:t>
            </w:r>
          </w:p>
        </w:tc>
        <w:tc>
          <w:tcPr>
            <w:tcW w:w="9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3.1</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15000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15000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15000</w:t>
            </w:r>
          </w:p>
        </w:tc>
        <w:tc>
          <w:tcPr>
            <w:tcW w:w="58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5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9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r>
      <w:tr>
        <w:tblPrEx>
          <w:tblLayout w:type="fixed"/>
          <w:tblCellMar>
            <w:top w:w="0" w:type="dxa"/>
            <w:left w:w="108" w:type="dxa"/>
            <w:bottom w:w="0" w:type="dxa"/>
            <w:right w:w="108" w:type="dxa"/>
          </w:tblCellMar>
        </w:tblPrEx>
        <w:trPr>
          <w:trHeight w:val="900" w:hRule="atLeast"/>
        </w:trPr>
        <w:tc>
          <w:tcPr>
            <w:tcW w:w="5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w:t>
            </w:r>
          </w:p>
        </w:tc>
        <w:tc>
          <w:tcPr>
            <w:tcW w:w="161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海棠新城南部片区城市道路建设</w:t>
            </w:r>
          </w:p>
        </w:tc>
        <w:tc>
          <w:tcPr>
            <w:tcW w:w="7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海棠新城开发区</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新开工</w:t>
            </w:r>
          </w:p>
        </w:tc>
        <w:tc>
          <w:tcPr>
            <w:tcW w:w="331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约</w:t>
            </w:r>
            <w:r>
              <w:rPr>
                <w:rFonts w:ascii="方正兰亭纤黑简体" w:hAnsi="仿宋" w:eastAsia="方正兰亭纤黑简体" w:cs="仿宋"/>
                <w:kern w:val="0"/>
                <w:sz w:val="21"/>
                <w:szCs w:val="21"/>
                <w:lang w:bidi="ar"/>
              </w:rPr>
              <w:t>5.8</w:t>
            </w:r>
            <w:r>
              <w:rPr>
                <w:rFonts w:hint="eastAsia" w:ascii="方正兰亭纤黑简体" w:hAnsi="仿宋" w:eastAsia="方正兰亭纤黑简体" w:cs="仿宋"/>
                <w:kern w:val="0"/>
                <w:sz w:val="21"/>
                <w:szCs w:val="21"/>
                <w:lang w:bidi="ar"/>
              </w:rPr>
              <w:t>公里城市次干道、支路及相关配套建设</w:t>
            </w:r>
          </w:p>
        </w:tc>
        <w:tc>
          <w:tcPr>
            <w:tcW w:w="9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5.8</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40000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40000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40000</w:t>
            </w:r>
          </w:p>
        </w:tc>
        <w:tc>
          <w:tcPr>
            <w:tcW w:w="58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5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9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r>
      <w:tr>
        <w:tblPrEx>
          <w:tblLayout w:type="fixed"/>
          <w:tblCellMar>
            <w:top w:w="0" w:type="dxa"/>
            <w:left w:w="108" w:type="dxa"/>
            <w:bottom w:w="0" w:type="dxa"/>
            <w:right w:w="108" w:type="dxa"/>
          </w:tblCellMar>
        </w:tblPrEx>
        <w:trPr>
          <w:trHeight w:val="900" w:hRule="atLeast"/>
        </w:trPr>
        <w:tc>
          <w:tcPr>
            <w:tcW w:w="5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w:t>
            </w:r>
          </w:p>
        </w:tc>
        <w:tc>
          <w:tcPr>
            <w:tcW w:w="161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北厅次支路网</w:t>
            </w:r>
          </w:p>
        </w:tc>
        <w:tc>
          <w:tcPr>
            <w:tcW w:w="7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海棠新城开发区</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新开工</w:t>
            </w:r>
          </w:p>
        </w:tc>
        <w:tc>
          <w:tcPr>
            <w:tcW w:w="331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约5.1公里城市次干道、支路及相关配套建设</w:t>
            </w:r>
          </w:p>
        </w:tc>
        <w:tc>
          <w:tcPr>
            <w:tcW w:w="9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5.1</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72000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72000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72000</w:t>
            </w:r>
          </w:p>
        </w:tc>
        <w:tc>
          <w:tcPr>
            <w:tcW w:w="58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5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c>
          <w:tcPr>
            <w:tcW w:w="79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2027</w:t>
            </w:r>
          </w:p>
        </w:tc>
      </w:tr>
      <w:tr>
        <w:tblPrEx>
          <w:tblLayout w:type="fixed"/>
          <w:tblCellMar>
            <w:top w:w="0" w:type="dxa"/>
            <w:left w:w="108" w:type="dxa"/>
            <w:bottom w:w="0" w:type="dxa"/>
            <w:right w:w="108" w:type="dxa"/>
          </w:tblCellMar>
        </w:tblPrEx>
        <w:trPr>
          <w:trHeight w:val="900" w:hRule="atLeast"/>
        </w:trPr>
        <w:tc>
          <w:tcPr>
            <w:tcW w:w="5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w:t>
            </w:r>
          </w:p>
        </w:tc>
        <w:tc>
          <w:tcPr>
            <w:tcW w:w="161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永晟公司园区基础设施及附属工程</w:t>
            </w:r>
          </w:p>
        </w:tc>
        <w:tc>
          <w:tcPr>
            <w:tcW w:w="7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color w:val="FF0000"/>
                <w:kern w:val="0"/>
                <w:sz w:val="21"/>
                <w:szCs w:val="21"/>
                <w:lang w:bidi="ar"/>
              </w:rPr>
              <w:t>大足高新区、高科集团</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新开工</w:t>
            </w:r>
          </w:p>
        </w:tc>
        <w:tc>
          <w:tcPr>
            <w:tcW w:w="331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道路12条，长度7.2公里，场地平整1700亩，含土石方工程、水电气路讯管网迁建及搬迁、绿化补植、市政交通设施改造、照明设施新建及改造。</w:t>
            </w:r>
          </w:p>
        </w:tc>
        <w:tc>
          <w:tcPr>
            <w:tcW w:w="9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7.2</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150000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150000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58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150000</w:t>
            </w:r>
          </w:p>
        </w:tc>
        <w:tc>
          <w:tcPr>
            <w:tcW w:w="85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c>
          <w:tcPr>
            <w:tcW w:w="79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2027</w:t>
            </w:r>
          </w:p>
        </w:tc>
      </w:tr>
      <w:tr>
        <w:tblPrEx>
          <w:tblLayout w:type="fixed"/>
          <w:tblCellMar>
            <w:top w:w="0" w:type="dxa"/>
            <w:left w:w="108" w:type="dxa"/>
            <w:bottom w:w="0" w:type="dxa"/>
            <w:right w:w="108" w:type="dxa"/>
          </w:tblCellMar>
        </w:tblPrEx>
        <w:trPr>
          <w:trHeight w:val="900" w:hRule="atLeast"/>
        </w:trPr>
        <w:tc>
          <w:tcPr>
            <w:tcW w:w="5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w:t>
            </w:r>
          </w:p>
        </w:tc>
        <w:tc>
          <w:tcPr>
            <w:tcW w:w="161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大足工业园区东部片区开发及配套基础设施工程-北四路道路工程</w:t>
            </w:r>
          </w:p>
        </w:tc>
        <w:tc>
          <w:tcPr>
            <w:tcW w:w="7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大足工业园区</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新开工</w:t>
            </w:r>
          </w:p>
        </w:tc>
        <w:tc>
          <w:tcPr>
            <w:tcW w:w="331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建设市政道路3.30公里，雨水管网8.1公里，污水管网4.10公里，绿化隔离带4.62万平方米，消防栓56具。开工建设1000亩土地场地平整。</w:t>
            </w:r>
          </w:p>
        </w:tc>
        <w:tc>
          <w:tcPr>
            <w:tcW w:w="9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3.3</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12500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12500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58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12500</w:t>
            </w:r>
          </w:p>
        </w:tc>
        <w:tc>
          <w:tcPr>
            <w:tcW w:w="85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c>
          <w:tcPr>
            <w:tcW w:w="79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r>
      <w:tr>
        <w:tblPrEx>
          <w:tblLayout w:type="fixed"/>
          <w:tblCellMar>
            <w:top w:w="0" w:type="dxa"/>
            <w:left w:w="108" w:type="dxa"/>
            <w:bottom w:w="0" w:type="dxa"/>
            <w:right w:w="108" w:type="dxa"/>
          </w:tblCellMar>
        </w:tblPrEx>
        <w:trPr>
          <w:trHeight w:val="900" w:hRule="atLeast"/>
        </w:trPr>
        <w:tc>
          <w:tcPr>
            <w:tcW w:w="5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ascii="方正兰亭纤黑简体" w:hAnsi="仿宋" w:eastAsia="方正兰亭纤黑简体" w:cs="仿宋"/>
                <w:kern w:val="0"/>
                <w:sz w:val="21"/>
                <w:szCs w:val="21"/>
                <w:lang w:bidi="ar"/>
              </w:rPr>
              <w:t>6</w:t>
            </w:r>
          </w:p>
        </w:tc>
        <w:tc>
          <w:tcPr>
            <w:tcW w:w="161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大足工业园区北部片区基础设施建设工程</w:t>
            </w:r>
          </w:p>
        </w:tc>
        <w:tc>
          <w:tcPr>
            <w:tcW w:w="7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大足工业园区、高科集团</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新开工</w:t>
            </w:r>
          </w:p>
        </w:tc>
        <w:tc>
          <w:tcPr>
            <w:tcW w:w="331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大足工业园区北部片区（北四路以北）土地整治约3000亩；建设市政道路8公里，综合管网18公里,景观绿化带11.20万平方米。</w:t>
            </w:r>
          </w:p>
        </w:tc>
        <w:tc>
          <w:tcPr>
            <w:tcW w:w="9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272500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272500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58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272500</w:t>
            </w:r>
          </w:p>
        </w:tc>
        <w:tc>
          <w:tcPr>
            <w:tcW w:w="85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w:t>
            </w:r>
            <w:r>
              <w:rPr>
                <w:rFonts w:ascii="方正兰亭纤黑简体" w:hAnsi="仿宋" w:eastAsia="方正兰亭纤黑简体" w:cs="仿宋"/>
                <w:kern w:val="0"/>
                <w:sz w:val="21"/>
                <w:szCs w:val="21"/>
                <w:lang w:bidi="ar"/>
              </w:rPr>
              <w:t>24</w:t>
            </w:r>
          </w:p>
        </w:tc>
        <w:tc>
          <w:tcPr>
            <w:tcW w:w="79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2029</w:t>
            </w:r>
          </w:p>
        </w:tc>
      </w:tr>
      <w:tr>
        <w:tblPrEx>
          <w:tblLayout w:type="fixed"/>
          <w:tblCellMar>
            <w:top w:w="0" w:type="dxa"/>
            <w:left w:w="108" w:type="dxa"/>
            <w:bottom w:w="0" w:type="dxa"/>
            <w:right w:w="108" w:type="dxa"/>
          </w:tblCellMar>
        </w:tblPrEx>
        <w:trPr>
          <w:trHeight w:val="900" w:hRule="atLeast"/>
        </w:trPr>
        <w:tc>
          <w:tcPr>
            <w:tcW w:w="5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ascii="方正兰亭纤黑简体" w:hAnsi="仿宋" w:eastAsia="方正兰亭纤黑简体" w:cs="仿宋"/>
                <w:kern w:val="0"/>
                <w:sz w:val="21"/>
                <w:szCs w:val="21"/>
                <w:lang w:bidi="ar"/>
              </w:rPr>
              <w:t>7</w:t>
            </w:r>
          </w:p>
        </w:tc>
        <w:tc>
          <w:tcPr>
            <w:tcW w:w="161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龙水镇棚户区改造项目基础设施建设工程-酱园路</w:t>
            </w:r>
          </w:p>
        </w:tc>
        <w:tc>
          <w:tcPr>
            <w:tcW w:w="7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龙水镇</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31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新建道路长420米，宽12米。</w:t>
            </w:r>
          </w:p>
        </w:tc>
        <w:tc>
          <w:tcPr>
            <w:tcW w:w="9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0.42</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750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750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750</w:t>
            </w:r>
          </w:p>
        </w:tc>
        <w:tc>
          <w:tcPr>
            <w:tcW w:w="58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5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9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2029</w:t>
            </w:r>
          </w:p>
        </w:tc>
      </w:tr>
      <w:tr>
        <w:tblPrEx>
          <w:tblLayout w:type="fixed"/>
          <w:tblCellMar>
            <w:top w:w="0" w:type="dxa"/>
            <w:left w:w="108" w:type="dxa"/>
            <w:bottom w:w="0" w:type="dxa"/>
            <w:right w:w="108" w:type="dxa"/>
          </w:tblCellMar>
        </w:tblPrEx>
        <w:trPr>
          <w:trHeight w:val="900" w:hRule="atLeast"/>
        </w:trPr>
        <w:tc>
          <w:tcPr>
            <w:tcW w:w="5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ascii="方正兰亭纤黑简体" w:hAnsi="仿宋" w:eastAsia="方正兰亭纤黑简体" w:cs="仿宋"/>
                <w:kern w:val="0"/>
                <w:sz w:val="21"/>
                <w:szCs w:val="21"/>
                <w:lang w:bidi="ar"/>
              </w:rPr>
              <w:t>8</w:t>
            </w:r>
          </w:p>
        </w:tc>
        <w:tc>
          <w:tcPr>
            <w:tcW w:w="161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香国公园站周边路网</w:t>
            </w:r>
          </w:p>
        </w:tc>
        <w:tc>
          <w:tcPr>
            <w:tcW w:w="7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海棠新城管委会</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31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新建香国公园站周边15条道路，包括主干路1.34公里、次干路 5.71公里、支路1.28公里。</w:t>
            </w:r>
          </w:p>
        </w:tc>
        <w:tc>
          <w:tcPr>
            <w:tcW w:w="9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7.77</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124560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124560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124560</w:t>
            </w:r>
          </w:p>
        </w:tc>
        <w:tc>
          <w:tcPr>
            <w:tcW w:w="58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5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9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2030</w:t>
            </w:r>
          </w:p>
        </w:tc>
      </w:tr>
      <w:tr>
        <w:tblPrEx>
          <w:tblLayout w:type="fixed"/>
          <w:tblCellMar>
            <w:top w:w="0" w:type="dxa"/>
            <w:left w:w="108" w:type="dxa"/>
            <w:bottom w:w="0" w:type="dxa"/>
            <w:right w:w="108" w:type="dxa"/>
          </w:tblCellMar>
        </w:tblPrEx>
        <w:trPr>
          <w:trHeight w:val="900" w:hRule="atLeast"/>
        </w:trPr>
        <w:tc>
          <w:tcPr>
            <w:tcW w:w="5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ascii="方正兰亭纤黑简体" w:hAnsi="仿宋" w:eastAsia="方正兰亭纤黑简体" w:cs="仿宋"/>
                <w:kern w:val="0"/>
                <w:sz w:val="21"/>
                <w:szCs w:val="21"/>
                <w:lang w:bidi="ar"/>
              </w:rPr>
              <w:t>9</w:t>
            </w:r>
          </w:p>
        </w:tc>
        <w:tc>
          <w:tcPr>
            <w:tcW w:w="161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大足东站周边路网</w:t>
            </w:r>
          </w:p>
        </w:tc>
        <w:tc>
          <w:tcPr>
            <w:tcW w:w="7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海棠新城管委会</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31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新建大足东站周边路网，总长约9.84公里。</w:t>
            </w:r>
          </w:p>
        </w:tc>
        <w:tc>
          <w:tcPr>
            <w:tcW w:w="9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9.84</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15360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15360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15360</w:t>
            </w:r>
          </w:p>
        </w:tc>
        <w:tc>
          <w:tcPr>
            <w:tcW w:w="58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5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9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2029</w:t>
            </w:r>
          </w:p>
        </w:tc>
      </w:tr>
      <w:tr>
        <w:tblPrEx>
          <w:tblLayout w:type="fixed"/>
          <w:tblCellMar>
            <w:top w:w="0" w:type="dxa"/>
            <w:left w:w="108" w:type="dxa"/>
            <w:bottom w:w="0" w:type="dxa"/>
            <w:right w:w="108" w:type="dxa"/>
          </w:tblCellMar>
        </w:tblPrEx>
        <w:trPr>
          <w:trHeight w:val="900" w:hRule="atLeast"/>
        </w:trPr>
        <w:tc>
          <w:tcPr>
            <w:tcW w:w="5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ascii="方正兰亭纤黑简体" w:hAnsi="仿宋" w:eastAsia="方正兰亭纤黑简体" w:cs="仿宋"/>
                <w:kern w:val="0"/>
                <w:sz w:val="21"/>
                <w:szCs w:val="21"/>
                <w:lang w:bidi="ar"/>
              </w:rPr>
              <w:t>10</w:t>
            </w:r>
          </w:p>
        </w:tc>
        <w:tc>
          <w:tcPr>
            <w:tcW w:w="161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四川美术学院大足石刻学院区域路网</w:t>
            </w:r>
          </w:p>
        </w:tc>
        <w:tc>
          <w:tcPr>
            <w:tcW w:w="7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海棠新城管委会</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31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新建四川美术学院大足石刻学院区域路网，总长约4.94公里。</w:t>
            </w:r>
          </w:p>
        </w:tc>
        <w:tc>
          <w:tcPr>
            <w:tcW w:w="9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4.94</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71800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71800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71800</w:t>
            </w:r>
          </w:p>
        </w:tc>
        <w:tc>
          <w:tcPr>
            <w:tcW w:w="58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5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9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2029</w:t>
            </w:r>
          </w:p>
        </w:tc>
      </w:tr>
      <w:tr>
        <w:tblPrEx>
          <w:tblLayout w:type="fixed"/>
          <w:tblCellMar>
            <w:top w:w="0" w:type="dxa"/>
            <w:left w:w="108" w:type="dxa"/>
            <w:bottom w:w="0" w:type="dxa"/>
            <w:right w:w="108" w:type="dxa"/>
          </w:tblCellMar>
        </w:tblPrEx>
        <w:trPr>
          <w:trHeight w:val="900" w:hRule="atLeast"/>
        </w:trPr>
        <w:tc>
          <w:tcPr>
            <w:tcW w:w="5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w:t>
            </w:r>
            <w:r>
              <w:rPr>
                <w:rFonts w:ascii="方正兰亭纤黑简体" w:hAnsi="仿宋" w:eastAsia="方正兰亭纤黑简体" w:cs="仿宋"/>
                <w:kern w:val="0"/>
                <w:sz w:val="21"/>
                <w:szCs w:val="21"/>
                <w:lang w:bidi="ar"/>
              </w:rPr>
              <w:t>1</w:t>
            </w:r>
          </w:p>
        </w:tc>
        <w:tc>
          <w:tcPr>
            <w:tcW w:w="161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大足石刻文创园附属设施建设三期项目</w:t>
            </w:r>
          </w:p>
        </w:tc>
        <w:tc>
          <w:tcPr>
            <w:tcW w:w="7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kern w:val="0"/>
                <w:sz w:val="21"/>
                <w:szCs w:val="21"/>
                <w:lang w:bidi="ar"/>
              </w:rPr>
            </w:pPr>
            <w:r>
              <w:rPr>
                <w:rFonts w:hint="eastAsia" w:ascii="方正兰亭纤黑简体" w:hAnsi="仿宋" w:eastAsia="方正兰亭纤黑简体" w:cs="仿宋"/>
                <w:color w:val="FF0000"/>
                <w:kern w:val="0"/>
                <w:sz w:val="21"/>
                <w:szCs w:val="21"/>
                <w:lang w:bidi="ar"/>
              </w:rPr>
              <w:t>大足石刻文创园、</w:t>
            </w:r>
            <w:r>
              <w:rPr>
                <w:rFonts w:ascii="方正兰亭纤黑简体" w:hAnsi="仿宋" w:eastAsia="方正兰亭纤黑简体" w:cs="仿宋"/>
                <w:color w:val="FF0000"/>
                <w:kern w:val="0"/>
                <w:sz w:val="21"/>
                <w:szCs w:val="21"/>
                <w:lang w:bidi="ar"/>
              </w:rPr>
              <w:t>高科集团</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31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新建10余条市政道路，总长约6000米。</w:t>
            </w:r>
          </w:p>
        </w:tc>
        <w:tc>
          <w:tcPr>
            <w:tcW w:w="9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58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30000</w:t>
            </w:r>
          </w:p>
        </w:tc>
        <w:tc>
          <w:tcPr>
            <w:tcW w:w="85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9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2029</w:t>
            </w:r>
          </w:p>
        </w:tc>
      </w:tr>
      <w:tr>
        <w:tblPrEx>
          <w:tblLayout w:type="fixed"/>
          <w:tblCellMar>
            <w:top w:w="0" w:type="dxa"/>
            <w:left w:w="108" w:type="dxa"/>
            <w:bottom w:w="0" w:type="dxa"/>
            <w:right w:w="108" w:type="dxa"/>
          </w:tblCellMar>
        </w:tblPrEx>
        <w:trPr>
          <w:trHeight w:val="900" w:hRule="atLeast"/>
        </w:trPr>
        <w:tc>
          <w:tcPr>
            <w:tcW w:w="5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12</w:t>
            </w:r>
          </w:p>
        </w:tc>
        <w:tc>
          <w:tcPr>
            <w:tcW w:w="161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棠香街道东部新城水峰片区土地整治</w:t>
            </w:r>
          </w:p>
        </w:tc>
        <w:tc>
          <w:tcPr>
            <w:tcW w:w="7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kern w:val="0"/>
                <w:sz w:val="21"/>
                <w:szCs w:val="21"/>
                <w:lang w:bidi="ar"/>
              </w:rPr>
            </w:pPr>
            <w:r>
              <w:rPr>
                <w:rFonts w:hint="eastAsia" w:ascii="方正兰亭纤黑简体" w:hAnsi="仿宋" w:eastAsia="方正兰亭纤黑简体" w:cs="仿宋"/>
                <w:color w:val="FF0000"/>
                <w:kern w:val="0"/>
                <w:sz w:val="21"/>
                <w:szCs w:val="21"/>
                <w:lang w:bidi="ar"/>
              </w:rPr>
              <w:t>区土储中心、</w:t>
            </w:r>
            <w:r>
              <w:rPr>
                <w:rFonts w:ascii="方正兰亭纤黑简体" w:hAnsi="仿宋" w:eastAsia="方正兰亭纤黑简体" w:cs="仿宋"/>
                <w:color w:val="FF0000"/>
                <w:kern w:val="0"/>
                <w:sz w:val="21"/>
                <w:szCs w:val="21"/>
                <w:lang w:bidi="ar"/>
              </w:rPr>
              <w:t>发展集团</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31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横一路道路长度840米，纵一路道路长度400米，纵二路道路长度260米，纵三路道路长度542米</w:t>
            </w:r>
          </w:p>
        </w:tc>
        <w:tc>
          <w:tcPr>
            <w:tcW w:w="9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2.042</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20000</w:t>
            </w:r>
          </w:p>
        </w:tc>
        <w:tc>
          <w:tcPr>
            <w:tcW w:w="58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5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9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2029</w:t>
            </w:r>
          </w:p>
        </w:tc>
      </w:tr>
      <w:tr>
        <w:tblPrEx>
          <w:tblLayout w:type="fixed"/>
          <w:tblCellMar>
            <w:top w:w="0" w:type="dxa"/>
            <w:left w:w="108" w:type="dxa"/>
            <w:bottom w:w="0" w:type="dxa"/>
            <w:right w:w="108" w:type="dxa"/>
          </w:tblCellMar>
        </w:tblPrEx>
        <w:trPr>
          <w:trHeight w:val="560" w:hRule="atLeast"/>
        </w:trPr>
        <w:tc>
          <w:tcPr>
            <w:tcW w:w="14156" w:type="dxa"/>
            <w:gridSpan w:val="13"/>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b/>
                <w:bCs/>
                <w:kern w:val="0"/>
                <w:sz w:val="21"/>
                <w:szCs w:val="21"/>
                <w:lang w:bidi="ar"/>
              </w:rPr>
              <w:t>四、路网更新</w:t>
            </w:r>
          </w:p>
        </w:tc>
      </w:tr>
      <w:tr>
        <w:tblPrEx>
          <w:tblLayout w:type="fixed"/>
          <w:tblCellMar>
            <w:top w:w="0" w:type="dxa"/>
            <w:left w:w="108" w:type="dxa"/>
            <w:bottom w:w="0" w:type="dxa"/>
            <w:right w:w="108" w:type="dxa"/>
          </w:tblCellMar>
        </w:tblPrEx>
        <w:trPr>
          <w:trHeight w:val="900" w:hRule="atLeast"/>
        </w:trPr>
        <w:tc>
          <w:tcPr>
            <w:tcW w:w="540"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w:t>
            </w:r>
          </w:p>
        </w:tc>
        <w:tc>
          <w:tcPr>
            <w:tcW w:w="161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一环北路疏堵改造工程</w:t>
            </w:r>
          </w:p>
        </w:tc>
        <w:tc>
          <w:tcPr>
            <w:tcW w:w="7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31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改造龙岗西路至五星大道段，线路长度约3公里。</w:t>
            </w:r>
          </w:p>
        </w:tc>
        <w:tc>
          <w:tcPr>
            <w:tcW w:w="9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5100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5100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58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5100</w:t>
            </w:r>
          </w:p>
        </w:tc>
        <w:tc>
          <w:tcPr>
            <w:tcW w:w="85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9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2029</w:t>
            </w:r>
          </w:p>
        </w:tc>
      </w:tr>
      <w:tr>
        <w:tblPrEx>
          <w:tblLayout w:type="fixed"/>
          <w:tblCellMar>
            <w:top w:w="0" w:type="dxa"/>
            <w:left w:w="108" w:type="dxa"/>
            <w:bottom w:w="0" w:type="dxa"/>
            <w:right w:w="108" w:type="dxa"/>
          </w:tblCellMar>
        </w:tblPrEx>
        <w:trPr>
          <w:trHeight w:val="900" w:hRule="atLeast"/>
        </w:trPr>
        <w:tc>
          <w:tcPr>
            <w:tcW w:w="5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w:t>
            </w:r>
          </w:p>
        </w:tc>
        <w:tc>
          <w:tcPr>
            <w:tcW w:w="161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一环南路东段疏堵改造工程</w:t>
            </w:r>
          </w:p>
        </w:tc>
        <w:tc>
          <w:tcPr>
            <w:tcW w:w="7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31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改造插旗山桥至五星大道段，线路长度约1.1公里。</w:t>
            </w:r>
          </w:p>
        </w:tc>
        <w:tc>
          <w:tcPr>
            <w:tcW w:w="9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1.1</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1870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1870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58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1870</w:t>
            </w:r>
          </w:p>
        </w:tc>
        <w:tc>
          <w:tcPr>
            <w:tcW w:w="85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9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2029</w:t>
            </w:r>
          </w:p>
        </w:tc>
      </w:tr>
      <w:tr>
        <w:tblPrEx>
          <w:tblLayout w:type="fixed"/>
          <w:tblCellMar>
            <w:top w:w="0" w:type="dxa"/>
            <w:left w:w="108" w:type="dxa"/>
            <w:bottom w:w="0" w:type="dxa"/>
            <w:right w:w="108" w:type="dxa"/>
          </w:tblCellMar>
        </w:tblPrEx>
        <w:trPr>
          <w:trHeight w:val="900" w:hRule="atLeast"/>
        </w:trPr>
        <w:tc>
          <w:tcPr>
            <w:tcW w:w="5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w:t>
            </w:r>
          </w:p>
        </w:tc>
        <w:tc>
          <w:tcPr>
            <w:tcW w:w="161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龙水镇花园路道路改扩建工程</w:t>
            </w:r>
          </w:p>
        </w:tc>
        <w:tc>
          <w:tcPr>
            <w:tcW w:w="7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龙水镇</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31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left"/>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改扩建道路长370米，其中：车行道原7米宽扩建为11米宽，人行道原宽6米*2边缩减为4米*2边。</w:t>
            </w:r>
          </w:p>
        </w:tc>
        <w:tc>
          <w:tcPr>
            <w:tcW w:w="9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0.37</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650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650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650</w:t>
            </w:r>
          </w:p>
        </w:tc>
        <w:tc>
          <w:tcPr>
            <w:tcW w:w="58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5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9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2029</w:t>
            </w:r>
          </w:p>
        </w:tc>
      </w:tr>
      <w:tr>
        <w:tblPrEx>
          <w:tblLayout w:type="fixed"/>
          <w:tblCellMar>
            <w:top w:w="0" w:type="dxa"/>
            <w:left w:w="108" w:type="dxa"/>
            <w:bottom w:w="0" w:type="dxa"/>
            <w:right w:w="108" w:type="dxa"/>
          </w:tblCellMar>
        </w:tblPrEx>
        <w:trPr>
          <w:trHeight w:val="900" w:hRule="atLeast"/>
        </w:trPr>
        <w:tc>
          <w:tcPr>
            <w:tcW w:w="5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w:t>
            </w:r>
          </w:p>
        </w:tc>
        <w:tc>
          <w:tcPr>
            <w:tcW w:w="161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龙水镇小河街巷道路改扩建工程</w:t>
            </w:r>
          </w:p>
        </w:tc>
        <w:tc>
          <w:tcPr>
            <w:tcW w:w="7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龙水镇</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31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left"/>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改扩建道路长220米，其中：车行道原6米宽扩建为9米宽，人行道原宽4.5米*2边缩减为3米*2。</w:t>
            </w:r>
          </w:p>
        </w:tc>
        <w:tc>
          <w:tcPr>
            <w:tcW w:w="9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0.22</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400</w:t>
            </w:r>
          </w:p>
        </w:tc>
        <w:tc>
          <w:tcPr>
            <w:tcW w:w="58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5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9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2029</w:t>
            </w:r>
          </w:p>
        </w:tc>
      </w:tr>
      <w:tr>
        <w:tblPrEx>
          <w:tblLayout w:type="fixed"/>
          <w:tblCellMar>
            <w:top w:w="0" w:type="dxa"/>
            <w:left w:w="108" w:type="dxa"/>
            <w:bottom w:w="0" w:type="dxa"/>
            <w:right w:w="108" w:type="dxa"/>
          </w:tblCellMar>
        </w:tblPrEx>
        <w:trPr>
          <w:trHeight w:val="900" w:hRule="atLeast"/>
        </w:trPr>
        <w:tc>
          <w:tcPr>
            <w:tcW w:w="5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w:t>
            </w:r>
          </w:p>
        </w:tc>
        <w:tc>
          <w:tcPr>
            <w:tcW w:w="161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龙水镇园古路道路改扩建工程</w:t>
            </w:r>
          </w:p>
        </w:tc>
        <w:tc>
          <w:tcPr>
            <w:tcW w:w="7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龙水镇</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31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left"/>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改扩建道路长165米，其中：车行道原7米宽扩建为11米宽，人行道原宽5米*2边缩减为3米*3边。</w:t>
            </w:r>
          </w:p>
        </w:tc>
        <w:tc>
          <w:tcPr>
            <w:tcW w:w="9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0.165</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w:t>
            </w:r>
          </w:p>
        </w:tc>
        <w:tc>
          <w:tcPr>
            <w:tcW w:w="58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5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9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2029</w:t>
            </w:r>
          </w:p>
        </w:tc>
      </w:tr>
      <w:tr>
        <w:tblPrEx>
          <w:tblLayout w:type="fixed"/>
          <w:tblCellMar>
            <w:top w:w="0" w:type="dxa"/>
            <w:left w:w="108" w:type="dxa"/>
            <w:bottom w:w="0" w:type="dxa"/>
            <w:right w:w="108" w:type="dxa"/>
          </w:tblCellMar>
        </w:tblPrEx>
        <w:trPr>
          <w:trHeight w:val="900" w:hRule="atLeast"/>
        </w:trPr>
        <w:tc>
          <w:tcPr>
            <w:tcW w:w="5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w:t>
            </w:r>
          </w:p>
        </w:tc>
        <w:tc>
          <w:tcPr>
            <w:tcW w:w="161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龙水镇滨河路尚溪国际段道路改造工程</w:t>
            </w:r>
          </w:p>
        </w:tc>
        <w:tc>
          <w:tcPr>
            <w:tcW w:w="7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龙水镇</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31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left"/>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1、道路改造长360米，宽7米，拆除车行道原铺贴并铺沥青混凝土，车行道及停车位划线等。</w:t>
            </w:r>
            <w:r>
              <w:rPr>
                <w:rFonts w:hint="eastAsia" w:ascii="方正兰亭纤黑简体" w:hAnsi="仿宋" w:eastAsia="方正兰亭纤黑简体" w:cs="仿宋"/>
                <w:kern w:val="0"/>
                <w:sz w:val="21"/>
                <w:szCs w:val="21"/>
                <w:lang w:bidi="ar"/>
              </w:rPr>
              <w:br w:type="textWrapping"/>
            </w:r>
            <w:r>
              <w:rPr>
                <w:rFonts w:hint="eastAsia" w:ascii="方正兰亭纤黑简体" w:hAnsi="仿宋" w:eastAsia="方正兰亭纤黑简体" w:cs="仿宋"/>
                <w:kern w:val="0"/>
                <w:sz w:val="21"/>
                <w:szCs w:val="21"/>
                <w:lang w:bidi="ar"/>
              </w:rPr>
              <w:t>2、新建道路长430米，车行道宽6米，人行道宽3米。</w:t>
            </w:r>
          </w:p>
        </w:tc>
        <w:tc>
          <w:tcPr>
            <w:tcW w:w="9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0.79</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420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420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420</w:t>
            </w:r>
          </w:p>
        </w:tc>
        <w:tc>
          <w:tcPr>
            <w:tcW w:w="58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5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9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2029</w:t>
            </w:r>
          </w:p>
        </w:tc>
      </w:tr>
      <w:tr>
        <w:tblPrEx>
          <w:tblLayout w:type="fixed"/>
          <w:tblCellMar>
            <w:top w:w="0" w:type="dxa"/>
            <w:left w:w="108" w:type="dxa"/>
            <w:bottom w:w="0" w:type="dxa"/>
            <w:right w:w="108" w:type="dxa"/>
          </w:tblCellMar>
        </w:tblPrEx>
        <w:trPr>
          <w:trHeight w:val="900" w:hRule="atLeast"/>
        </w:trPr>
        <w:tc>
          <w:tcPr>
            <w:tcW w:w="5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w:t>
            </w:r>
          </w:p>
        </w:tc>
        <w:tc>
          <w:tcPr>
            <w:tcW w:w="161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西门桥提升改造工程</w:t>
            </w:r>
          </w:p>
        </w:tc>
        <w:tc>
          <w:tcPr>
            <w:tcW w:w="7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31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将现状西门桥改造为双向4车道，改造长度约50m。</w:t>
            </w:r>
          </w:p>
        </w:tc>
        <w:tc>
          <w:tcPr>
            <w:tcW w:w="9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0.05</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380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380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380</w:t>
            </w:r>
          </w:p>
        </w:tc>
        <w:tc>
          <w:tcPr>
            <w:tcW w:w="58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5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9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2029</w:t>
            </w:r>
          </w:p>
        </w:tc>
      </w:tr>
      <w:tr>
        <w:tblPrEx>
          <w:tblLayout w:type="fixed"/>
          <w:tblCellMar>
            <w:top w:w="0" w:type="dxa"/>
            <w:left w:w="108" w:type="dxa"/>
            <w:bottom w:w="0" w:type="dxa"/>
            <w:right w:w="108" w:type="dxa"/>
          </w:tblCellMar>
        </w:tblPrEx>
        <w:trPr>
          <w:trHeight w:val="900" w:hRule="atLeast"/>
        </w:trPr>
        <w:tc>
          <w:tcPr>
            <w:tcW w:w="5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w:t>
            </w:r>
          </w:p>
        </w:tc>
        <w:tc>
          <w:tcPr>
            <w:tcW w:w="161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龙棠大道龙水段疏堵改造工程</w:t>
            </w:r>
          </w:p>
        </w:tc>
        <w:tc>
          <w:tcPr>
            <w:tcW w:w="7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龙水镇</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31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起于工业大道红绿灯，止于龙水镇政府，线路长度约2公里。</w:t>
            </w:r>
          </w:p>
        </w:tc>
        <w:tc>
          <w:tcPr>
            <w:tcW w:w="9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w:t>
            </w:r>
          </w:p>
        </w:tc>
        <w:tc>
          <w:tcPr>
            <w:tcW w:w="58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5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9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2029</w:t>
            </w:r>
          </w:p>
        </w:tc>
      </w:tr>
      <w:tr>
        <w:tblPrEx>
          <w:tblLayout w:type="fixed"/>
          <w:tblCellMar>
            <w:top w:w="0" w:type="dxa"/>
            <w:left w:w="108" w:type="dxa"/>
            <w:bottom w:w="0" w:type="dxa"/>
            <w:right w:w="108" w:type="dxa"/>
          </w:tblCellMar>
        </w:tblPrEx>
        <w:trPr>
          <w:trHeight w:val="900" w:hRule="atLeast"/>
        </w:trPr>
        <w:tc>
          <w:tcPr>
            <w:tcW w:w="5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9</w:t>
            </w:r>
          </w:p>
        </w:tc>
        <w:tc>
          <w:tcPr>
            <w:tcW w:w="161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城市道路疏堵改造提升工程</w:t>
            </w:r>
          </w:p>
        </w:tc>
        <w:tc>
          <w:tcPr>
            <w:tcW w:w="7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31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二环南路改造工程起于重长司至蓝湖天和交叉口，全长4.8公里；2.一环南路改造足丰嘉园十字路口至插旗山桥路口，长度1.6公里；3.一环西路改造足丰嘉园十字路口至西棠锦城交叉口，长度为0.6公里；4.断头路、瓶颈路建设，拟打通建设累丰路延伸段、西城国际北侧、龙中路等3条市政道路共计1.4公里。</w:t>
            </w:r>
          </w:p>
        </w:tc>
        <w:tc>
          <w:tcPr>
            <w:tcW w:w="9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8.1</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25000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25000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25000</w:t>
            </w:r>
          </w:p>
        </w:tc>
        <w:tc>
          <w:tcPr>
            <w:tcW w:w="58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5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9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2029</w:t>
            </w:r>
          </w:p>
        </w:tc>
      </w:tr>
      <w:tr>
        <w:tblPrEx>
          <w:tblLayout w:type="fixed"/>
          <w:tblCellMar>
            <w:top w:w="0" w:type="dxa"/>
            <w:left w:w="108" w:type="dxa"/>
            <w:bottom w:w="0" w:type="dxa"/>
            <w:right w:w="108" w:type="dxa"/>
          </w:tblCellMar>
        </w:tblPrEx>
        <w:trPr>
          <w:trHeight w:val="900" w:hRule="atLeast"/>
        </w:trPr>
        <w:tc>
          <w:tcPr>
            <w:tcW w:w="5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w:t>
            </w:r>
          </w:p>
        </w:tc>
        <w:tc>
          <w:tcPr>
            <w:tcW w:w="161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 xml:space="preserve"> 幸光大道景观风貌提升</w:t>
            </w:r>
          </w:p>
        </w:tc>
        <w:tc>
          <w:tcPr>
            <w:tcW w:w="7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龙水镇</w:t>
            </w:r>
          </w:p>
        </w:tc>
        <w:tc>
          <w:tcPr>
            <w:tcW w:w="7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31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道路环境综合整治、街道绿化品质提升、补充城市家具、植入本土文化元素等、协调统一建筑外立面。</w:t>
            </w:r>
          </w:p>
        </w:tc>
        <w:tc>
          <w:tcPr>
            <w:tcW w:w="9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1.6</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4800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4800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4800</w:t>
            </w:r>
          </w:p>
        </w:tc>
        <w:tc>
          <w:tcPr>
            <w:tcW w:w="58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5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9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2029</w:t>
            </w:r>
          </w:p>
        </w:tc>
      </w:tr>
    </w:tbl>
    <w:p>
      <w:pPr>
        <w:ind w:firstLine="482"/>
        <w:rPr>
          <w:rFonts w:ascii="方正兰亭纤黑简体" w:hAnsi="仿宋" w:eastAsia="方正兰亭纤黑简体" w:cs="仿宋"/>
          <w:b/>
          <w:bCs/>
          <w:sz w:val="24"/>
        </w:rPr>
      </w:pPr>
      <w:r>
        <w:rPr>
          <w:rFonts w:hint="eastAsia" w:ascii="方正兰亭纤黑简体" w:hAnsi="仿宋" w:eastAsia="方正兰亭纤黑简体" w:cs="仿宋"/>
          <w:b/>
          <w:bCs/>
          <w:sz w:val="24"/>
        </w:rPr>
        <w:br w:type="page"/>
      </w:r>
    </w:p>
    <w:p>
      <w:pPr>
        <w:ind w:firstLine="422"/>
        <w:rPr>
          <w:rFonts w:ascii="方正兰亭纤黑简体" w:hAnsi="仿宋" w:eastAsia="方正兰亭纤黑简体" w:cs="仿宋"/>
          <w:b/>
          <w:bCs/>
          <w:sz w:val="21"/>
          <w:szCs w:val="21"/>
        </w:rPr>
      </w:pPr>
    </w:p>
    <w:p>
      <w:pPr>
        <w:ind w:firstLine="422"/>
        <w:rPr>
          <w:rFonts w:ascii="方正兰亭纤黑简体" w:hAnsi="仿宋" w:eastAsia="方正兰亭纤黑简体" w:cs="仿宋"/>
          <w:b/>
          <w:bCs/>
          <w:sz w:val="21"/>
          <w:szCs w:val="21"/>
        </w:rPr>
      </w:pPr>
    </w:p>
    <w:tbl>
      <w:tblPr>
        <w:tblStyle w:val="24"/>
        <w:tblW w:w="12960" w:type="dxa"/>
        <w:tblInd w:w="9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80"/>
        <w:gridCol w:w="1080"/>
        <w:gridCol w:w="1080"/>
        <w:gridCol w:w="1080"/>
        <w:gridCol w:w="1080"/>
        <w:gridCol w:w="1080"/>
        <w:gridCol w:w="1080"/>
        <w:gridCol w:w="1080"/>
        <w:gridCol w:w="1080"/>
        <w:gridCol w:w="1080"/>
        <w:gridCol w:w="1080"/>
        <w:gridCol w:w="10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5" w:hRule="atLeast"/>
        </w:trPr>
        <w:tc>
          <w:tcPr>
            <w:tcW w:w="12960" w:type="dxa"/>
            <w:gridSpan w:val="12"/>
            <w:shd w:val="clear" w:color="auto" w:fill="auto"/>
            <w:vAlign w:val="center"/>
          </w:tcPr>
          <w:p>
            <w:pPr>
              <w:widowControl/>
              <w:ind w:firstLine="0" w:firstLineChars="0"/>
              <w:jc w:val="center"/>
              <w:textAlignment w:val="center"/>
              <w:rPr>
                <w:rFonts w:ascii="方正仿宋_GBK" w:hAnsi="方正仿宋_GBK" w:cs="方正仿宋_GBK"/>
                <w:b/>
                <w:bCs/>
                <w:sz w:val="28"/>
                <w:szCs w:val="28"/>
              </w:rPr>
            </w:pPr>
            <w:r>
              <w:rPr>
                <w:rFonts w:hint="eastAsia" w:ascii="方正兰亭纤黑简体" w:hAnsi="仿宋" w:eastAsia="方正兰亭纤黑简体" w:cs="仿宋"/>
                <w:b/>
                <w:bCs/>
                <w:kern w:val="0"/>
                <w:sz w:val="21"/>
                <w:szCs w:val="21"/>
                <w:lang w:bidi="ar"/>
              </w:rPr>
              <w:t>公共交通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5" w:hRule="atLeast"/>
        </w:trPr>
        <w:tc>
          <w:tcPr>
            <w:tcW w:w="1080" w:type="dxa"/>
            <w:vMerge w:val="restart"/>
            <w:shd w:val="clear" w:color="auto" w:fill="auto"/>
            <w:vAlign w:val="center"/>
          </w:tcPr>
          <w:p>
            <w:pPr>
              <w:widowControl/>
              <w:ind w:firstLine="0" w:firstLineChars="0"/>
              <w:jc w:val="center"/>
              <w:textAlignment w:val="center"/>
              <w:rPr>
                <w:rFonts w:ascii="方正兰亭纤黑简体" w:hAnsi="仿宋" w:eastAsia="方正兰亭纤黑简体" w:cs="仿宋"/>
                <w:b/>
                <w:bCs/>
                <w:kern w:val="0"/>
                <w:sz w:val="21"/>
                <w:szCs w:val="21"/>
                <w:lang w:bidi="ar"/>
              </w:rPr>
            </w:pPr>
            <w:r>
              <w:rPr>
                <w:rFonts w:hint="eastAsia" w:ascii="方正兰亭纤黑简体" w:hAnsi="仿宋" w:eastAsia="方正兰亭纤黑简体" w:cs="仿宋"/>
                <w:b/>
                <w:bCs/>
                <w:kern w:val="0"/>
                <w:sz w:val="21"/>
                <w:szCs w:val="21"/>
                <w:lang w:bidi="ar"/>
              </w:rPr>
              <w:t>序号</w:t>
            </w:r>
          </w:p>
        </w:tc>
        <w:tc>
          <w:tcPr>
            <w:tcW w:w="1080" w:type="dxa"/>
            <w:vMerge w:val="restart"/>
            <w:shd w:val="clear" w:color="auto" w:fill="auto"/>
            <w:vAlign w:val="center"/>
          </w:tcPr>
          <w:p>
            <w:pPr>
              <w:widowControl/>
              <w:ind w:firstLine="0" w:firstLineChars="0"/>
              <w:jc w:val="center"/>
              <w:textAlignment w:val="center"/>
              <w:rPr>
                <w:rFonts w:ascii="方正兰亭纤黑简体" w:hAnsi="仿宋" w:eastAsia="方正兰亭纤黑简体" w:cs="仿宋"/>
                <w:b/>
                <w:bCs/>
                <w:kern w:val="0"/>
                <w:sz w:val="21"/>
                <w:szCs w:val="21"/>
                <w:lang w:bidi="ar"/>
              </w:rPr>
            </w:pPr>
            <w:r>
              <w:rPr>
                <w:rFonts w:hint="eastAsia" w:ascii="方正兰亭纤黑简体" w:hAnsi="仿宋" w:eastAsia="方正兰亭纤黑简体" w:cs="仿宋"/>
                <w:b/>
                <w:bCs/>
                <w:kern w:val="0"/>
                <w:sz w:val="21"/>
                <w:szCs w:val="21"/>
                <w:lang w:bidi="ar"/>
              </w:rPr>
              <w:t>项目名字</w:t>
            </w:r>
          </w:p>
        </w:tc>
        <w:tc>
          <w:tcPr>
            <w:tcW w:w="1080" w:type="dxa"/>
            <w:vMerge w:val="restart"/>
            <w:shd w:val="clear" w:color="auto" w:fill="auto"/>
            <w:vAlign w:val="center"/>
          </w:tcPr>
          <w:p>
            <w:pPr>
              <w:widowControl/>
              <w:ind w:firstLine="0" w:firstLineChars="0"/>
              <w:jc w:val="center"/>
              <w:textAlignment w:val="center"/>
              <w:rPr>
                <w:rFonts w:ascii="方正兰亭纤黑简体" w:hAnsi="仿宋" w:eastAsia="方正兰亭纤黑简体" w:cs="仿宋"/>
                <w:b/>
                <w:bCs/>
                <w:kern w:val="0"/>
                <w:sz w:val="21"/>
                <w:szCs w:val="21"/>
                <w:lang w:bidi="ar"/>
              </w:rPr>
            </w:pPr>
            <w:r>
              <w:rPr>
                <w:rFonts w:hint="eastAsia" w:ascii="方正兰亭纤黑简体" w:hAnsi="仿宋" w:eastAsia="方正兰亭纤黑简体" w:cs="仿宋"/>
                <w:b/>
                <w:bCs/>
                <w:kern w:val="0"/>
                <w:sz w:val="21"/>
                <w:szCs w:val="21"/>
                <w:lang w:bidi="ar"/>
              </w:rPr>
              <w:t>责任单位</w:t>
            </w:r>
          </w:p>
        </w:tc>
        <w:tc>
          <w:tcPr>
            <w:tcW w:w="1080" w:type="dxa"/>
            <w:vMerge w:val="restart"/>
            <w:shd w:val="clear" w:color="auto" w:fill="auto"/>
            <w:vAlign w:val="center"/>
          </w:tcPr>
          <w:p>
            <w:pPr>
              <w:widowControl/>
              <w:ind w:firstLine="0" w:firstLineChars="0"/>
              <w:jc w:val="center"/>
              <w:textAlignment w:val="center"/>
              <w:rPr>
                <w:rFonts w:ascii="方正兰亭纤黑简体" w:hAnsi="仿宋" w:eastAsia="方正兰亭纤黑简体" w:cs="仿宋"/>
                <w:b/>
                <w:bCs/>
                <w:kern w:val="0"/>
                <w:sz w:val="21"/>
                <w:szCs w:val="21"/>
                <w:lang w:bidi="ar"/>
              </w:rPr>
            </w:pPr>
            <w:r>
              <w:rPr>
                <w:rFonts w:hint="eastAsia" w:ascii="方正兰亭纤黑简体" w:hAnsi="仿宋" w:eastAsia="方正兰亭纤黑简体" w:cs="仿宋"/>
                <w:b/>
                <w:bCs/>
                <w:kern w:val="0"/>
                <w:sz w:val="21"/>
                <w:szCs w:val="21"/>
                <w:lang w:bidi="ar"/>
              </w:rPr>
              <w:t>建设性质</w:t>
            </w:r>
          </w:p>
        </w:tc>
        <w:tc>
          <w:tcPr>
            <w:tcW w:w="1080" w:type="dxa"/>
            <w:vMerge w:val="restart"/>
            <w:shd w:val="clear" w:color="auto" w:fill="auto"/>
            <w:vAlign w:val="center"/>
          </w:tcPr>
          <w:p>
            <w:pPr>
              <w:widowControl/>
              <w:ind w:firstLine="0" w:firstLineChars="0"/>
              <w:jc w:val="center"/>
              <w:textAlignment w:val="center"/>
              <w:rPr>
                <w:rFonts w:ascii="方正兰亭纤黑简体" w:hAnsi="仿宋" w:eastAsia="方正兰亭纤黑简体" w:cs="仿宋"/>
                <w:b/>
                <w:bCs/>
                <w:kern w:val="0"/>
                <w:sz w:val="21"/>
                <w:szCs w:val="21"/>
                <w:lang w:bidi="ar"/>
              </w:rPr>
            </w:pPr>
            <w:r>
              <w:rPr>
                <w:rFonts w:hint="eastAsia" w:ascii="方正兰亭纤黑简体" w:hAnsi="仿宋" w:eastAsia="方正兰亭纤黑简体" w:cs="仿宋"/>
                <w:b/>
                <w:bCs/>
                <w:kern w:val="0"/>
                <w:sz w:val="21"/>
                <w:szCs w:val="21"/>
                <w:lang w:bidi="ar"/>
              </w:rPr>
              <w:t>建设内容</w:t>
            </w:r>
          </w:p>
        </w:tc>
        <w:tc>
          <w:tcPr>
            <w:tcW w:w="1080" w:type="dxa"/>
            <w:vMerge w:val="restart"/>
            <w:shd w:val="clear" w:color="auto" w:fill="auto"/>
            <w:vAlign w:val="center"/>
          </w:tcPr>
          <w:p>
            <w:pPr>
              <w:widowControl/>
              <w:ind w:firstLine="0" w:firstLineChars="0"/>
              <w:jc w:val="center"/>
              <w:textAlignment w:val="center"/>
              <w:rPr>
                <w:rFonts w:ascii="方正兰亭纤黑简体" w:hAnsi="仿宋" w:eastAsia="方正兰亭纤黑简体" w:cs="仿宋"/>
                <w:b/>
                <w:bCs/>
                <w:kern w:val="0"/>
                <w:sz w:val="21"/>
                <w:szCs w:val="21"/>
                <w:lang w:bidi="ar"/>
              </w:rPr>
            </w:pPr>
            <w:r>
              <w:rPr>
                <w:rFonts w:hint="eastAsia" w:ascii="方正兰亭纤黑简体" w:hAnsi="仿宋" w:eastAsia="方正兰亭纤黑简体" w:cs="仿宋"/>
                <w:b/>
                <w:bCs/>
                <w:kern w:val="0"/>
                <w:sz w:val="21"/>
                <w:szCs w:val="21"/>
                <w:lang w:bidi="ar"/>
              </w:rPr>
              <w:t>项目总投资（万元）</w:t>
            </w:r>
          </w:p>
        </w:tc>
        <w:tc>
          <w:tcPr>
            <w:tcW w:w="1080" w:type="dxa"/>
            <w:vMerge w:val="restart"/>
            <w:shd w:val="clear" w:color="auto" w:fill="auto"/>
            <w:vAlign w:val="center"/>
          </w:tcPr>
          <w:p>
            <w:pPr>
              <w:widowControl/>
              <w:ind w:firstLine="0" w:firstLineChars="0"/>
              <w:jc w:val="center"/>
              <w:textAlignment w:val="center"/>
              <w:rPr>
                <w:rFonts w:ascii="方正兰亭纤黑简体" w:hAnsi="仿宋" w:eastAsia="方正兰亭纤黑简体" w:cs="仿宋"/>
                <w:b/>
                <w:bCs/>
                <w:kern w:val="0"/>
                <w:sz w:val="21"/>
                <w:szCs w:val="21"/>
                <w:lang w:bidi="ar"/>
              </w:rPr>
            </w:pPr>
            <w:r>
              <w:rPr>
                <w:rFonts w:hint="eastAsia" w:ascii="方正兰亭纤黑简体" w:hAnsi="仿宋" w:eastAsia="方正兰亭纤黑简体" w:cs="仿宋"/>
                <w:b/>
                <w:bCs/>
                <w:kern w:val="0"/>
                <w:sz w:val="21"/>
                <w:szCs w:val="21"/>
                <w:lang w:eastAsia="zh-CN" w:bidi="ar"/>
              </w:rPr>
              <w:t>“十四五”</w:t>
            </w:r>
            <w:r>
              <w:rPr>
                <w:rFonts w:hint="eastAsia" w:ascii="方正兰亭纤黑简体" w:hAnsi="仿宋" w:eastAsia="方正兰亭纤黑简体" w:cs="仿宋"/>
                <w:b/>
                <w:bCs/>
                <w:kern w:val="0"/>
                <w:sz w:val="21"/>
                <w:szCs w:val="21"/>
                <w:lang w:bidi="ar"/>
              </w:rPr>
              <w:t>计划投资（万元）</w:t>
            </w:r>
          </w:p>
        </w:tc>
        <w:tc>
          <w:tcPr>
            <w:tcW w:w="3240" w:type="dxa"/>
            <w:gridSpan w:val="3"/>
            <w:shd w:val="clear" w:color="auto" w:fill="auto"/>
            <w:vAlign w:val="center"/>
          </w:tcPr>
          <w:p>
            <w:pPr>
              <w:widowControl/>
              <w:ind w:firstLine="0" w:firstLineChars="0"/>
              <w:jc w:val="center"/>
              <w:textAlignment w:val="center"/>
              <w:rPr>
                <w:rFonts w:ascii="方正兰亭纤黑简体" w:hAnsi="仿宋" w:eastAsia="方正兰亭纤黑简体" w:cs="仿宋"/>
                <w:b/>
                <w:bCs/>
                <w:kern w:val="0"/>
                <w:sz w:val="21"/>
                <w:szCs w:val="21"/>
                <w:lang w:bidi="ar"/>
              </w:rPr>
            </w:pPr>
            <w:r>
              <w:rPr>
                <w:rFonts w:hint="eastAsia" w:ascii="方正兰亭纤黑简体" w:hAnsi="仿宋" w:eastAsia="方正兰亭纤黑简体" w:cs="仿宋"/>
                <w:b/>
                <w:bCs/>
                <w:kern w:val="0"/>
                <w:sz w:val="21"/>
                <w:szCs w:val="21"/>
                <w:lang w:eastAsia="zh-CN" w:bidi="ar"/>
              </w:rPr>
              <w:t>“十四五”</w:t>
            </w:r>
            <w:r>
              <w:rPr>
                <w:rFonts w:hint="eastAsia" w:ascii="方正兰亭纤黑简体" w:hAnsi="仿宋" w:eastAsia="方正兰亭纤黑简体" w:cs="仿宋"/>
                <w:b/>
                <w:bCs/>
                <w:kern w:val="0"/>
                <w:sz w:val="21"/>
                <w:szCs w:val="21"/>
                <w:lang w:bidi="ar"/>
              </w:rPr>
              <w:t>计划投资分类（万元）</w:t>
            </w:r>
          </w:p>
        </w:tc>
        <w:tc>
          <w:tcPr>
            <w:tcW w:w="1080" w:type="dxa"/>
            <w:vMerge w:val="restart"/>
            <w:shd w:val="clear" w:color="auto" w:fill="auto"/>
            <w:vAlign w:val="center"/>
          </w:tcPr>
          <w:p>
            <w:pPr>
              <w:widowControl/>
              <w:ind w:firstLine="0" w:firstLineChars="0"/>
              <w:jc w:val="center"/>
              <w:textAlignment w:val="center"/>
              <w:rPr>
                <w:rFonts w:ascii="方正兰亭纤黑简体" w:hAnsi="仿宋" w:eastAsia="方正兰亭纤黑简体" w:cs="仿宋"/>
                <w:b/>
                <w:bCs/>
                <w:kern w:val="0"/>
                <w:sz w:val="21"/>
                <w:szCs w:val="21"/>
                <w:lang w:bidi="ar"/>
              </w:rPr>
            </w:pPr>
            <w:r>
              <w:rPr>
                <w:rFonts w:hint="eastAsia" w:ascii="方正兰亭纤黑简体" w:hAnsi="仿宋" w:eastAsia="方正兰亭纤黑简体" w:cs="仿宋"/>
                <w:b/>
                <w:bCs/>
                <w:kern w:val="0"/>
                <w:sz w:val="21"/>
                <w:szCs w:val="21"/>
                <w:lang w:bidi="ar"/>
              </w:rPr>
              <w:t>开工时间</w:t>
            </w:r>
          </w:p>
        </w:tc>
        <w:tc>
          <w:tcPr>
            <w:tcW w:w="1080" w:type="dxa"/>
            <w:vMerge w:val="restart"/>
            <w:shd w:val="clear" w:color="auto" w:fill="auto"/>
            <w:vAlign w:val="center"/>
          </w:tcPr>
          <w:p>
            <w:pPr>
              <w:widowControl/>
              <w:ind w:firstLine="0" w:firstLineChars="0"/>
              <w:jc w:val="center"/>
              <w:textAlignment w:val="center"/>
              <w:rPr>
                <w:rFonts w:ascii="方正兰亭纤黑简体" w:hAnsi="仿宋" w:eastAsia="方正兰亭纤黑简体" w:cs="仿宋"/>
                <w:b/>
                <w:bCs/>
                <w:kern w:val="0"/>
                <w:sz w:val="21"/>
                <w:szCs w:val="21"/>
                <w:lang w:bidi="ar"/>
              </w:rPr>
            </w:pPr>
            <w:r>
              <w:rPr>
                <w:rFonts w:hint="eastAsia" w:ascii="方正兰亭纤黑简体" w:hAnsi="仿宋" w:eastAsia="方正兰亭纤黑简体" w:cs="仿宋"/>
                <w:b/>
                <w:bCs/>
                <w:kern w:val="0"/>
                <w:sz w:val="21"/>
                <w:szCs w:val="21"/>
                <w:lang w:bidi="ar"/>
              </w:rPr>
              <w:t>竣工时间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30" w:hRule="atLeast"/>
        </w:trPr>
        <w:tc>
          <w:tcPr>
            <w:tcW w:w="1080" w:type="dxa"/>
            <w:vMerge w:val="continue"/>
            <w:shd w:val="clear" w:color="auto" w:fill="auto"/>
            <w:vAlign w:val="center"/>
          </w:tcPr>
          <w:p>
            <w:pPr>
              <w:ind w:firstLine="482"/>
              <w:jc w:val="center"/>
              <w:rPr>
                <w:rFonts w:ascii="方正仿宋_GBK" w:hAnsi="方正仿宋_GBK" w:cs="方正仿宋_GBK"/>
                <w:b/>
                <w:bCs/>
                <w:sz w:val="24"/>
              </w:rPr>
            </w:pPr>
          </w:p>
        </w:tc>
        <w:tc>
          <w:tcPr>
            <w:tcW w:w="1080" w:type="dxa"/>
            <w:vMerge w:val="continue"/>
            <w:shd w:val="clear" w:color="auto" w:fill="auto"/>
            <w:vAlign w:val="center"/>
          </w:tcPr>
          <w:p>
            <w:pPr>
              <w:ind w:firstLine="482"/>
              <w:jc w:val="center"/>
              <w:rPr>
                <w:rFonts w:ascii="方正仿宋_GBK" w:hAnsi="方正仿宋_GBK" w:cs="方正仿宋_GBK"/>
                <w:b/>
                <w:bCs/>
                <w:sz w:val="24"/>
              </w:rPr>
            </w:pPr>
          </w:p>
        </w:tc>
        <w:tc>
          <w:tcPr>
            <w:tcW w:w="1080" w:type="dxa"/>
            <w:vMerge w:val="continue"/>
            <w:shd w:val="clear" w:color="auto" w:fill="auto"/>
            <w:vAlign w:val="center"/>
          </w:tcPr>
          <w:p>
            <w:pPr>
              <w:ind w:firstLine="482"/>
              <w:jc w:val="center"/>
              <w:rPr>
                <w:rFonts w:ascii="方正仿宋_GBK" w:hAnsi="方正仿宋_GBK" w:cs="方正仿宋_GBK"/>
                <w:b/>
                <w:bCs/>
                <w:sz w:val="24"/>
              </w:rPr>
            </w:pPr>
          </w:p>
        </w:tc>
        <w:tc>
          <w:tcPr>
            <w:tcW w:w="1080" w:type="dxa"/>
            <w:vMerge w:val="continue"/>
            <w:shd w:val="clear" w:color="auto" w:fill="auto"/>
            <w:vAlign w:val="center"/>
          </w:tcPr>
          <w:p>
            <w:pPr>
              <w:ind w:firstLine="482"/>
              <w:jc w:val="center"/>
              <w:rPr>
                <w:rFonts w:ascii="方正仿宋_GBK" w:hAnsi="方正仿宋_GBK" w:cs="方正仿宋_GBK"/>
                <w:b/>
                <w:bCs/>
                <w:sz w:val="24"/>
              </w:rPr>
            </w:pPr>
          </w:p>
        </w:tc>
        <w:tc>
          <w:tcPr>
            <w:tcW w:w="1080" w:type="dxa"/>
            <w:vMerge w:val="continue"/>
            <w:shd w:val="clear" w:color="auto" w:fill="auto"/>
            <w:vAlign w:val="center"/>
          </w:tcPr>
          <w:p>
            <w:pPr>
              <w:ind w:firstLine="482"/>
              <w:jc w:val="center"/>
              <w:rPr>
                <w:rFonts w:ascii="方正仿宋_GBK" w:hAnsi="方正仿宋_GBK" w:cs="方正仿宋_GBK"/>
                <w:b/>
                <w:bCs/>
                <w:sz w:val="24"/>
              </w:rPr>
            </w:pPr>
          </w:p>
        </w:tc>
        <w:tc>
          <w:tcPr>
            <w:tcW w:w="1080" w:type="dxa"/>
            <w:vMerge w:val="continue"/>
            <w:shd w:val="clear" w:color="auto" w:fill="auto"/>
            <w:vAlign w:val="center"/>
          </w:tcPr>
          <w:p>
            <w:pPr>
              <w:ind w:firstLine="482"/>
              <w:jc w:val="center"/>
              <w:rPr>
                <w:rFonts w:ascii="方正仿宋_GBK" w:hAnsi="方正仿宋_GBK" w:cs="方正仿宋_GBK"/>
                <w:b/>
                <w:bCs/>
                <w:sz w:val="24"/>
              </w:rPr>
            </w:pPr>
          </w:p>
        </w:tc>
        <w:tc>
          <w:tcPr>
            <w:tcW w:w="1080" w:type="dxa"/>
            <w:vMerge w:val="continue"/>
            <w:shd w:val="clear" w:color="auto" w:fill="auto"/>
            <w:vAlign w:val="center"/>
          </w:tcPr>
          <w:p>
            <w:pPr>
              <w:ind w:firstLine="482"/>
              <w:jc w:val="center"/>
              <w:rPr>
                <w:rFonts w:ascii="方正仿宋_GBK" w:hAnsi="方正仿宋_GBK" w:cs="方正仿宋_GBK"/>
                <w:b/>
                <w:bCs/>
                <w:sz w:val="24"/>
              </w:rPr>
            </w:pPr>
          </w:p>
        </w:tc>
        <w:tc>
          <w:tcPr>
            <w:tcW w:w="1080" w:type="dxa"/>
            <w:shd w:val="clear" w:color="auto" w:fill="auto"/>
            <w:vAlign w:val="center"/>
          </w:tcPr>
          <w:p>
            <w:pPr>
              <w:widowControl/>
              <w:ind w:firstLine="0" w:firstLineChars="0"/>
              <w:jc w:val="center"/>
              <w:textAlignment w:val="center"/>
              <w:rPr>
                <w:rFonts w:ascii="方正兰亭纤黑简体" w:hAnsi="仿宋" w:eastAsia="方正兰亭纤黑简体" w:cs="仿宋"/>
                <w:b/>
                <w:bCs/>
                <w:kern w:val="0"/>
                <w:sz w:val="21"/>
                <w:szCs w:val="21"/>
                <w:lang w:bidi="ar"/>
              </w:rPr>
            </w:pPr>
            <w:r>
              <w:rPr>
                <w:rFonts w:hint="eastAsia" w:ascii="方正兰亭纤黑简体" w:hAnsi="仿宋" w:eastAsia="方正兰亭纤黑简体" w:cs="仿宋"/>
                <w:b/>
                <w:bCs/>
                <w:kern w:val="0"/>
                <w:sz w:val="21"/>
                <w:szCs w:val="21"/>
                <w:lang w:bidi="ar"/>
              </w:rPr>
              <w:t>中央</w:t>
            </w:r>
            <w:r>
              <w:rPr>
                <w:rFonts w:ascii="方正兰亭纤黑简体" w:hAnsi="仿宋" w:eastAsia="方正兰亭纤黑简体" w:cs="仿宋"/>
                <w:b/>
                <w:bCs/>
                <w:kern w:val="0"/>
                <w:sz w:val="21"/>
                <w:szCs w:val="21"/>
                <w:lang w:bidi="ar"/>
              </w:rPr>
              <w:t>及</w:t>
            </w:r>
            <w:r>
              <w:rPr>
                <w:rFonts w:hint="eastAsia" w:ascii="方正兰亭纤黑简体" w:hAnsi="仿宋" w:eastAsia="方正兰亭纤黑简体" w:cs="仿宋"/>
                <w:b/>
                <w:bCs/>
                <w:kern w:val="0"/>
                <w:sz w:val="21"/>
                <w:szCs w:val="21"/>
                <w:lang w:bidi="ar"/>
              </w:rPr>
              <w:t>市级投资</w:t>
            </w:r>
          </w:p>
        </w:tc>
        <w:tc>
          <w:tcPr>
            <w:tcW w:w="1080" w:type="dxa"/>
            <w:shd w:val="clear" w:color="auto" w:fill="auto"/>
            <w:vAlign w:val="center"/>
          </w:tcPr>
          <w:p>
            <w:pPr>
              <w:widowControl/>
              <w:ind w:firstLine="0" w:firstLineChars="0"/>
              <w:jc w:val="center"/>
              <w:textAlignment w:val="center"/>
              <w:rPr>
                <w:rFonts w:ascii="方正兰亭纤黑简体" w:hAnsi="仿宋" w:eastAsia="方正兰亭纤黑简体" w:cs="仿宋"/>
                <w:b/>
                <w:bCs/>
                <w:kern w:val="0"/>
                <w:sz w:val="21"/>
                <w:szCs w:val="21"/>
                <w:lang w:bidi="ar"/>
              </w:rPr>
            </w:pPr>
            <w:r>
              <w:rPr>
                <w:rFonts w:hint="eastAsia" w:ascii="方正兰亭纤黑简体" w:hAnsi="仿宋" w:eastAsia="方正兰亭纤黑简体" w:cs="仿宋"/>
                <w:b/>
                <w:bCs/>
                <w:kern w:val="0"/>
                <w:sz w:val="21"/>
                <w:szCs w:val="21"/>
                <w:lang w:bidi="ar"/>
              </w:rPr>
              <w:t>区级投资</w:t>
            </w:r>
          </w:p>
        </w:tc>
        <w:tc>
          <w:tcPr>
            <w:tcW w:w="1080" w:type="dxa"/>
            <w:shd w:val="clear" w:color="auto" w:fill="auto"/>
            <w:vAlign w:val="center"/>
          </w:tcPr>
          <w:p>
            <w:pPr>
              <w:widowControl/>
              <w:ind w:firstLine="0" w:firstLineChars="0"/>
              <w:jc w:val="center"/>
              <w:textAlignment w:val="center"/>
              <w:rPr>
                <w:rFonts w:ascii="方正兰亭纤黑简体" w:hAnsi="仿宋" w:eastAsia="方正兰亭纤黑简体" w:cs="仿宋"/>
                <w:b/>
                <w:bCs/>
                <w:kern w:val="0"/>
                <w:sz w:val="21"/>
                <w:szCs w:val="21"/>
                <w:lang w:bidi="ar"/>
              </w:rPr>
            </w:pPr>
            <w:r>
              <w:rPr>
                <w:rFonts w:hint="eastAsia" w:ascii="方正兰亭纤黑简体" w:hAnsi="仿宋" w:eastAsia="方正兰亭纤黑简体" w:cs="仿宋"/>
                <w:b/>
                <w:bCs/>
                <w:kern w:val="0"/>
                <w:sz w:val="21"/>
                <w:szCs w:val="21"/>
                <w:lang w:bidi="ar"/>
              </w:rPr>
              <w:t>其它</w:t>
            </w:r>
          </w:p>
        </w:tc>
        <w:tc>
          <w:tcPr>
            <w:tcW w:w="1080" w:type="dxa"/>
            <w:vMerge w:val="continue"/>
            <w:shd w:val="clear" w:color="auto" w:fill="auto"/>
            <w:vAlign w:val="center"/>
          </w:tcPr>
          <w:p>
            <w:pPr>
              <w:widowControl/>
              <w:ind w:firstLine="0" w:firstLineChars="0"/>
              <w:jc w:val="center"/>
              <w:textAlignment w:val="center"/>
              <w:rPr>
                <w:rFonts w:ascii="方正兰亭纤黑简体" w:hAnsi="仿宋" w:eastAsia="方正兰亭纤黑简体" w:cs="仿宋"/>
                <w:b/>
                <w:bCs/>
                <w:kern w:val="0"/>
                <w:sz w:val="21"/>
                <w:szCs w:val="21"/>
                <w:lang w:bidi="ar"/>
              </w:rPr>
            </w:pPr>
          </w:p>
        </w:tc>
        <w:tc>
          <w:tcPr>
            <w:tcW w:w="1080" w:type="dxa"/>
            <w:vMerge w:val="continue"/>
            <w:shd w:val="clear" w:color="auto" w:fill="auto"/>
            <w:vAlign w:val="center"/>
          </w:tcPr>
          <w:p>
            <w:pPr>
              <w:ind w:firstLine="482"/>
              <w:jc w:val="center"/>
              <w:rPr>
                <w:rFonts w:ascii="方正仿宋_GBK" w:hAnsi="方正仿宋_GBK" w:cs="方正仿宋_GBK"/>
                <w:b/>
                <w:bCs/>
                <w:sz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0" w:hRule="atLeast"/>
        </w:trPr>
        <w:tc>
          <w:tcPr>
            <w:tcW w:w="1080" w:type="dxa"/>
            <w:shd w:val="clear" w:color="auto" w:fill="auto"/>
            <w:vAlign w:val="center"/>
          </w:tcPr>
          <w:p>
            <w:pPr>
              <w:widowControl/>
              <w:spacing w:line="240" w:lineRule="auto"/>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大足石刻高铁站公交站场</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公交公司</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新增大足石刻高铁新增1个公交站场。</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500</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500</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500</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575" w:hRule="atLeast"/>
        </w:trPr>
        <w:tc>
          <w:tcPr>
            <w:tcW w:w="1080" w:type="dxa"/>
            <w:shd w:val="clear" w:color="auto" w:fill="auto"/>
            <w:vAlign w:val="center"/>
          </w:tcPr>
          <w:p>
            <w:pPr>
              <w:ind w:firstLine="42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香国公园站改造</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人文化、智慧化试点改造观香国公园站。</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60</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60</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60</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0" w:hRule="atLeast"/>
        </w:trPr>
        <w:tc>
          <w:tcPr>
            <w:tcW w:w="1080" w:type="dxa"/>
            <w:shd w:val="clear" w:color="auto" w:fill="auto"/>
            <w:vAlign w:val="center"/>
          </w:tcPr>
          <w:p>
            <w:pPr>
              <w:ind w:firstLine="42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宝顶山、北山旅游公交线</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公交公司</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规划</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新增北山、宝顶山旅游公交线。</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600</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600</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600</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0" w:hRule="atLeast"/>
        </w:trPr>
        <w:tc>
          <w:tcPr>
            <w:tcW w:w="1080" w:type="dxa"/>
            <w:shd w:val="clear" w:color="auto" w:fill="auto"/>
            <w:vAlign w:val="center"/>
          </w:tcPr>
          <w:p>
            <w:pPr>
              <w:ind w:firstLine="42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南山旅游公交线</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公交公司</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前期</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新增南山旅游公交线。</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0" w:hRule="atLeast"/>
        </w:trPr>
        <w:tc>
          <w:tcPr>
            <w:tcW w:w="1080" w:type="dxa"/>
            <w:shd w:val="clear" w:color="auto" w:fill="auto"/>
            <w:vAlign w:val="center"/>
          </w:tcPr>
          <w:p>
            <w:pPr>
              <w:ind w:firstLine="42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石门山和石篆山旅游公交线</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公交公司</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新增石门山和石篆山旅游公交线。</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600</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600</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600</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c>
          <w:tcPr>
            <w:tcW w:w="1080" w:type="dxa"/>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bl>
    <w:p>
      <w:pPr>
        <w:ind w:firstLine="422"/>
        <w:rPr>
          <w:rFonts w:ascii="方正兰亭纤黑简体" w:hAnsi="仿宋" w:eastAsia="方正兰亭纤黑简体" w:cs="仿宋"/>
          <w:b/>
          <w:bCs/>
          <w:sz w:val="21"/>
          <w:szCs w:val="21"/>
        </w:rPr>
      </w:pPr>
      <w:r>
        <w:rPr>
          <w:rFonts w:hint="eastAsia" w:ascii="方正兰亭纤黑简体" w:hAnsi="仿宋" w:eastAsia="方正兰亭纤黑简体" w:cs="仿宋"/>
          <w:b/>
          <w:bCs/>
          <w:sz w:val="21"/>
          <w:szCs w:val="21"/>
        </w:rPr>
        <w:br w:type="page"/>
      </w:r>
    </w:p>
    <w:tbl>
      <w:tblPr>
        <w:tblStyle w:val="24"/>
        <w:tblW w:w="14174" w:type="dxa"/>
        <w:tblInd w:w="0" w:type="dxa"/>
        <w:tblLayout w:type="fixed"/>
        <w:tblCellMar>
          <w:top w:w="0" w:type="dxa"/>
          <w:left w:w="108" w:type="dxa"/>
          <w:bottom w:w="0" w:type="dxa"/>
          <w:right w:w="108" w:type="dxa"/>
        </w:tblCellMar>
      </w:tblPr>
      <w:tblGrid>
        <w:gridCol w:w="756"/>
        <w:gridCol w:w="1372"/>
        <w:gridCol w:w="930"/>
        <w:gridCol w:w="763"/>
        <w:gridCol w:w="3969"/>
        <w:gridCol w:w="1089"/>
        <w:gridCol w:w="1038"/>
        <w:gridCol w:w="737"/>
        <w:gridCol w:w="938"/>
        <w:gridCol w:w="643"/>
        <w:gridCol w:w="950"/>
        <w:gridCol w:w="989"/>
      </w:tblGrid>
      <w:tr>
        <w:tblPrEx>
          <w:tblLayout w:type="fixed"/>
          <w:tblCellMar>
            <w:top w:w="0" w:type="dxa"/>
            <w:left w:w="108" w:type="dxa"/>
            <w:bottom w:w="0" w:type="dxa"/>
            <w:right w:w="108" w:type="dxa"/>
          </w:tblCellMar>
        </w:tblPrEx>
        <w:trPr>
          <w:trHeight w:val="375" w:hRule="atLeast"/>
        </w:trPr>
        <w:tc>
          <w:tcPr>
            <w:tcW w:w="14174" w:type="dxa"/>
            <w:gridSpan w:val="12"/>
            <w:tcBorders>
              <w:top w:val="nil"/>
              <w:left w:val="nil"/>
              <w:bottom w:val="single" w:color="auto" w:sz="4" w:space="0"/>
              <w:right w:val="nil"/>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8"/>
                <w:szCs w:val="28"/>
              </w:rPr>
            </w:pPr>
            <w:r>
              <w:rPr>
                <w:rFonts w:hint="eastAsia" w:ascii="方正兰亭纤黑简体" w:hAnsi="仿宋" w:eastAsia="方正兰亭纤黑简体" w:cs="仿宋"/>
                <w:b/>
                <w:bCs/>
                <w:kern w:val="0"/>
                <w:sz w:val="28"/>
                <w:szCs w:val="28"/>
                <w:lang w:bidi="ar"/>
              </w:rPr>
              <w:t>慢行系统项目（新建完工）</w:t>
            </w:r>
          </w:p>
        </w:tc>
      </w:tr>
      <w:tr>
        <w:tblPrEx>
          <w:tblLayout w:type="fixed"/>
          <w:tblCellMar>
            <w:top w:w="0" w:type="dxa"/>
            <w:left w:w="108" w:type="dxa"/>
            <w:bottom w:w="0" w:type="dxa"/>
            <w:right w:w="108" w:type="dxa"/>
          </w:tblCellMar>
        </w:tblPrEx>
        <w:trPr>
          <w:trHeight w:val="315" w:hRule="atLeast"/>
        </w:trPr>
        <w:tc>
          <w:tcPr>
            <w:tcW w:w="756"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序号</w:t>
            </w:r>
          </w:p>
        </w:tc>
        <w:tc>
          <w:tcPr>
            <w:tcW w:w="1372"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项目名字</w:t>
            </w:r>
          </w:p>
        </w:tc>
        <w:tc>
          <w:tcPr>
            <w:tcW w:w="930"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责任单位</w:t>
            </w:r>
          </w:p>
        </w:tc>
        <w:tc>
          <w:tcPr>
            <w:tcW w:w="763"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建设性质</w:t>
            </w:r>
          </w:p>
        </w:tc>
        <w:tc>
          <w:tcPr>
            <w:tcW w:w="3969"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建设内容</w:t>
            </w:r>
          </w:p>
        </w:tc>
        <w:tc>
          <w:tcPr>
            <w:tcW w:w="1089"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项目总投资（万元）</w:t>
            </w:r>
          </w:p>
        </w:tc>
        <w:tc>
          <w:tcPr>
            <w:tcW w:w="1038"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eastAsia="zh-CN" w:bidi="ar"/>
              </w:rPr>
              <w:t>“十四五”</w:t>
            </w:r>
            <w:r>
              <w:rPr>
                <w:rFonts w:hint="eastAsia" w:ascii="方正兰亭纤黑简体" w:hAnsi="仿宋" w:eastAsia="方正兰亭纤黑简体" w:cs="仿宋"/>
                <w:b/>
                <w:bCs/>
                <w:kern w:val="0"/>
                <w:sz w:val="21"/>
                <w:szCs w:val="21"/>
                <w:lang w:bidi="ar"/>
              </w:rPr>
              <w:t>计划投资（万元）</w:t>
            </w:r>
          </w:p>
        </w:tc>
        <w:tc>
          <w:tcPr>
            <w:tcW w:w="2318" w:type="dxa"/>
            <w:gridSpan w:val="3"/>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eastAsia="zh-CN" w:bidi="ar"/>
              </w:rPr>
              <w:t>“十四五”</w:t>
            </w:r>
            <w:r>
              <w:rPr>
                <w:rFonts w:hint="eastAsia" w:ascii="方正兰亭纤黑简体" w:hAnsi="仿宋" w:eastAsia="方正兰亭纤黑简体" w:cs="仿宋"/>
                <w:b/>
                <w:bCs/>
                <w:kern w:val="0"/>
                <w:sz w:val="21"/>
                <w:szCs w:val="21"/>
                <w:lang w:bidi="ar"/>
              </w:rPr>
              <w:t>计划投资分类（万元）</w:t>
            </w:r>
          </w:p>
        </w:tc>
        <w:tc>
          <w:tcPr>
            <w:tcW w:w="950"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开工时间</w:t>
            </w:r>
          </w:p>
        </w:tc>
        <w:tc>
          <w:tcPr>
            <w:tcW w:w="989"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竣工时间</w:t>
            </w:r>
          </w:p>
        </w:tc>
      </w:tr>
      <w:tr>
        <w:tblPrEx>
          <w:tblLayout w:type="fixed"/>
          <w:tblCellMar>
            <w:top w:w="0" w:type="dxa"/>
            <w:left w:w="108" w:type="dxa"/>
            <w:bottom w:w="0" w:type="dxa"/>
            <w:right w:w="108" w:type="dxa"/>
          </w:tblCellMar>
        </w:tblPrEx>
        <w:trPr>
          <w:trHeight w:val="630" w:hRule="atLeast"/>
        </w:trPr>
        <w:tc>
          <w:tcPr>
            <w:tcW w:w="756"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372"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930"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763"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3969"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089"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03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737"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中央</w:t>
            </w:r>
            <w:r>
              <w:rPr>
                <w:rFonts w:ascii="方正兰亭纤黑简体" w:hAnsi="仿宋" w:eastAsia="方正兰亭纤黑简体" w:cs="仿宋"/>
                <w:b/>
                <w:bCs/>
                <w:kern w:val="0"/>
                <w:sz w:val="21"/>
                <w:szCs w:val="21"/>
                <w:lang w:bidi="ar"/>
              </w:rPr>
              <w:t>及</w:t>
            </w:r>
            <w:r>
              <w:rPr>
                <w:rFonts w:hint="eastAsia" w:ascii="方正兰亭纤黑简体" w:hAnsi="仿宋" w:eastAsia="方正兰亭纤黑简体" w:cs="仿宋"/>
                <w:b/>
                <w:bCs/>
                <w:kern w:val="0"/>
                <w:sz w:val="21"/>
                <w:szCs w:val="21"/>
                <w:lang w:bidi="ar"/>
              </w:rPr>
              <w:t>市级投资</w:t>
            </w:r>
          </w:p>
        </w:tc>
        <w:tc>
          <w:tcPr>
            <w:tcW w:w="938"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区级投资</w:t>
            </w:r>
          </w:p>
        </w:tc>
        <w:tc>
          <w:tcPr>
            <w:tcW w:w="643"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其它</w:t>
            </w:r>
          </w:p>
        </w:tc>
        <w:tc>
          <w:tcPr>
            <w:tcW w:w="950"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989"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r>
      <w:tr>
        <w:tblPrEx>
          <w:tblLayout w:type="fixed"/>
          <w:tblCellMar>
            <w:top w:w="0" w:type="dxa"/>
            <w:left w:w="108" w:type="dxa"/>
            <w:bottom w:w="0" w:type="dxa"/>
            <w:right w:w="108" w:type="dxa"/>
          </w:tblCellMar>
        </w:tblPrEx>
        <w:trPr>
          <w:trHeight w:val="285" w:hRule="atLeast"/>
        </w:trPr>
        <w:tc>
          <w:tcPr>
            <w:tcW w:w="14174" w:type="dxa"/>
            <w:gridSpan w:val="1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特色绿色慢行系统</w:t>
            </w:r>
          </w:p>
        </w:tc>
      </w:tr>
      <w:tr>
        <w:tblPrEx>
          <w:tblLayout w:type="fixed"/>
          <w:tblCellMar>
            <w:top w:w="0" w:type="dxa"/>
            <w:left w:w="108" w:type="dxa"/>
            <w:bottom w:w="0" w:type="dxa"/>
            <w:right w:w="108" w:type="dxa"/>
          </w:tblCellMar>
        </w:tblPrEx>
        <w:trPr>
          <w:trHeight w:val="876" w:hRule="atLeast"/>
        </w:trPr>
        <w:tc>
          <w:tcPr>
            <w:tcW w:w="756"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w:t>
            </w:r>
          </w:p>
        </w:tc>
        <w:tc>
          <w:tcPr>
            <w:tcW w:w="137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天宫河公园至同心公园绿道慢行系统</w:t>
            </w:r>
          </w:p>
        </w:tc>
        <w:tc>
          <w:tcPr>
            <w:tcW w:w="93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6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9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依托海棠新城，结合大足人文精神元素，展现城市人文风貌，提升新城品质，打造城市人文景观主题绿道。项目串联海棠新城主要公园、吾悦广场、教育城及石刻大道，形成绿色环路，为后续形成中心城区绿道网络奠定基础，项目全长约4.4公里。</w:t>
            </w:r>
          </w:p>
        </w:tc>
        <w:tc>
          <w:tcPr>
            <w:tcW w:w="108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3200</w:t>
            </w:r>
          </w:p>
        </w:tc>
        <w:tc>
          <w:tcPr>
            <w:tcW w:w="103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3200</w:t>
            </w:r>
          </w:p>
        </w:tc>
        <w:tc>
          <w:tcPr>
            <w:tcW w:w="73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3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3200</w:t>
            </w:r>
          </w:p>
        </w:tc>
        <w:tc>
          <w:tcPr>
            <w:tcW w:w="64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5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98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90" w:hRule="atLeast"/>
        </w:trPr>
        <w:tc>
          <w:tcPr>
            <w:tcW w:w="75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w:t>
            </w:r>
          </w:p>
        </w:tc>
        <w:tc>
          <w:tcPr>
            <w:tcW w:w="1372" w:type="dxa"/>
            <w:tcBorders>
              <w:top w:val="single" w:color="auto" w:sz="4" w:space="0"/>
              <w:left w:val="single" w:color="auto" w:sz="4" w:space="0"/>
              <w:bottom w:val="single" w:color="auto" w:sz="4" w:space="0"/>
              <w:right w:val="single" w:color="auto"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石刻大道-香山大道文化品质提升工程（一期）</w:t>
            </w:r>
          </w:p>
        </w:tc>
        <w:tc>
          <w:tcPr>
            <w:tcW w:w="930" w:type="dxa"/>
            <w:tcBorders>
              <w:top w:val="single" w:color="auto" w:sz="4" w:space="0"/>
              <w:left w:val="single" w:color="auto" w:sz="4" w:space="0"/>
              <w:bottom w:val="single" w:color="auto" w:sz="4" w:space="0"/>
              <w:right w:val="single" w:color="auto"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区城管局</w:t>
            </w:r>
          </w:p>
        </w:tc>
        <w:tc>
          <w:tcPr>
            <w:tcW w:w="763" w:type="dxa"/>
            <w:tcBorders>
              <w:top w:val="single" w:color="auto" w:sz="4" w:space="0"/>
              <w:left w:val="single" w:color="auto" w:sz="4" w:space="0"/>
              <w:bottom w:val="single" w:color="auto" w:sz="4" w:space="0"/>
              <w:right w:val="single" w:color="auto"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969" w:type="dxa"/>
            <w:tcBorders>
              <w:top w:val="single" w:color="auto" w:sz="4" w:space="0"/>
              <w:left w:val="single" w:color="auto" w:sz="4" w:space="0"/>
              <w:bottom w:val="single" w:color="auto" w:sz="4" w:space="0"/>
              <w:right w:val="single" w:color="auto"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对渝蓉高速大足东至同心公园石刻大道段、新建的大足石刻游客接待中心至宝顶景区南北宋街段沿线约6.2公里进行街道空间全方位的提升改造</w:t>
            </w:r>
          </w:p>
        </w:tc>
        <w:tc>
          <w:tcPr>
            <w:tcW w:w="1089" w:type="dxa"/>
            <w:tcBorders>
              <w:top w:val="single" w:color="auto" w:sz="4" w:space="0"/>
              <w:left w:val="single" w:color="auto" w:sz="4" w:space="0"/>
              <w:bottom w:val="single" w:color="auto" w:sz="4" w:space="0"/>
              <w:right w:val="single" w:color="auto"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3500</w:t>
            </w:r>
          </w:p>
        </w:tc>
        <w:tc>
          <w:tcPr>
            <w:tcW w:w="1038" w:type="dxa"/>
            <w:tcBorders>
              <w:top w:val="single" w:color="auto" w:sz="4" w:space="0"/>
              <w:left w:val="single" w:color="auto" w:sz="4" w:space="0"/>
              <w:bottom w:val="single" w:color="auto" w:sz="4" w:space="0"/>
              <w:right w:val="single" w:color="auto"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3500</w:t>
            </w:r>
          </w:p>
        </w:tc>
        <w:tc>
          <w:tcPr>
            <w:tcW w:w="737" w:type="dxa"/>
            <w:tcBorders>
              <w:top w:val="single" w:color="auto" w:sz="4" w:space="0"/>
              <w:left w:val="single" w:color="auto" w:sz="4" w:space="0"/>
              <w:bottom w:val="single" w:color="auto" w:sz="4" w:space="0"/>
              <w:right w:val="single" w:color="auto"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38" w:type="dxa"/>
            <w:tcBorders>
              <w:top w:val="single" w:color="auto" w:sz="4" w:space="0"/>
              <w:left w:val="single" w:color="auto" w:sz="4" w:space="0"/>
              <w:bottom w:val="single" w:color="auto" w:sz="4" w:space="0"/>
              <w:right w:val="single" w:color="auto"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3500</w:t>
            </w:r>
          </w:p>
        </w:tc>
        <w:tc>
          <w:tcPr>
            <w:tcW w:w="643" w:type="dxa"/>
            <w:tcBorders>
              <w:top w:val="single" w:color="auto" w:sz="4" w:space="0"/>
              <w:left w:val="single" w:color="auto" w:sz="4" w:space="0"/>
              <w:bottom w:val="single" w:color="auto" w:sz="4" w:space="0"/>
              <w:right w:val="single" w:color="auto"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50" w:type="dxa"/>
            <w:tcBorders>
              <w:top w:val="single" w:color="auto" w:sz="4" w:space="0"/>
              <w:left w:val="single" w:color="auto" w:sz="4" w:space="0"/>
              <w:bottom w:val="single" w:color="auto" w:sz="4" w:space="0"/>
              <w:right w:val="single" w:color="auto"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c>
          <w:tcPr>
            <w:tcW w:w="989" w:type="dxa"/>
            <w:tcBorders>
              <w:top w:val="single" w:color="auto" w:sz="4" w:space="0"/>
              <w:left w:val="single" w:color="auto" w:sz="4" w:space="0"/>
              <w:bottom w:val="single" w:color="auto" w:sz="4" w:space="0"/>
              <w:right w:val="single" w:color="auto"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r>
      <w:tr>
        <w:tblPrEx>
          <w:tblLayout w:type="fixed"/>
          <w:tblCellMar>
            <w:top w:w="0" w:type="dxa"/>
            <w:left w:w="108" w:type="dxa"/>
            <w:bottom w:w="0" w:type="dxa"/>
            <w:right w:w="108" w:type="dxa"/>
          </w:tblCellMar>
        </w:tblPrEx>
        <w:trPr>
          <w:trHeight w:val="1575" w:hRule="atLeast"/>
        </w:trPr>
        <w:tc>
          <w:tcPr>
            <w:tcW w:w="756" w:type="dxa"/>
            <w:tcBorders>
              <w:top w:val="single" w:color="auto" w:sz="4" w:space="0"/>
              <w:left w:val="single" w:color="auto" w:sz="4" w:space="0"/>
              <w:bottom w:val="single" w:color="auto" w:sz="4" w:space="0"/>
              <w:right w:val="single" w:color="auto"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w:t>
            </w:r>
          </w:p>
        </w:tc>
        <w:tc>
          <w:tcPr>
            <w:tcW w:w="1372" w:type="dxa"/>
            <w:tcBorders>
              <w:top w:val="single" w:color="auto" w:sz="4" w:space="0"/>
              <w:left w:val="single" w:color="auto" w:sz="4" w:space="0"/>
              <w:bottom w:val="single" w:color="auto" w:sz="4" w:space="0"/>
              <w:right w:val="single" w:color="auto"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龙水湖环湖绿道改造升级工程</w:t>
            </w:r>
          </w:p>
        </w:tc>
        <w:tc>
          <w:tcPr>
            <w:tcW w:w="930" w:type="dxa"/>
            <w:tcBorders>
              <w:top w:val="single" w:color="auto" w:sz="4" w:space="0"/>
              <w:left w:val="single" w:color="auto" w:sz="4" w:space="0"/>
              <w:bottom w:val="single" w:color="auto" w:sz="4" w:space="0"/>
              <w:right w:val="single" w:color="auto"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龙水湖度假区发展中心</w:t>
            </w:r>
          </w:p>
        </w:tc>
        <w:tc>
          <w:tcPr>
            <w:tcW w:w="763" w:type="dxa"/>
            <w:tcBorders>
              <w:top w:val="single" w:color="auto" w:sz="4" w:space="0"/>
              <w:left w:val="single" w:color="auto" w:sz="4" w:space="0"/>
              <w:bottom w:val="single" w:color="auto" w:sz="4" w:space="0"/>
              <w:right w:val="single" w:color="auto"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969" w:type="dxa"/>
            <w:tcBorders>
              <w:top w:val="single" w:color="auto" w:sz="4" w:space="0"/>
              <w:left w:val="single" w:color="auto" w:sz="4" w:space="0"/>
              <w:bottom w:val="single" w:color="auto" w:sz="4" w:space="0"/>
              <w:right w:val="single" w:color="auto"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龙水湖环湖绿道改造升级约7公里，宽4.5-6.6米</w:t>
            </w:r>
          </w:p>
        </w:tc>
        <w:tc>
          <w:tcPr>
            <w:tcW w:w="1089" w:type="dxa"/>
            <w:tcBorders>
              <w:top w:val="single" w:color="auto" w:sz="4" w:space="0"/>
              <w:left w:val="single" w:color="auto" w:sz="4" w:space="0"/>
              <w:bottom w:val="single" w:color="auto" w:sz="4" w:space="0"/>
              <w:right w:val="single" w:color="auto"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18522</w:t>
            </w:r>
          </w:p>
        </w:tc>
        <w:tc>
          <w:tcPr>
            <w:tcW w:w="1038" w:type="dxa"/>
            <w:tcBorders>
              <w:top w:val="single" w:color="auto" w:sz="4" w:space="0"/>
              <w:left w:val="single" w:color="auto" w:sz="4" w:space="0"/>
              <w:bottom w:val="single" w:color="auto" w:sz="4" w:space="0"/>
              <w:right w:val="single" w:color="auto"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18522</w:t>
            </w:r>
          </w:p>
        </w:tc>
        <w:tc>
          <w:tcPr>
            <w:tcW w:w="737" w:type="dxa"/>
            <w:tcBorders>
              <w:top w:val="single" w:color="auto" w:sz="4" w:space="0"/>
              <w:left w:val="single" w:color="auto" w:sz="4" w:space="0"/>
              <w:bottom w:val="single" w:color="auto" w:sz="4" w:space="0"/>
              <w:right w:val="single" w:color="auto"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38" w:type="dxa"/>
            <w:tcBorders>
              <w:top w:val="single" w:color="auto" w:sz="4" w:space="0"/>
              <w:left w:val="single" w:color="auto" w:sz="4" w:space="0"/>
              <w:bottom w:val="single" w:color="auto" w:sz="4" w:space="0"/>
              <w:right w:val="single" w:color="auto"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18522</w:t>
            </w:r>
          </w:p>
        </w:tc>
        <w:tc>
          <w:tcPr>
            <w:tcW w:w="643" w:type="dxa"/>
            <w:tcBorders>
              <w:top w:val="single" w:color="auto" w:sz="4" w:space="0"/>
              <w:left w:val="single" w:color="auto" w:sz="4" w:space="0"/>
              <w:bottom w:val="single" w:color="auto" w:sz="4" w:space="0"/>
              <w:right w:val="single" w:color="auto"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50" w:type="dxa"/>
            <w:tcBorders>
              <w:top w:val="single" w:color="auto" w:sz="4" w:space="0"/>
              <w:left w:val="single" w:color="auto" w:sz="4" w:space="0"/>
              <w:bottom w:val="single" w:color="auto" w:sz="4" w:space="0"/>
              <w:right w:val="single" w:color="auto"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989" w:type="dxa"/>
            <w:tcBorders>
              <w:top w:val="single" w:color="auto" w:sz="4" w:space="0"/>
              <w:left w:val="single" w:color="auto" w:sz="4" w:space="0"/>
              <w:bottom w:val="single" w:color="auto" w:sz="4" w:space="0"/>
              <w:right w:val="single" w:color="auto"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1233" w:hRule="atLeast"/>
        </w:trPr>
        <w:tc>
          <w:tcPr>
            <w:tcW w:w="756" w:type="dxa"/>
            <w:tcBorders>
              <w:top w:val="single" w:color="auto"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w:t>
            </w:r>
          </w:p>
        </w:tc>
        <w:tc>
          <w:tcPr>
            <w:tcW w:w="1372" w:type="dxa"/>
            <w:tcBorders>
              <w:top w:val="single" w:color="auto" w:sz="4" w:space="0"/>
              <w:left w:val="nil"/>
              <w:bottom w:val="single" w:color="000000" w:sz="4" w:space="0"/>
              <w:right w:val="nil"/>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龙水湖环湖步道（溜水段）</w:t>
            </w:r>
          </w:p>
        </w:tc>
        <w:tc>
          <w:tcPr>
            <w:tcW w:w="930" w:type="dxa"/>
            <w:tcBorders>
              <w:top w:val="single" w:color="auto"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63" w:type="dxa"/>
            <w:tcBorders>
              <w:top w:val="single" w:color="auto"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969" w:type="dxa"/>
            <w:tcBorders>
              <w:top w:val="single" w:color="auto"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龙水湖环湖步道（溜水段）新建绿道约2.2公里</w:t>
            </w:r>
          </w:p>
        </w:tc>
        <w:tc>
          <w:tcPr>
            <w:tcW w:w="1089" w:type="dxa"/>
            <w:tcBorders>
              <w:top w:val="single" w:color="auto"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1700</w:t>
            </w:r>
          </w:p>
        </w:tc>
        <w:tc>
          <w:tcPr>
            <w:tcW w:w="1038" w:type="dxa"/>
            <w:tcBorders>
              <w:top w:val="single" w:color="auto"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1700</w:t>
            </w:r>
          </w:p>
        </w:tc>
        <w:tc>
          <w:tcPr>
            <w:tcW w:w="737" w:type="dxa"/>
            <w:tcBorders>
              <w:top w:val="single" w:color="auto"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38" w:type="dxa"/>
            <w:tcBorders>
              <w:top w:val="single" w:color="auto"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1700</w:t>
            </w:r>
          </w:p>
        </w:tc>
        <w:tc>
          <w:tcPr>
            <w:tcW w:w="643" w:type="dxa"/>
            <w:tcBorders>
              <w:top w:val="single" w:color="auto"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50" w:type="dxa"/>
            <w:tcBorders>
              <w:top w:val="single" w:color="auto"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2021</w:t>
            </w:r>
          </w:p>
        </w:tc>
        <w:tc>
          <w:tcPr>
            <w:tcW w:w="989" w:type="dxa"/>
            <w:tcBorders>
              <w:top w:val="single" w:color="auto"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r>
      <w:tr>
        <w:tblPrEx>
          <w:tblLayout w:type="fixed"/>
          <w:tblCellMar>
            <w:top w:w="0" w:type="dxa"/>
            <w:left w:w="108" w:type="dxa"/>
            <w:bottom w:w="0" w:type="dxa"/>
            <w:right w:w="108" w:type="dxa"/>
          </w:tblCellMar>
        </w:tblPrEx>
        <w:trPr>
          <w:trHeight w:val="1350" w:hRule="atLeast"/>
        </w:trPr>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w:t>
            </w:r>
          </w:p>
        </w:tc>
        <w:tc>
          <w:tcPr>
            <w:tcW w:w="1372" w:type="dxa"/>
            <w:tcBorders>
              <w:top w:val="single" w:color="000000" w:sz="4" w:space="0"/>
              <w:left w:val="nil"/>
              <w:bottom w:val="single" w:color="000000" w:sz="4" w:space="0"/>
              <w:right w:val="nil"/>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清明桥路绿道建设工程</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待定</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969"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对清明桥路约1.9km沿线进行街道空间全方位的提升改造。</w:t>
            </w:r>
          </w:p>
        </w:tc>
        <w:tc>
          <w:tcPr>
            <w:tcW w:w="1089"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1520</w:t>
            </w:r>
          </w:p>
        </w:tc>
        <w:tc>
          <w:tcPr>
            <w:tcW w:w="1038"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1520</w:t>
            </w:r>
          </w:p>
        </w:tc>
        <w:tc>
          <w:tcPr>
            <w:tcW w:w="737"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1520</w:t>
            </w:r>
          </w:p>
        </w:tc>
        <w:tc>
          <w:tcPr>
            <w:tcW w:w="643"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1350" w:hRule="atLeast"/>
        </w:trPr>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w:t>
            </w:r>
          </w:p>
        </w:tc>
        <w:tc>
          <w:tcPr>
            <w:tcW w:w="1372" w:type="dxa"/>
            <w:tcBorders>
              <w:top w:val="single" w:color="000000" w:sz="4" w:space="0"/>
              <w:left w:val="nil"/>
              <w:bottom w:val="single" w:color="000000" w:sz="4" w:space="0"/>
              <w:right w:val="nil"/>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佛都大道绿道建设工程</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待定</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969"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对佛都大道约0.93km沿线进行街道空间全方位的提升改造。</w:t>
            </w:r>
          </w:p>
        </w:tc>
        <w:tc>
          <w:tcPr>
            <w:tcW w:w="1089"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744</w:t>
            </w:r>
          </w:p>
        </w:tc>
        <w:tc>
          <w:tcPr>
            <w:tcW w:w="1038"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744</w:t>
            </w:r>
          </w:p>
        </w:tc>
        <w:tc>
          <w:tcPr>
            <w:tcW w:w="737"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744</w:t>
            </w:r>
          </w:p>
        </w:tc>
        <w:tc>
          <w:tcPr>
            <w:tcW w:w="643"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1350" w:hRule="atLeast"/>
        </w:trPr>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w:t>
            </w:r>
          </w:p>
        </w:tc>
        <w:tc>
          <w:tcPr>
            <w:tcW w:w="1372" w:type="dxa"/>
            <w:tcBorders>
              <w:top w:val="single" w:color="000000" w:sz="4" w:space="0"/>
              <w:left w:val="nil"/>
              <w:bottom w:val="single" w:color="000000" w:sz="4" w:space="0"/>
              <w:right w:val="nil"/>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西门社区城市绿道建设</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969"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对一环北路西段、一环西路、龙岗西路3条道路约3公里沿线进行街道空间全方位改造</w:t>
            </w:r>
          </w:p>
        </w:tc>
        <w:tc>
          <w:tcPr>
            <w:tcW w:w="1089"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2480</w:t>
            </w:r>
          </w:p>
        </w:tc>
        <w:tc>
          <w:tcPr>
            <w:tcW w:w="1038"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2480</w:t>
            </w:r>
          </w:p>
        </w:tc>
        <w:tc>
          <w:tcPr>
            <w:tcW w:w="737"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2480</w:t>
            </w:r>
          </w:p>
        </w:tc>
        <w:tc>
          <w:tcPr>
            <w:tcW w:w="643"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r>
      <w:tr>
        <w:tblPrEx>
          <w:tblLayout w:type="fixed"/>
          <w:tblCellMar>
            <w:top w:w="0" w:type="dxa"/>
            <w:left w:w="108" w:type="dxa"/>
            <w:bottom w:w="0" w:type="dxa"/>
            <w:right w:w="108" w:type="dxa"/>
          </w:tblCellMar>
        </w:tblPrEx>
        <w:trPr>
          <w:trHeight w:val="1350" w:hRule="atLeast"/>
        </w:trPr>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w:t>
            </w:r>
          </w:p>
        </w:tc>
        <w:tc>
          <w:tcPr>
            <w:tcW w:w="1372" w:type="dxa"/>
            <w:tcBorders>
              <w:top w:val="single" w:color="000000" w:sz="4" w:space="0"/>
              <w:left w:val="nil"/>
              <w:bottom w:val="single" w:color="000000" w:sz="4" w:space="0"/>
              <w:right w:val="nil"/>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南北山人文走廊绿道建建设</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969"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对北山路、双塔路、龙岗中路、滨河路4条现状道路约2.7公里沿线进行街道空间全方位提升改造</w:t>
            </w:r>
          </w:p>
        </w:tc>
        <w:tc>
          <w:tcPr>
            <w:tcW w:w="1089"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2160</w:t>
            </w:r>
          </w:p>
        </w:tc>
        <w:tc>
          <w:tcPr>
            <w:tcW w:w="1038"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2160</w:t>
            </w:r>
          </w:p>
        </w:tc>
        <w:tc>
          <w:tcPr>
            <w:tcW w:w="737"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2160</w:t>
            </w:r>
          </w:p>
        </w:tc>
        <w:tc>
          <w:tcPr>
            <w:tcW w:w="643"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r>
      <w:tr>
        <w:tblPrEx>
          <w:tblLayout w:type="fixed"/>
          <w:tblCellMar>
            <w:top w:w="0" w:type="dxa"/>
            <w:left w:w="108" w:type="dxa"/>
            <w:bottom w:w="0" w:type="dxa"/>
            <w:right w:w="108" w:type="dxa"/>
          </w:tblCellMar>
        </w:tblPrEx>
        <w:trPr>
          <w:trHeight w:val="285" w:hRule="atLeast"/>
        </w:trPr>
        <w:tc>
          <w:tcPr>
            <w:tcW w:w="14174" w:type="dxa"/>
            <w:gridSpan w:val="1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人行立体过街设施</w:t>
            </w:r>
          </w:p>
        </w:tc>
      </w:tr>
      <w:tr>
        <w:tblPrEx>
          <w:tblLayout w:type="fixed"/>
          <w:tblCellMar>
            <w:top w:w="0" w:type="dxa"/>
            <w:left w:w="108" w:type="dxa"/>
            <w:bottom w:w="0" w:type="dxa"/>
            <w:right w:w="108" w:type="dxa"/>
          </w:tblCellMar>
        </w:tblPrEx>
        <w:trPr>
          <w:trHeight w:val="1125" w:hRule="atLeast"/>
        </w:trPr>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1</w:t>
            </w:r>
          </w:p>
        </w:tc>
        <w:tc>
          <w:tcPr>
            <w:tcW w:w="137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东关小广场人行天桥</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新建</w:t>
            </w:r>
          </w:p>
        </w:tc>
        <w:tc>
          <w:tcPr>
            <w:tcW w:w="3969"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在东关小广场过街处新建一座圆形钢箱梁人行天桥。</w:t>
            </w:r>
          </w:p>
        </w:tc>
        <w:tc>
          <w:tcPr>
            <w:tcW w:w="1089"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2400</w:t>
            </w:r>
          </w:p>
        </w:tc>
        <w:tc>
          <w:tcPr>
            <w:tcW w:w="1038"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2400</w:t>
            </w:r>
          </w:p>
        </w:tc>
        <w:tc>
          <w:tcPr>
            <w:tcW w:w="737"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2400</w:t>
            </w:r>
          </w:p>
        </w:tc>
        <w:tc>
          <w:tcPr>
            <w:tcW w:w="643"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2021</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r>
      <w:tr>
        <w:tblPrEx>
          <w:tblLayout w:type="fixed"/>
          <w:tblCellMar>
            <w:top w:w="0" w:type="dxa"/>
            <w:left w:w="108" w:type="dxa"/>
            <w:bottom w:w="0" w:type="dxa"/>
            <w:right w:w="108" w:type="dxa"/>
          </w:tblCellMar>
        </w:tblPrEx>
        <w:trPr>
          <w:trHeight w:val="365" w:hRule="atLeast"/>
        </w:trPr>
        <w:tc>
          <w:tcPr>
            <w:tcW w:w="756"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2</w:t>
            </w:r>
          </w:p>
        </w:tc>
        <w:tc>
          <w:tcPr>
            <w:tcW w:w="137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龙岗一小南校区人行天桥</w:t>
            </w:r>
          </w:p>
        </w:tc>
        <w:tc>
          <w:tcPr>
            <w:tcW w:w="93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6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新建</w:t>
            </w:r>
          </w:p>
        </w:tc>
        <w:tc>
          <w:tcPr>
            <w:tcW w:w="396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在龙岗一小南校区过街处新建一座直线钢箱梁人行天桥。</w:t>
            </w:r>
          </w:p>
        </w:tc>
        <w:tc>
          <w:tcPr>
            <w:tcW w:w="108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w:t>
            </w:r>
          </w:p>
        </w:tc>
        <w:tc>
          <w:tcPr>
            <w:tcW w:w="10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w:t>
            </w:r>
          </w:p>
        </w:tc>
        <w:tc>
          <w:tcPr>
            <w:tcW w:w="73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3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w:t>
            </w:r>
          </w:p>
        </w:tc>
        <w:tc>
          <w:tcPr>
            <w:tcW w:w="64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50"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98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r>
    </w:tbl>
    <w:p>
      <w:pPr>
        <w:ind w:firstLine="422"/>
        <w:rPr>
          <w:rFonts w:ascii="方正兰亭纤黑简体" w:hAnsi="仿宋" w:eastAsia="方正兰亭纤黑简体" w:cs="仿宋"/>
          <w:b/>
          <w:bCs/>
          <w:sz w:val="21"/>
          <w:szCs w:val="21"/>
        </w:rPr>
      </w:pPr>
      <w:r>
        <w:rPr>
          <w:rFonts w:hint="eastAsia" w:ascii="方正兰亭纤黑简体" w:hAnsi="仿宋" w:eastAsia="方正兰亭纤黑简体" w:cs="仿宋"/>
          <w:b/>
          <w:bCs/>
          <w:sz w:val="21"/>
          <w:szCs w:val="21"/>
        </w:rPr>
        <w:br w:type="page"/>
      </w:r>
    </w:p>
    <w:tbl>
      <w:tblPr>
        <w:tblStyle w:val="24"/>
        <w:tblW w:w="14174" w:type="dxa"/>
        <w:tblInd w:w="0" w:type="dxa"/>
        <w:tblLayout w:type="fixed"/>
        <w:tblCellMar>
          <w:top w:w="0" w:type="dxa"/>
          <w:left w:w="108" w:type="dxa"/>
          <w:bottom w:w="0" w:type="dxa"/>
          <w:right w:w="108" w:type="dxa"/>
        </w:tblCellMar>
      </w:tblPr>
      <w:tblGrid>
        <w:gridCol w:w="433"/>
        <w:gridCol w:w="108"/>
        <w:gridCol w:w="899"/>
        <w:gridCol w:w="289"/>
        <w:gridCol w:w="720"/>
        <w:gridCol w:w="720"/>
        <w:gridCol w:w="791"/>
        <w:gridCol w:w="641"/>
        <w:gridCol w:w="663"/>
        <w:gridCol w:w="953"/>
        <w:gridCol w:w="224"/>
        <w:gridCol w:w="1060"/>
        <w:gridCol w:w="31"/>
        <w:gridCol w:w="1092"/>
        <w:gridCol w:w="312"/>
        <w:gridCol w:w="1122"/>
        <w:gridCol w:w="184"/>
        <w:gridCol w:w="1077"/>
        <w:gridCol w:w="207"/>
        <w:gridCol w:w="1012"/>
        <w:gridCol w:w="40"/>
        <w:gridCol w:w="731"/>
        <w:gridCol w:w="17"/>
        <w:gridCol w:w="848"/>
      </w:tblGrid>
      <w:tr>
        <w:tblPrEx>
          <w:tblLayout w:type="fixed"/>
          <w:tblCellMar>
            <w:top w:w="0" w:type="dxa"/>
            <w:left w:w="108" w:type="dxa"/>
            <w:bottom w:w="0" w:type="dxa"/>
            <w:right w:w="108" w:type="dxa"/>
          </w:tblCellMar>
        </w:tblPrEx>
        <w:trPr>
          <w:trHeight w:val="315" w:hRule="atLeast"/>
        </w:trPr>
        <w:tc>
          <w:tcPr>
            <w:tcW w:w="14174" w:type="dxa"/>
            <w:gridSpan w:val="24"/>
            <w:tcBorders>
              <w:top w:val="nil"/>
              <w:left w:val="nil"/>
              <w:bottom w:val="single" w:color="auto" w:sz="4" w:space="0"/>
              <w:right w:val="nil"/>
            </w:tcBorders>
            <w:shd w:val="clear" w:color="auto" w:fill="FFFFFF"/>
            <w:vAlign w:val="center"/>
          </w:tcPr>
          <w:p>
            <w:pPr>
              <w:pStyle w:val="2"/>
              <w:ind w:firstLine="0" w:firstLineChars="0"/>
            </w:pPr>
          </w:p>
          <w:tbl>
            <w:tblPr>
              <w:tblStyle w:val="24"/>
              <w:tblW w:w="13959" w:type="dxa"/>
              <w:tblInd w:w="0" w:type="dxa"/>
              <w:tblLayout w:type="fixed"/>
              <w:tblCellMar>
                <w:top w:w="0" w:type="dxa"/>
                <w:left w:w="108" w:type="dxa"/>
                <w:bottom w:w="0" w:type="dxa"/>
                <w:right w:w="108" w:type="dxa"/>
              </w:tblCellMar>
            </w:tblPr>
            <w:tblGrid>
              <w:gridCol w:w="749"/>
              <w:gridCol w:w="1357"/>
              <w:gridCol w:w="918"/>
              <w:gridCol w:w="751"/>
              <w:gridCol w:w="3905"/>
              <w:gridCol w:w="1072"/>
              <w:gridCol w:w="1022"/>
              <w:gridCol w:w="773"/>
              <w:gridCol w:w="874"/>
              <w:gridCol w:w="637"/>
              <w:gridCol w:w="932"/>
              <w:gridCol w:w="969"/>
            </w:tblGrid>
            <w:tr>
              <w:tblPrEx>
                <w:tblLayout w:type="fixed"/>
                <w:tblCellMar>
                  <w:top w:w="0" w:type="dxa"/>
                  <w:left w:w="108" w:type="dxa"/>
                  <w:bottom w:w="0" w:type="dxa"/>
                  <w:right w:w="108" w:type="dxa"/>
                </w:tblCellMar>
              </w:tblPrEx>
              <w:trPr>
                <w:trHeight w:val="375" w:hRule="atLeast"/>
              </w:trPr>
              <w:tc>
                <w:tcPr>
                  <w:tcW w:w="13959" w:type="dxa"/>
                  <w:gridSpan w:val="12"/>
                  <w:tcBorders>
                    <w:top w:val="nil"/>
                    <w:left w:val="nil"/>
                    <w:bottom w:val="single" w:color="auto" w:sz="4" w:space="0"/>
                    <w:right w:val="nil"/>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8"/>
                      <w:szCs w:val="28"/>
                    </w:rPr>
                  </w:pPr>
                  <w:r>
                    <w:rPr>
                      <w:rFonts w:hint="eastAsia" w:ascii="方正兰亭纤黑简体" w:hAnsi="仿宋" w:eastAsia="方正兰亭纤黑简体" w:cs="仿宋"/>
                      <w:b/>
                      <w:bCs/>
                      <w:kern w:val="0"/>
                      <w:sz w:val="28"/>
                      <w:szCs w:val="28"/>
                      <w:lang w:bidi="ar"/>
                    </w:rPr>
                    <w:t>慢行系统项目（新开工及储备）</w:t>
                  </w:r>
                </w:p>
              </w:tc>
            </w:tr>
            <w:tr>
              <w:tblPrEx>
                <w:tblLayout w:type="fixed"/>
                <w:tblCellMar>
                  <w:top w:w="0" w:type="dxa"/>
                  <w:left w:w="108" w:type="dxa"/>
                  <w:bottom w:w="0" w:type="dxa"/>
                  <w:right w:w="108" w:type="dxa"/>
                </w:tblCellMar>
              </w:tblPrEx>
              <w:trPr>
                <w:trHeight w:val="315" w:hRule="atLeast"/>
              </w:trPr>
              <w:tc>
                <w:tcPr>
                  <w:tcW w:w="749"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序号</w:t>
                  </w:r>
                </w:p>
              </w:tc>
              <w:tc>
                <w:tcPr>
                  <w:tcW w:w="1357"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项目名字</w:t>
                  </w:r>
                </w:p>
              </w:tc>
              <w:tc>
                <w:tcPr>
                  <w:tcW w:w="918"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责任单位</w:t>
                  </w:r>
                </w:p>
              </w:tc>
              <w:tc>
                <w:tcPr>
                  <w:tcW w:w="751"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建设性质</w:t>
                  </w:r>
                </w:p>
              </w:tc>
              <w:tc>
                <w:tcPr>
                  <w:tcW w:w="3905"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建设内容</w:t>
                  </w:r>
                </w:p>
              </w:tc>
              <w:tc>
                <w:tcPr>
                  <w:tcW w:w="1072"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项目总投资（万元）</w:t>
                  </w:r>
                </w:p>
              </w:tc>
              <w:tc>
                <w:tcPr>
                  <w:tcW w:w="1022"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eastAsia="zh-CN" w:bidi="ar"/>
                    </w:rPr>
                    <w:t>“十四五”</w:t>
                  </w:r>
                  <w:r>
                    <w:rPr>
                      <w:rFonts w:hint="eastAsia" w:ascii="方正兰亭纤黑简体" w:hAnsi="仿宋" w:eastAsia="方正兰亭纤黑简体" w:cs="仿宋"/>
                      <w:b/>
                      <w:bCs/>
                      <w:kern w:val="0"/>
                      <w:sz w:val="21"/>
                      <w:szCs w:val="21"/>
                      <w:lang w:bidi="ar"/>
                    </w:rPr>
                    <w:t>计划投资（万元）</w:t>
                  </w:r>
                </w:p>
              </w:tc>
              <w:tc>
                <w:tcPr>
                  <w:tcW w:w="2284" w:type="dxa"/>
                  <w:gridSpan w:val="3"/>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eastAsia="zh-CN" w:bidi="ar"/>
                    </w:rPr>
                    <w:t>“十四五”</w:t>
                  </w:r>
                  <w:r>
                    <w:rPr>
                      <w:rFonts w:hint="eastAsia" w:ascii="方正兰亭纤黑简体" w:hAnsi="仿宋" w:eastAsia="方正兰亭纤黑简体" w:cs="仿宋"/>
                      <w:b/>
                      <w:bCs/>
                      <w:kern w:val="0"/>
                      <w:sz w:val="21"/>
                      <w:szCs w:val="21"/>
                      <w:lang w:bidi="ar"/>
                    </w:rPr>
                    <w:t>计划投资分类（万元）</w:t>
                  </w:r>
                </w:p>
              </w:tc>
              <w:tc>
                <w:tcPr>
                  <w:tcW w:w="932"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开工时间</w:t>
                  </w:r>
                </w:p>
              </w:tc>
              <w:tc>
                <w:tcPr>
                  <w:tcW w:w="969"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竣工时间</w:t>
                  </w:r>
                </w:p>
              </w:tc>
            </w:tr>
            <w:tr>
              <w:tblPrEx>
                <w:tblLayout w:type="fixed"/>
                <w:tblCellMar>
                  <w:top w:w="0" w:type="dxa"/>
                  <w:left w:w="108" w:type="dxa"/>
                  <w:bottom w:w="0" w:type="dxa"/>
                  <w:right w:w="108" w:type="dxa"/>
                </w:tblCellMar>
              </w:tblPrEx>
              <w:trPr>
                <w:trHeight w:val="630" w:hRule="atLeast"/>
              </w:trPr>
              <w:tc>
                <w:tcPr>
                  <w:tcW w:w="749"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357"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91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751"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3905"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072"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022"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773"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中央</w:t>
                  </w:r>
                  <w:r>
                    <w:rPr>
                      <w:rFonts w:ascii="方正兰亭纤黑简体" w:hAnsi="仿宋" w:eastAsia="方正兰亭纤黑简体" w:cs="仿宋"/>
                      <w:b/>
                      <w:bCs/>
                      <w:kern w:val="0"/>
                      <w:sz w:val="21"/>
                      <w:szCs w:val="21"/>
                      <w:lang w:bidi="ar"/>
                    </w:rPr>
                    <w:t>及</w:t>
                  </w:r>
                  <w:r>
                    <w:rPr>
                      <w:rFonts w:hint="eastAsia" w:ascii="方正兰亭纤黑简体" w:hAnsi="仿宋" w:eastAsia="方正兰亭纤黑简体" w:cs="仿宋"/>
                      <w:b/>
                      <w:bCs/>
                      <w:kern w:val="0"/>
                      <w:sz w:val="21"/>
                      <w:szCs w:val="21"/>
                      <w:lang w:bidi="ar"/>
                    </w:rPr>
                    <w:t>市级投资</w:t>
                  </w:r>
                </w:p>
              </w:tc>
              <w:tc>
                <w:tcPr>
                  <w:tcW w:w="874"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区级投资</w:t>
                  </w:r>
                </w:p>
              </w:tc>
              <w:tc>
                <w:tcPr>
                  <w:tcW w:w="637"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其它</w:t>
                  </w:r>
                </w:p>
              </w:tc>
              <w:tc>
                <w:tcPr>
                  <w:tcW w:w="932"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969"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r>
            <w:tr>
              <w:tblPrEx>
                <w:tblLayout w:type="fixed"/>
                <w:tblCellMar>
                  <w:top w:w="0" w:type="dxa"/>
                  <w:left w:w="108" w:type="dxa"/>
                  <w:bottom w:w="0" w:type="dxa"/>
                  <w:right w:w="108" w:type="dxa"/>
                </w:tblCellMar>
              </w:tblPrEx>
              <w:trPr>
                <w:trHeight w:val="285" w:hRule="atLeast"/>
              </w:trPr>
              <w:tc>
                <w:tcPr>
                  <w:tcW w:w="13959" w:type="dxa"/>
                  <w:gridSpan w:val="1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特色绿色慢行系统</w:t>
                  </w:r>
                </w:p>
              </w:tc>
            </w:tr>
            <w:tr>
              <w:tblPrEx>
                <w:tblLayout w:type="fixed"/>
                <w:tblCellMar>
                  <w:top w:w="0" w:type="dxa"/>
                  <w:left w:w="108" w:type="dxa"/>
                  <w:bottom w:w="0" w:type="dxa"/>
                  <w:right w:w="108" w:type="dxa"/>
                </w:tblCellMar>
              </w:tblPrEx>
              <w:trPr>
                <w:trHeight w:val="1350" w:hRule="atLeast"/>
              </w:trPr>
              <w:tc>
                <w:tcPr>
                  <w:tcW w:w="74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w:t>
                  </w:r>
                </w:p>
              </w:tc>
              <w:tc>
                <w:tcPr>
                  <w:tcW w:w="1357" w:type="dxa"/>
                  <w:tcBorders>
                    <w:top w:val="single" w:color="000000" w:sz="4" w:space="0"/>
                    <w:left w:val="nil"/>
                    <w:bottom w:val="single" w:color="000000" w:sz="4" w:space="0"/>
                    <w:right w:val="nil"/>
                  </w:tcBorders>
                  <w:shd w:val="clear" w:color="auto" w:fill="auto"/>
                  <w:vAlign w:val="center"/>
                </w:tcPr>
                <w:p>
                  <w:pPr>
                    <w:widowControl/>
                    <w:spacing w:line="240" w:lineRule="auto"/>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龙棠大道两侧绿道工程</w:t>
                  </w:r>
                </w:p>
              </w:tc>
              <w:tc>
                <w:tcPr>
                  <w:tcW w:w="918"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大足发展集团</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新开工</w:t>
                  </w:r>
                </w:p>
              </w:tc>
              <w:tc>
                <w:tcPr>
                  <w:tcW w:w="3905"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龙棠大道两侧绿化及步行道改造，约2公里。</w:t>
                  </w:r>
                </w:p>
              </w:tc>
              <w:tc>
                <w:tcPr>
                  <w:tcW w:w="1072"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w:t>
                  </w:r>
                </w:p>
              </w:tc>
              <w:tc>
                <w:tcPr>
                  <w:tcW w:w="1022"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4"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w:t>
                  </w:r>
                </w:p>
              </w:tc>
              <w:tc>
                <w:tcPr>
                  <w:tcW w:w="637"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32"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c>
                <w:tcPr>
                  <w:tcW w:w="969"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r>
            <w:tr>
              <w:tblPrEx>
                <w:tblLayout w:type="fixed"/>
                <w:tblCellMar>
                  <w:top w:w="0" w:type="dxa"/>
                  <w:left w:w="108" w:type="dxa"/>
                  <w:bottom w:w="0" w:type="dxa"/>
                  <w:right w:w="108" w:type="dxa"/>
                </w:tblCellMar>
              </w:tblPrEx>
              <w:trPr>
                <w:trHeight w:val="1350" w:hRule="atLeast"/>
              </w:trPr>
              <w:tc>
                <w:tcPr>
                  <w:tcW w:w="74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w:t>
                  </w:r>
                </w:p>
              </w:tc>
              <w:tc>
                <w:tcPr>
                  <w:tcW w:w="1357" w:type="dxa"/>
                  <w:tcBorders>
                    <w:top w:val="single" w:color="000000" w:sz="4" w:space="0"/>
                    <w:left w:val="nil"/>
                    <w:bottom w:val="single" w:color="000000" w:sz="4" w:space="0"/>
                    <w:right w:val="nil"/>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香国公园至石刻大道慢行系统</w:t>
                  </w:r>
                </w:p>
              </w:tc>
              <w:tc>
                <w:tcPr>
                  <w:tcW w:w="91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待定</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9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建设串联香国公园—昌州古城—濑溪河沿岸—石刻大道约6.3公里步道及自行车道。</w:t>
                  </w:r>
                </w:p>
              </w:tc>
              <w:tc>
                <w:tcPr>
                  <w:tcW w:w="107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3780</w:t>
                  </w:r>
                </w:p>
              </w:tc>
              <w:tc>
                <w:tcPr>
                  <w:tcW w:w="102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3780</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3780</w:t>
                  </w:r>
                </w:p>
              </w:tc>
              <w:tc>
                <w:tcPr>
                  <w:tcW w:w="63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3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96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2030</w:t>
                  </w:r>
                </w:p>
              </w:tc>
            </w:tr>
            <w:tr>
              <w:tblPrEx>
                <w:tblLayout w:type="fixed"/>
                <w:tblCellMar>
                  <w:top w:w="0" w:type="dxa"/>
                  <w:left w:w="108" w:type="dxa"/>
                  <w:bottom w:w="0" w:type="dxa"/>
                  <w:right w:w="108" w:type="dxa"/>
                </w:tblCellMar>
              </w:tblPrEx>
              <w:trPr>
                <w:trHeight w:val="1350" w:hRule="atLeast"/>
              </w:trPr>
              <w:tc>
                <w:tcPr>
                  <w:tcW w:w="74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w:t>
                  </w:r>
                </w:p>
              </w:tc>
              <w:tc>
                <w:tcPr>
                  <w:tcW w:w="1357" w:type="dxa"/>
                  <w:tcBorders>
                    <w:top w:val="single" w:color="000000" w:sz="4" w:space="0"/>
                    <w:left w:val="nil"/>
                    <w:bottom w:val="single" w:color="000000" w:sz="4" w:space="0"/>
                    <w:right w:val="nil"/>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北山石刻至十里荷棠慢行系统</w:t>
                  </w:r>
                </w:p>
              </w:tc>
              <w:tc>
                <w:tcPr>
                  <w:tcW w:w="91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待定</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9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建设串联北山石刻—石雕公园—和平新村—人民公园—狮子山公园—香国公园—十里荷棠约20.8公里步道及自行车道。</w:t>
                  </w:r>
                </w:p>
              </w:tc>
              <w:tc>
                <w:tcPr>
                  <w:tcW w:w="107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12480</w:t>
                  </w:r>
                </w:p>
              </w:tc>
              <w:tc>
                <w:tcPr>
                  <w:tcW w:w="102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12480</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12480</w:t>
                  </w:r>
                </w:p>
              </w:tc>
              <w:tc>
                <w:tcPr>
                  <w:tcW w:w="63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3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96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2030</w:t>
                  </w:r>
                </w:p>
              </w:tc>
            </w:tr>
            <w:tr>
              <w:tblPrEx>
                <w:tblLayout w:type="fixed"/>
                <w:tblCellMar>
                  <w:top w:w="0" w:type="dxa"/>
                  <w:left w:w="108" w:type="dxa"/>
                  <w:bottom w:w="0" w:type="dxa"/>
                  <w:right w:w="108" w:type="dxa"/>
                </w:tblCellMar>
              </w:tblPrEx>
              <w:trPr>
                <w:trHeight w:val="1350" w:hRule="atLeast"/>
              </w:trPr>
              <w:tc>
                <w:tcPr>
                  <w:tcW w:w="74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w:t>
                  </w:r>
                </w:p>
              </w:tc>
              <w:tc>
                <w:tcPr>
                  <w:tcW w:w="1357" w:type="dxa"/>
                  <w:tcBorders>
                    <w:top w:val="single" w:color="000000" w:sz="4" w:space="0"/>
                    <w:left w:val="nil"/>
                    <w:bottom w:val="single" w:color="000000" w:sz="4" w:space="0"/>
                    <w:right w:val="nil"/>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龙景路至圣迹公园慢行系统</w:t>
                  </w:r>
                </w:p>
              </w:tc>
              <w:tc>
                <w:tcPr>
                  <w:tcW w:w="91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待定</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9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建设串联龙景路—海棠湖公园—圣迹公园约2.2公里步道及自行车道。</w:t>
                  </w:r>
                </w:p>
              </w:tc>
              <w:tc>
                <w:tcPr>
                  <w:tcW w:w="107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1760</w:t>
                  </w:r>
                </w:p>
              </w:tc>
              <w:tc>
                <w:tcPr>
                  <w:tcW w:w="102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1760</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1760</w:t>
                  </w:r>
                </w:p>
              </w:tc>
              <w:tc>
                <w:tcPr>
                  <w:tcW w:w="63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3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96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2030</w:t>
                  </w:r>
                </w:p>
              </w:tc>
            </w:tr>
            <w:tr>
              <w:tblPrEx>
                <w:tblLayout w:type="fixed"/>
                <w:tblCellMar>
                  <w:top w:w="0" w:type="dxa"/>
                  <w:left w:w="108" w:type="dxa"/>
                  <w:bottom w:w="0" w:type="dxa"/>
                  <w:right w:w="108" w:type="dxa"/>
                </w:tblCellMar>
              </w:tblPrEx>
              <w:trPr>
                <w:trHeight w:val="1350" w:hRule="atLeast"/>
              </w:trPr>
              <w:tc>
                <w:tcPr>
                  <w:tcW w:w="74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w:t>
                  </w:r>
                </w:p>
              </w:tc>
              <w:tc>
                <w:tcPr>
                  <w:tcW w:w="1357" w:type="dxa"/>
                  <w:tcBorders>
                    <w:top w:val="single" w:color="000000" w:sz="4" w:space="0"/>
                    <w:left w:val="nil"/>
                    <w:bottom w:val="single" w:color="000000" w:sz="4" w:space="0"/>
                    <w:right w:val="nil"/>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红星生态公园至龙景路慢行系统</w:t>
                  </w:r>
                </w:p>
              </w:tc>
              <w:tc>
                <w:tcPr>
                  <w:tcW w:w="91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待定</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9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建设串联红星生态公园—南山郊野公园—南山石刻—龙景路约5.2公里步道及自行车道。</w:t>
                  </w:r>
                </w:p>
              </w:tc>
              <w:tc>
                <w:tcPr>
                  <w:tcW w:w="107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3120</w:t>
                  </w:r>
                </w:p>
              </w:tc>
              <w:tc>
                <w:tcPr>
                  <w:tcW w:w="102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3120</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3120</w:t>
                  </w:r>
                </w:p>
              </w:tc>
              <w:tc>
                <w:tcPr>
                  <w:tcW w:w="63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3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96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2030</w:t>
                  </w:r>
                </w:p>
              </w:tc>
            </w:tr>
            <w:tr>
              <w:tblPrEx>
                <w:tblLayout w:type="fixed"/>
                <w:tblCellMar>
                  <w:top w:w="0" w:type="dxa"/>
                  <w:left w:w="108" w:type="dxa"/>
                  <w:bottom w:w="0" w:type="dxa"/>
                  <w:right w:w="108" w:type="dxa"/>
                </w:tblCellMar>
              </w:tblPrEx>
              <w:trPr>
                <w:trHeight w:val="1350" w:hRule="atLeast"/>
              </w:trPr>
              <w:tc>
                <w:tcPr>
                  <w:tcW w:w="74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w:t>
                  </w:r>
                </w:p>
              </w:tc>
              <w:tc>
                <w:tcPr>
                  <w:tcW w:w="1357" w:type="dxa"/>
                  <w:tcBorders>
                    <w:top w:val="single" w:color="000000" w:sz="4" w:space="0"/>
                    <w:left w:val="nil"/>
                    <w:bottom w:val="single" w:color="000000" w:sz="4" w:space="0"/>
                    <w:right w:val="nil"/>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湿地公园至龙水湖景区慢行系统</w:t>
                  </w:r>
                </w:p>
              </w:tc>
              <w:tc>
                <w:tcPr>
                  <w:tcW w:w="91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待定</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9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建设串联湿地公园—中央公园—龙水湖景区约5公里步道及自行车道。</w:t>
                  </w:r>
                </w:p>
              </w:tc>
              <w:tc>
                <w:tcPr>
                  <w:tcW w:w="107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3000</w:t>
                  </w:r>
                </w:p>
              </w:tc>
              <w:tc>
                <w:tcPr>
                  <w:tcW w:w="102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3000</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3000</w:t>
                  </w:r>
                </w:p>
              </w:tc>
              <w:tc>
                <w:tcPr>
                  <w:tcW w:w="63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3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96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2030</w:t>
                  </w:r>
                </w:p>
              </w:tc>
            </w:tr>
            <w:tr>
              <w:tblPrEx>
                <w:tblLayout w:type="fixed"/>
                <w:tblCellMar>
                  <w:top w:w="0" w:type="dxa"/>
                  <w:left w:w="108" w:type="dxa"/>
                  <w:bottom w:w="0" w:type="dxa"/>
                  <w:right w:w="108" w:type="dxa"/>
                </w:tblCellMar>
              </w:tblPrEx>
              <w:trPr>
                <w:trHeight w:val="1350" w:hRule="atLeast"/>
              </w:trPr>
              <w:tc>
                <w:tcPr>
                  <w:tcW w:w="74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w:t>
                  </w:r>
                </w:p>
              </w:tc>
              <w:tc>
                <w:tcPr>
                  <w:tcW w:w="1357" w:type="dxa"/>
                  <w:tcBorders>
                    <w:top w:val="single" w:color="000000" w:sz="4" w:space="0"/>
                    <w:left w:val="nil"/>
                    <w:bottom w:val="single" w:color="000000" w:sz="4" w:space="0"/>
                    <w:right w:val="nil"/>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五星大道大转盘至南门车站绿道慢行系统</w:t>
                  </w:r>
                </w:p>
              </w:tc>
              <w:tc>
                <w:tcPr>
                  <w:tcW w:w="91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9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项目起于五星大道大转盘经一环南路至南门车站打造城市人文景观主题绿道，建成后与插旗山、龙中路绿道形成环线。该项目全长约2公里。</w:t>
                  </w:r>
                </w:p>
              </w:tc>
              <w:tc>
                <w:tcPr>
                  <w:tcW w:w="107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1600</w:t>
                  </w:r>
                </w:p>
              </w:tc>
              <w:tc>
                <w:tcPr>
                  <w:tcW w:w="102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1600</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1600</w:t>
                  </w:r>
                </w:p>
              </w:tc>
              <w:tc>
                <w:tcPr>
                  <w:tcW w:w="63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3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96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2029</w:t>
                  </w:r>
                </w:p>
              </w:tc>
            </w:tr>
            <w:tr>
              <w:tblPrEx>
                <w:tblLayout w:type="fixed"/>
                <w:tblCellMar>
                  <w:top w:w="0" w:type="dxa"/>
                  <w:left w:w="108" w:type="dxa"/>
                  <w:bottom w:w="0" w:type="dxa"/>
                  <w:right w:w="108" w:type="dxa"/>
                </w:tblCellMar>
              </w:tblPrEx>
              <w:trPr>
                <w:trHeight w:val="1350" w:hRule="atLeast"/>
              </w:trPr>
              <w:tc>
                <w:tcPr>
                  <w:tcW w:w="74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w:t>
                  </w:r>
                </w:p>
              </w:tc>
              <w:tc>
                <w:tcPr>
                  <w:tcW w:w="1357" w:type="dxa"/>
                  <w:tcBorders>
                    <w:top w:val="single" w:color="000000" w:sz="4" w:space="0"/>
                    <w:left w:val="nil"/>
                    <w:bottom w:val="single" w:color="000000" w:sz="4" w:space="0"/>
                    <w:right w:val="nil"/>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宏声广场至书香世家绿道慢行系统</w:t>
                  </w:r>
                </w:p>
              </w:tc>
              <w:tc>
                <w:tcPr>
                  <w:tcW w:w="91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9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项目起于宏声广场经一环北路至书香世家，打造城市人文景观主题绿道。该项目全长约1.3公里。</w:t>
                  </w:r>
                </w:p>
              </w:tc>
              <w:tc>
                <w:tcPr>
                  <w:tcW w:w="107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1.3</w:t>
                  </w:r>
                </w:p>
              </w:tc>
              <w:tc>
                <w:tcPr>
                  <w:tcW w:w="102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1920</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1920</w:t>
                  </w:r>
                </w:p>
              </w:tc>
              <w:tc>
                <w:tcPr>
                  <w:tcW w:w="63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3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96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2030</w:t>
                  </w:r>
                </w:p>
              </w:tc>
            </w:tr>
            <w:tr>
              <w:tblPrEx>
                <w:tblLayout w:type="fixed"/>
                <w:tblCellMar>
                  <w:top w:w="0" w:type="dxa"/>
                  <w:left w:w="108" w:type="dxa"/>
                  <w:bottom w:w="0" w:type="dxa"/>
                  <w:right w:w="108" w:type="dxa"/>
                </w:tblCellMar>
              </w:tblPrEx>
              <w:trPr>
                <w:trHeight w:val="1350" w:hRule="atLeast"/>
              </w:trPr>
              <w:tc>
                <w:tcPr>
                  <w:tcW w:w="74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9</w:t>
                  </w:r>
                </w:p>
              </w:tc>
              <w:tc>
                <w:tcPr>
                  <w:tcW w:w="1357" w:type="dxa"/>
                  <w:tcBorders>
                    <w:top w:val="single" w:color="000000" w:sz="4" w:space="0"/>
                    <w:left w:val="nil"/>
                    <w:bottom w:val="single" w:color="000000" w:sz="4" w:space="0"/>
                    <w:right w:val="nil"/>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龙水城市绿道系统建设</w:t>
                  </w:r>
                </w:p>
              </w:tc>
              <w:tc>
                <w:tcPr>
                  <w:tcW w:w="918"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待定</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905"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建设龙水片区滨水型绿、</w:t>
                  </w:r>
                  <w:r>
                    <w:rPr>
                      <w:rFonts w:hint="eastAsia" w:ascii="方正兰亭纤黑简体" w:hAnsi="仿宋" w:eastAsia="方正兰亭纤黑简体" w:cs="仿宋"/>
                      <w:kern w:val="0"/>
                      <w:sz w:val="21"/>
                      <w:szCs w:val="21"/>
                      <w:lang w:bidi="ar"/>
                    </w:rPr>
                    <w:br w:type="textWrapping"/>
                  </w:r>
                  <w:r>
                    <w:rPr>
                      <w:rFonts w:hint="eastAsia" w:ascii="方正兰亭纤黑简体" w:hAnsi="仿宋" w:eastAsia="方正兰亭纤黑简体" w:cs="仿宋"/>
                      <w:kern w:val="0"/>
                      <w:sz w:val="21"/>
                      <w:szCs w:val="21"/>
                      <w:lang w:bidi="ar"/>
                    </w:rPr>
                    <w:t>山林型绿道、街巷型绿道共16.9公里。</w:t>
                  </w:r>
                </w:p>
              </w:tc>
              <w:tc>
                <w:tcPr>
                  <w:tcW w:w="107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13520</w:t>
                  </w:r>
                </w:p>
              </w:tc>
              <w:tc>
                <w:tcPr>
                  <w:tcW w:w="102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13520</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4"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13520</w:t>
                  </w:r>
                </w:p>
              </w:tc>
              <w:tc>
                <w:tcPr>
                  <w:tcW w:w="637"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32"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96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2030</w:t>
                  </w:r>
                </w:p>
              </w:tc>
            </w:tr>
            <w:tr>
              <w:tblPrEx>
                <w:tblLayout w:type="fixed"/>
                <w:tblCellMar>
                  <w:top w:w="0" w:type="dxa"/>
                  <w:left w:w="108" w:type="dxa"/>
                  <w:bottom w:w="0" w:type="dxa"/>
                  <w:right w:w="108" w:type="dxa"/>
                </w:tblCellMar>
              </w:tblPrEx>
              <w:trPr>
                <w:trHeight w:val="285" w:hRule="atLeast"/>
              </w:trPr>
              <w:tc>
                <w:tcPr>
                  <w:tcW w:w="13959" w:type="dxa"/>
                  <w:gridSpan w:val="12"/>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人行立体过街设施</w:t>
                  </w:r>
                </w:p>
              </w:tc>
            </w:tr>
            <w:tr>
              <w:tblPrEx>
                <w:tblLayout w:type="fixed"/>
                <w:tblCellMar>
                  <w:top w:w="0" w:type="dxa"/>
                  <w:left w:w="108" w:type="dxa"/>
                  <w:bottom w:w="0" w:type="dxa"/>
                  <w:right w:w="108" w:type="dxa"/>
                </w:tblCellMar>
              </w:tblPrEx>
              <w:trPr>
                <w:trHeight w:val="1125" w:hRule="atLeast"/>
              </w:trPr>
              <w:tc>
                <w:tcPr>
                  <w:tcW w:w="74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w:t>
                  </w:r>
                </w:p>
              </w:tc>
              <w:tc>
                <w:tcPr>
                  <w:tcW w:w="1357" w:type="dxa"/>
                  <w:tcBorders>
                    <w:top w:val="single" w:color="000000" w:sz="4" w:space="0"/>
                    <w:left w:val="nil"/>
                    <w:bottom w:val="single" w:color="000000" w:sz="4" w:space="0"/>
                    <w:right w:val="nil"/>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迪涛学校过街人行天桥</w:t>
                  </w:r>
                </w:p>
              </w:tc>
              <w:tc>
                <w:tcPr>
                  <w:tcW w:w="918"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905"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在迪涛学校过街处新建一座圆形钢箱梁人行天桥。</w:t>
                  </w:r>
                </w:p>
              </w:tc>
              <w:tc>
                <w:tcPr>
                  <w:tcW w:w="1072"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3500</w:t>
                  </w:r>
                </w:p>
              </w:tc>
              <w:tc>
                <w:tcPr>
                  <w:tcW w:w="1022"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3500</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4"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3500</w:t>
                  </w:r>
                </w:p>
              </w:tc>
              <w:tc>
                <w:tcPr>
                  <w:tcW w:w="637"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32"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c>
                <w:tcPr>
                  <w:tcW w:w="969"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2030</w:t>
                  </w:r>
                </w:p>
              </w:tc>
            </w:tr>
            <w:tr>
              <w:tblPrEx>
                <w:tblLayout w:type="fixed"/>
                <w:tblCellMar>
                  <w:top w:w="0" w:type="dxa"/>
                  <w:left w:w="108" w:type="dxa"/>
                  <w:bottom w:w="0" w:type="dxa"/>
                  <w:right w:w="108" w:type="dxa"/>
                </w:tblCellMar>
              </w:tblPrEx>
              <w:trPr>
                <w:trHeight w:val="1125" w:hRule="atLeast"/>
              </w:trPr>
              <w:tc>
                <w:tcPr>
                  <w:tcW w:w="74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w:t>
                  </w:r>
                </w:p>
              </w:tc>
              <w:tc>
                <w:tcPr>
                  <w:tcW w:w="1357"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大足二中人行天桥</w:t>
                  </w:r>
                </w:p>
              </w:tc>
              <w:tc>
                <w:tcPr>
                  <w:tcW w:w="918"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905"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在大足二中过街处新建一座直线钢箱梁人行天桥。</w:t>
                  </w:r>
                </w:p>
              </w:tc>
              <w:tc>
                <w:tcPr>
                  <w:tcW w:w="1072"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w:t>
                  </w:r>
                </w:p>
              </w:tc>
              <w:tc>
                <w:tcPr>
                  <w:tcW w:w="1022"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4"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w:t>
                  </w:r>
                </w:p>
              </w:tc>
              <w:tc>
                <w:tcPr>
                  <w:tcW w:w="637"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32"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969"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2030</w:t>
                  </w:r>
                </w:p>
              </w:tc>
            </w:tr>
            <w:tr>
              <w:tblPrEx>
                <w:tblLayout w:type="fixed"/>
                <w:tblCellMar>
                  <w:top w:w="0" w:type="dxa"/>
                  <w:left w:w="108" w:type="dxa"/>
                  <w:bottom w:w="0" w:type="dxa"/>
                  <w:right w:w="108" w:type="dxa"/>
                </w:tblCellMar>
              </w:tblPrEx>
              <w:trPr>
                <w:trHeight w:val="1350" w:hRule="atLeast"/>
              </w:trPr>
              <w:tc>
                <w:tcPr>
                  <w:tcW w:w="74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w:t>
                  </w:r>
                </w:p>
              </w:tc>
              <w:tc>
                <w:tcPr>
                  <w:tcW w:w="1357"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海棠新城城区慢行系统提升</w:t>
                  </w:r>
                </w:p>
              </w:tc>
              <w:tc>
                <w:tcPr>
                  <w:tcW w:w="918"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海棠新城管委会</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905"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吾悦广场人行天桥、区体育中心人行天桥、四季广场人行天桥。</w:t>
                  </w:r>
                </w:p>
              </w:tc>
              <w:tc>
                <w:tcPr>
                  <w:tcW w:w="1072"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6000</w:t>
                  </w:r>
                </w:p>
              </w:tc>
              <w:tc>
                <w:tcPr>
                  <w:tcW w:w="1022"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6000</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4"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6000</w:t>
                  </w:r>
                </w:p>
              </w:tc>
              <w:tc>
                <w:tcPr>
                  <w:tcW w:w="637"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32"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c>
                <w:tcPr>
                  <w:tcW w:w="969"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1125" w:hRule="atLeast"/>
              </w:trPr>
              <w:tc>
                <w:tcPr>
                  <w:tcW w:w="749" w:type="dxa"/>
                  <w:tcBorders>
                    <w:top w:val="single" w:color="000000" w:sz="4" w:space="0"/>
                    <w:left w:val="single" w:color="000000" w:sz="4" w:space="0"/>
                    <w:bottom w:val="single" w:color="000000" w:sz="4" w:space="0"/>
                    <w:right w:val="single" w:color="000000" w:sz="4" w:space="0"/>
                  </w:tcBorders>
                  <w:shd w:val="clear" w:color="auto" w:fill="auto"/>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w:t>
                  </w:r>
                </w:p>
              </w:tc>
              <w:tc>
                <w:tcPr>
                  <w:tcW w:w="1357"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海棠小学人行天桥</w:t>
                  </w:r>
                </w:p>
              </w:tc>
              <w:tc>
                <w:tcPr>
                  <w:tcW w:w="918"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51"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905"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在海棠小学过街处新建一座直线钢箱梁人行天桥。</w:t>
                  </w:r>
                </w:p>
              </w:tc>
              <w:tc>
                <w:tcPr>
                  <w:tcW w:w="1072"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w:t>
                  </w:r>
                </w:p>
              </w:tc>
              <w:tc>
                <w:tcPr>
                  <w:tcW w:w="1022"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w:t>
                  </w:r>
                </w:p>
              </w:tc>
              <w:tc>
                <w:tcPr>
                  <w:tcW w:w="773"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4"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w:t>
                  </w:r>
                </w:p>
              </w:tc>
              <w:tc>
                <w:tcPr>
                  <w:tcW w:w="637"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32"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969" w:type="dxa"/>
                  <w:tcBorders>
                    <w:top w:val="single" w:color="000000" w:sz="4" w:space="0"/>
                    <w:left w:val="single" w:color="000000" w:sz="4" w:space="0"/>
                    <w:bottom w:val="single" w:color="000000" w:sz="4" w:space="0"/>
                    <w:right w:val="single" w:color="000000" w:sz="4" w:space="0"/>
                  </w:tcBorders>
                  <w:shd w:val="clear" w:color="auto" w:fill="auto"/>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2030</w:t>
                  </w:r>
                </w:p>
              </w:tc>
            </w:tr>
          </w:tbl>
          <w:p>
            <w:pPr>
              <w:pStyle w:val="2"/>
              <w:ind w:firstLine="0" w:firstLineChars="0"/>
            </w:pPr>
          </w:p>
          <w:p>
            <w:pPr>
              <w:widowControl/>
              <w:ind w:firstLine="0" w:firstLineChars="0"/>
              <w:jc w:val="center"/>
              <w:textAlignment w:val="center"/>
              <w:rPr>
                <w:rFonts w:ascii="方正兰亭纤黑简体" w:hAnsi="仿宋" w:eastAsia="方正兰亭纤黑简体" w:cs="仿宋"/>
                <w:b/>
                <w:bCs/>
                <w:sz w:val="28"/>
                <w:szCs w:val="28"/>
              </w:rPr>
            </w:pPr>
            <w:r>
              <w:rPr>
                <w:rFonts w:hint="eastAsia" w:ascii="方正兰亭纤黑简体" w:hAnsi="仿宋" w:eastAsia="方正兰亭纤黑简体" w:cs="仿宋"/>
                <w:b/>
                <w:bCs/>
                <w:kern w:val="0"/>
                <w:sz w:val="28"/>
                <w:szCs w:val="28"/>
                <w:lang w:bidi="ar"/>
              </w:rPr>
              <w:t>规划停车场项目</w:t>
            </w:r>
          </w:p>
        </w:tc>
      </w:tr>
      <w:tr>
        <w:tblPrEx>
          <w:tblLayout w:type="fixed"/>
          <w:tblCellMar>
            <w:top w:w="0" w:type="dxa"/>
            <w:left w:w="108" w:type="dxa"/>
            <w:bottom w:w="0" w:type="dxa"/>
            <w:right w:w="108" w:type="dxa"/>
          </w:tblCellMar>
        </w:tblPrEx>
        <w:trPr>
          <w:trHeight w:val="419" w:hRule="atLeast"/>
        </w:trPr>
        <w:tc>
          <w:tcPr>
            <w:tcW w:w="433"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序号</w:t>
            </w:r>
          </w:p>
        </w:tc>
        <w:tc>
          <w:tcPr>
            <w:tcW w:w="1007"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kern w:val="0"/>
                <w:sz w:val="21"/>
                <w:szCs w:val="21"/>
                <w:lang w:bidi="ar"/>
              </w:rPr>
            </w:pPr>
            <w:r>
              <w:rPr>
                <w:rFonts w:hint="eastAsia" w:ascii="方正兰亭纤黑简体" w:hAnsi="仿宋" w:eastAsia="方正兰亭纤黑简体" w:cs="仿宋"/>
                <w:b/>
                <w:bCs/>
                <w:kern w:val="0"/>
                <w:sz w:val="21"/>
                <w:szCs w:val="21"/>
                <w:lang w:bidi="ar"/>
              </w:rPr>
              <w:t>地块</w:t>
            </w:r>
          </w:p>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名称</w:t>
            </w:r>
          </w:p>
        </w:tc>
        <w:tc>
          <w:tcPr>
            <w:tcW w:w="1009"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kern w:val="0"/>
                <w:sz w:val="21"/>
                <w:szCs w:val="21"/>
                <w:lang w:bidi="ar"/>
              </w:rPr>
            </w:pPr>
            <w:r>
              <w:rPr>
                <w:rFonts w:hint="eastAsia" w:ascii="方正兰亭纤黑简体" w:hAnsi="仿宋" w:eastAsia="方正兰亭纤黑简体" w:cs="仿宋"/>
                <w:b/>
                <w:bCs/>
                <w:kern w:val="0"/>
                <w:sz w:val="21"/>
                <w:szCs w:val="21"/>
                <w:lang w:bidi="ar"/>
              </w:rPr>
              <w:t>责任</w:t>
            </w:r>
          </w:p>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单位</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建设性质</w:t>
            </w:r>
          </w:p>
        </w:tc>
        <w:tc>
          <w:tcPr>
            <w:tcW w:w="791"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类型</w:t>
            </w:r>
          </w:p>
        </w:tc>
        <w:tc>
          <w:tcPr>
            <w:tcW w:w="641"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地块编号</w:t>
            </w:r>
          </w:p>
        </w:tc>
        <w:tc>
          <w:tcPr>
            <w:tcW w:w="663"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用地性质</w:t>
            </w:r>
          </w:p>
        </w:tc>
        <w:tc>
          <w:tcPr>
            <w:tcW w:w="1177"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占地面积(平方米)</w:t>
            </w:r>
          </w:p>
        </w:tc>
        <w:tc>
          <w:tcPr>
            <w:tcW w:w="1091"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地块现状</w:t>
            </w:r>
          </w:p>
        </w:tc>
        <w:tc>
          <w:tcPr>
            <w:tcW w:w="109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拆迁面积(平方米)</w:t>
            </w:r>
          </w:p>
        </w:tc>
        <w:tc>
          <w:tcPr>
            <w:tcW w:w="1434"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建设形式</w:t>
            </w:r>
          </w:p>
        </w:tc>
        <w:tc>
          <w:tcPr>
            <w:tcW w:w="1261"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拟建泊位数（个）</w:t>
            </w:r>
          </w:p>
        </w:tc>
        <w:tc>
          <w:tcPr>
            <w:tcW w:w="1219"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项目总投资（万元）</w:t>
            </w:r>
          </w:p>
        </w:tc>
        <w:tc>
          <w:tcPr>
            <w:tcW w:w="771"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开工时间</w:t>
            </w:r>
          </w:p>
        </w:tc>
        <w:tc>
          <w:tcPr>
            <w:tcW w:w="865"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竣工时间</w:t>
            </w:r>
          </w:p>
        </w:tc>
      </w:tr>
      <w:tr>
        <w:tblPrEx>
          <w:tblLayout w:type="fixed"/>
          <w:tblCellMar>
            <w:top w:w="0" w:type="dxa"/>
            <w:left w:w="108" w:type="dxa"/>
            <w:bottom w:w="0" w:type="dxa"/>
            <w:right w:w="108" w:type="dxa"/>
          </w:tblCellMar>
        </w:tblPrEx>
        <w:trPr>
          <w:trHeight w:val="794" w:hRule="atLeast"/>
        </w:trPr>
        <w:tc>
          <w:tcPr>
            <w:tcW w:w="43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w:t>
            </w:r>
          </w:p>
        </w:tc>
        <w:tc>
          <w:tcPr>
            <w:tcW w:w="1007"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党校广场地块</w:t>
            </w:r>
          </w:p>
        </w:tc>
        <w:tc>
          <w:tcPr>
            <w:tcW w:w="1009"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区城投集团</w:t>
            </w:r>
          </w:p>
        </w:tc>
        <w:tc>
          <w:tcPr>
            <w:tcW w:w="720" w:type="dxa"/>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791" w:type="dxa"/>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G3用地调整并扩容</w:t>
            </w:r>
          </w:p>
        </w:tc>
        <w:tc>
          <w:tcPr>
            <w:tcW w:w="641" w:type="dxa"/>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P06</w:t>
            </w:r>
            <w:r>
              <w:rPr>
                <w:rFonts w:ascii="Calibri" w:hAnsi="Calibri" w:eastAsia="方正兰亭纤黑简体" w:cs="Calibri"/>
                <w:kern w:val="0"/>
                <w:sz w:val="21"/>
                <w:szCs w:val="21"/>
                <w:lang w:bidi="ar"/>
              </w:rPr>
              <w:t> </w:t>
            </w:r>
          </w:p>
        </w:tc>
        <w:tc>
          <w:tcPr>
            <w:tcW w:w="663" w:type="dxa"/>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S42</w:t>
            </w:r>
          </w:p>
        </w:tc>
        <w:tc>
          <w:tcPr>
            <w:tcW w:w="1177"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5000</w:t>
            </w:r>
          </w:p>
        </w:tc>
        <w:tc>
          <w:tcPr>
            <w:tcW w:w="1091"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现有广场用地</w:t>
            </w:r>
          </w:p>
        </w:tc>
        <w:tc>
          <w:tcPr>
            <w:tcW w:w="1092" w:type="dxa"/>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0</w:t>
            </w:r>
          </w:p>
        </w:tc>
        <w:tc>
          <w:tcPr>
            <w:tcW w:w="1434"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自走式车库（地下3层）</w:t>
            </w:r>
          </w:p>
        </w:tc>
        <w:tc>
          <w:tcPr>
            <w:tcW w:w="1261"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w:t>
            </w:r>
          </w:p>
        </w:tc>
        <w:tc>
          <w:tcPr>
            <w:tcW w:w="1219"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 xml:space="preserve">4788.66 </w:t>
            </w:r>
          </w:p>
        </w:tc>
        <w:tc>
          <w:tcPr>
            <w:tcW w:w="771"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c>
          <w:tcPr>
            <w:tcW w:w="865"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450" w:hRule="atLeast"/>
        </w:trPr>
        <w:tc>
          <w:tcPr>
            <w:tcW w:w="43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w:t>
            </w:r>
          </w:p>
        </w:tc>
        <w:tc>
          <w:tcPr>
            <w:tcW w:w="1007"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龙岗一小西侧地块</w:t>
            </w:r>
          </w:p>
        </w:tc>
        <w:tc>
          <w:tcPr>
            <w:tcW w:w="1009"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20" w:type="dxa"/>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791" w:type="dxa"/>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641" w:type="dxa"/>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663" w:type="dxa"/>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77"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91"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现状绿地与开敞空间用地</w:t>
            </w:r>
          </w:p>
        </w:tc>
        <w:tc>
          <w:tcPr>
            <w:tcW w:w="1092" w:type="dxa"/>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0</w:t>
            </w:r>
          </w:p>
        </w:tc>
        <w:tc>
          <w:tcPr>
            <w:tcW w:w="1434"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自走式生态停车场</w:t>
            </w:r>
          </w:p>
        </w:tc>
        <w:tc>
          <w:tcPr>
            <w:tcW w:w="1261"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76</w:t>
            </w:r>
          </w:p>
        </w:tc>
        <w:tc>
          <w:tcPr>
            <w:tcW w:w="1219"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 xml:space="preserve">401.80 </w:t>
            </w:r>
          </w:p>
        </w:tc>
        <w:tc>
          <w:tcPr>
            <w:tcW w:w="771"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c>
          <w:tcPr>
            <w:tcW w:w="865"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450" w:hRule="atLeast"/>
        </w:trPr>
        <w:tc>
          <w:tcPr>
            <w:tcW w:w="43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w:t>
            </w:r>
          </w:p>
        </w:tc>
        <w:tc>
          <w:tcPr>
            <w:tcW w:w="1007"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大足印象地块停车优化</w:t>
            </w:r>
          </w:p>
        </w:tc>
        <w:tc>
          <w:tcPr>
            <w:tcW w:w="1009"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79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64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66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77"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2300</w:t>
            </w:r>
          </w:p>
        </w:tc>
        <w:tc>
          <w:tcPr>
            <w:tcW w:w="1091"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现状商业用地</w:t>
            </w:r>
          </w:p>
        </w:tc>
        <w:tc>
          <w:tcPr>
            <w:tcW w:w="109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0</w:t>
            </w:r>
          </w:p>
        </w:tc>
        <w:tc>
          <w:tcPr>
            <w:tcW w:w="1434"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自走式停车场</w:t>
            </w:r>
          </w:p>
        </w:tc>
        <w:tc>
          <w:tcPr>
            <w:tcW w:w="1261"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以现状停车位优化为主</w:t>
            </w:r>
          </w:p>
        </w:tc>
        <w:tc>
          <w:tcPr>
            <w:tcW w:w="1219"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已计入品质提升板块母城更新改造工程</w:t>
            </w:r>
          </w:p>
        </w:tc>
        <w:tc>
          <w:tcPr>
            <w:tcW w:w="771"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c>
          <w:tcPr>
            <w:tcW w:w="865"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r>
      <w:tr>
        <w:tblPrEx>
          <w:tblLayout w:type="fixed"/>
          <w:tblCellMar>
            <w:top w:w="0" w:type="dxa"/>
            <w:left w:w="108" w:type="dxa"/>
            <w:bottom w:w="0" w:type="dxa"/>
            <w:right w:w="108" w:type="dxa"/>
          </w:tblCellMar>
        </w:tblPrEx>
        <w:trPr>
          <w:trHeight w:val="450" w:hRule="atLeast"/>
        </w:trPr>
        <w:tc>
          <w:tcPr>
            <w:tcW w:w="43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w:t>
            </w:r>
          </w:p>
        </w:tc>
        <w:tc>
          <w:tcPr>
            <w:tcW w:w="1007"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地块停车优化"</w:t>
            </w:r>
          </w:p>
        </w:tc>
        <w:tc>
          <w:tcPr>
            <w:tcW w:w="1009"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20" w:type="dxa"/>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791" w:type="dxa"/>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641" w:type="dxa"/>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663" w:type="dxa"/>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77"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2300</w:t>
            </w:r>
          </w:p>
        </w:tc>
        <w:tc>
          <w:tcPr>
            <w:tcW w:w="1091"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现状商业用地</w:t>
            </w:r>
          </w:p>
        </w:tc>
        <w:tc>
          <w:tcPr>
            <w:tcW w:w="1092" w:type="dxa"/>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0</w:t>
            </w:r>
          </w:p>
        </w:tc>
        <w:tc>
          <w:tcPr>
            <w:tcW w:w="1434"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自走式停车场</w:t>
            </w:r>
          </w:p>
        </w:tc>
        <w:tc>
          <w:tcPr>
            <w:tcW w:w="1261"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以现状停车位优化为主</w:t>
            </w:r>
          </w:p>
        </w:tc>
        <w:tc>
          <w:tcPr>
            <w:tcW w:w="1219"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已计入品质提升板块母城更新改造工程</w:t>
            </w:r>
          </w:p>
        </w:tc>
        <w:tc>
          <w:tcPr>
            <w:tcW w:w="771"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c>
          <w:tcPr>
            <w:tcW w:w="865"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r>
      <w:tr>
        <w:tblPrEx>
          <w:tblLayout w:type="fixed"/>
          <w:tblCellMar>
            <w:top w:w="0" w:type="dxa"/>
            <w:left w:w="108" w:type="dxa"/>
            <w:bottom w:w="0" w:type="dxa"/>
            <w:right w:w="108" w:type="dxa"/>
          </w:tblCellMar>
        </w:tblPrEx>
        <w:trPr>
          <w:trHeight w:val="450" w:hRule="atLeast"/>
        </w:trPr>
        <w:tc>
          <w:tcPr>
            <w:tcW w:w="43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w:t>
            </w:r>
          </w:p>
        </w:tc>
        <w:tc>
          <w:tcPr>
            <w:tcW w:w="1007"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天宫河博览园</w:t>
            </w:r>
          </w:p>
        </w:tc>
        <w:tc>
          <w:tcPr>
            <w:tcW w:w="1009"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海棠新城管委会</w:t>
            </w:r>
          </w:p>
        </w:tc>
        <w:tc>
          <w:tcPr>
            <w:tcW w:w="720" w:type="dxa"/>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791" w:type="dxa"/>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641" w:type="dxa"/>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663" w:type="dxa"/>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77"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91"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规划用地</w:t>
            </w:r>
          </w:p>
        </w:tc>
        <w:tc>
          <w:tcPr>
            <w:tcW w:w="1092" w:type="dxa"/>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0</w:t>
            </w:r>
          </w:p>
        </w:tc>
        <w:tc>
          <w:tcPr>
            <w:tcW w:w="1434"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自走式停车场</w:t>
            </w:r>
          </w:p>
        </w:tc>
        <w:tc>
          <w:tcPr>
            <w:tcW w:w="1261"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315</w:t>
            </w:r>
          </w:p>
        </w:tc>
        <w:tc>
          <w:tcPr>
            <w:tcW w:w="1219"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已计入品质提升板块母城更新改造工程</w:t>
            </w:r>
          </w:p>
        </w:tc>
        <w:tc>
          <w:tcPr>
            <w:tcW w:w="771"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c>
          <w:tcPr>
            <w:tcW w:w="865"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450" w:hRule="atLeast"/>
        </w:trPr>
        <w:tc>
          <w:tcPr>
            <w:tcW w:w="43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w:t>
            </w:r>
          </w:p>
        </w:tc>
        <w:tc>
          <w:tcPr>
            <w:tcW w:w="1007"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龙岗街背后地块</w:t>
            </w:r>
          </w:p>
        </w:tc>
        <w:tc>
          <w:tcPr>
            <w:tcW w:w="1009"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区城投集团</w:t>
            </w:r>
          </w:p>
        </w:tc>
        <w:tc>
          <w:tcPr>
            <w:tcW w:w="720" w:type="dxa"/>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791" w:type="dxa"/>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R1用地调整</w:t>
            </w:r>
          </w:p>
        </w:tc>
        <w:tc>
          <w:tcPr>
            <w:tcW w:w="641" w:type="dxa"/>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PX6</w:t>
            </w:r>
          </w:p>
        </w:tc>
        <w:tc>
          <w:tcPr>
            <w:tcW w:w="663" w:type="dxa"/>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S42</w:t>
            </w:r>
          </w:p>
        </w:tc>
        <w:tc>
          <w:tcPr>
            <w:tcW w:w="1177"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3500</w:t>
            </w:r>
          </w:p>
        </w:tc>
        <w:tc>
          <w:tcPr>
            <w:tcW w:w="1091"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在建工地</w:t>
            </w:r>
          </w:p>
        </w:tc>
        <w:tc>
          <w:tcPr>
            <w:tcW w:w="1092" w:type="dxa"/>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0</w:t>
            </w:r>
          </w:p>
        </w:tc>
        <w:tc>
          <w:tcPr>
            <w:tcW w:w="1434"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机械式车库（地下3层）</w:t>
            </w:r>
          </w:p>
        </w:tc>
        <w:tc>
          <w:tcPr>
            <w:tcW w:w="1261"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w:t>
            </w:r>
          </w:p>
        </w:tc>
        <w:tc>
          <w:tcPr>
            <w:tcW w:w="1219"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已计入品质提升板块母城更新改造工程</w:t>
            </w:r>
          </w:p>
        </w:tc>
        <w:tc>
          <w:tcPr>
            <w:tcW w:w="771"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2021</w:t>
            </w:r>
          </w:p>
        </w:tc>
        <w:tc>
          <w:tcPr>
            <w:tcW w:w="865"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r>
      <w:tr>
        <w:tblPrEx>
          <w:tblLayout w:type="fixed"/>
          <w:tblCellMar>
            <w:top w:w="0" w:type="dxa"/>
            <w:left w:w="108" w:type="dxa"/>
            <w:bottom w:w="0" w:type="dxa"/>
            <w:right w:w="108" w:type="dxa"/>
          </w:tblCellMar>
        </w:tblPrEx>
        <w:trPr>
          <w:trHeight w:val="450" w:hRule="atLeast"/>
        </w:trPr>
        <w:tc>
          <w:tcPr>
            <w:tcW w:w="43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w:t>
            </w:r>
          </w:p>
        </w:tc>
        <w:tc>
          <w:tcPr>
            <w:tcW w:w="1007"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绿地·海棠湾东侧停车库</w:t>
            </w:r>
          </w:p>
        </w:tc>
        <w:tc>
          <w:tcPr>
            <w:tcW w:w="1009"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20" w:type="dxa"/>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791" w:type="dxa"/>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641" w:type="dxa"/>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663" w:type="dxa"/>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77"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14100</w:t>
            </w:r>
          </w:p>
        </w:tc>
        <w:tc>
          <w:tcPr>
            <w:tcW w:w="1091"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规划用地</w:t>
            </w:r>
          </w:p>
        </w:tc>
        <w:tc>
          <w:tcPr>
            <w:tcW w:w="1092" w:type="dxa"/>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0</w:t>
            </w:r>
          </w:p>
        </w:tc>
        <w:tc>
          <w:tcPr>
            <w:tcW w:w="1434"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自走式车库（地下3层）</w:t>
            </w:r>
          </w:p>
        </w:tc>
        <w:tc>
          <w:tcPr>
            <w:tcW w:w="1261"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840</w:t>
            </w:r>
          </w:p>
        </w:tc>
        <w:tc>
          <w:tcPr>
            <w:tcW w:w="1219"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6857</w:t>
            </w:r>
          </w:p>
        </w:tc>
        <w:tc>
          <w:tcPr>
            <w:tcW w:w="771"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865"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450" w:hRule="atLeast"/>
        </w:trPr>
        <w:tc>
          <w:tcPr>
            <w:tcW w:w="43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w:t>
            </w:r>
          </w:p>
        </w:tc>
        <w:tc>
          <w:tcPr>
            <w:tcW w:w="1007"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C3线香国公园站“P+R”设施</w:t>
            </w:r>
          </w:p>
        </w:tc>
        <w:tc>
          <w:tcPr>
            <w:tcW w:w="1009"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20" w:type="dxa"/>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791" w:type="dxa"/>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641" w:type="dxa"/>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663" w:type="dxa"/>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77"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35600</w:t>
            </w:r>
          </w:p>
        </w:tc>
        <w:tc>
          <w:tcPr>
            <w:tcW w:w="1091"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规划用地</w:t>
            </w:r>
          </w:p>
        </w:tc>
        <w:tc>
          <w:tcPr>
            <w:tcW w:w="1092" w:type="dxa"/>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0</w:t>
            </w:r>
          </w:p>
        </w:tc>
        <w:tc>
          <w:tcPr>
            <w:tcW w:w="1434"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自走式车库（地上3层）</w:t>
            </w:r>
          </w:p>
        </w:tc>
        <w:tc>
          <w:tcPr>
            <w:tcW w:w="1261"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2300</w:t>
            </w:r>
          </w:p>
        </w:tc>
        <w:tc>
          <w:tcPr>
            <w:tcW w:w="1219"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已计入轨道交通板块</w:t>
            </w:r>
          </w:p>
        </w:tc>
        <w:tc>
          <w:tcPr>
            <w:tcW w:w="771"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865"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450" w:hRule="atLeast"/>
        </w:trPr>
        <w:tc>
          <w:tcPr>
            <w:tcW w:w="43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9</w:t>
            </w:r>
          </w:p>
        </w:tc>
        <w:tc>
          <w:tcPr>
            <w:tcW w:w="1007"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C3线大足东站“P+R”设施</w:t>
            </w:r>
          </w:p>
        </w:tc>
        <w:tc>
          <w:tcPr>
            <w:tcW w:w="1009"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20" w:type="dxa"/>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791" w:type="dxa"/>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641" w:type="dxa"/>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663" w:type="dxa"/>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77"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14400</w:t>
            </w:r>
          </w:p>
        </w:tc>
        <w:tc>
          <w:tcPr>
            <w:tcW w:w="1091"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规划用地</w:t>
            </w:r>
          </w:p>
        </w:tc>
        <w:tc>
          <w:tcPr>
            <w:tcW w:w="1092" w:type="dxa"/>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0</w:t>
            </w:r>
          </w:p>
        </w:tc>
        <w:tc>
          <w:tcPr>
            <w:tcW w:w="1434"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自走式车库（地上3层）</w:t>
            </w:r>
          </w:p>
        </w:tc>
        <w:tc>
          <w:tcPr>
            <w:tcW w:w="1261"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900</w:t>
            </w:r>
          </w:p>
        </w:tc>
        <w:tc>
          <w:tcPr>
            <w:tcW w:w="1219"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已计入轨道交通板块</w:t>
            </w:r>
          </w:p>
        </w:tc>
        <w:tc>
          <w:tcPr>
            <w:tcW w:w="771"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865" w:type="dxa"/>
            <w:gridSpan w:val="2"/>
            <w:tcBorders>
              <w:top w:val="single" w:color="auto" w:sz="4" w:space="0"/>
              <w:left w:val="single" w:color="auto" w:sz="4" w:space="0"/>
              <w:bottom w:val="single" w:color="auto" w:sz="4" w:space="0"/>
              <w:right w:val="single" w:color="auto" w:sz="4" w:space="0"/>
            </w:tcBorders>
            <w:shd w:val="clear" w:color="auto" w:fill="FFFFFF"/>
          </w:tcPr>
          <w:p>
            <w:pPr>
              <w:ind w:firstLine="0" w:firstLineChars="0"/>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375" w:hRule="atLeast"/>
        </w:trPr>
        <w:tc>
          <w:tcPr>
            <w:tcW w:w="14174" w:type="dxa"/>
            <w:gridSpan w:val="24"/>
            <w:tcBorders>
              <w:top w:val="nil"/>
              <w:left w:val="nil"/>
              <w:bottom w:val="single" w:color="auto" w:sz="4" w:space="0"/>
              <w:right w:val="nil"/>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8"/>
                <w:szCs w:val="28"/>
              </w:rPr>
            </w:pPr>
            <w:r>
              <w:rPr>
                <w:rFonts w:hint="eastAsia" w:ascii="方正兰亭纤黑简体" w:hAnsi="仿宋" w:eastAsia="方正兰亭纤黑简体" w:cs="仿宋"/>
                <w:b/>
                <w:bCs/>
                <w:kern w:val="0"/>
                <w:sz w:val="28"/>
                <w:szCs w:val="28"/>
                <w:lang w:bidi="ar"/>
              </w:rPr>
              <w:t>停车设施项目</w:t>
            </w:r>
          </w:p>
        </w:tc>
      </w:tr>
      <w:tr>
        <w:tblPrEx>
          <w:tblLayout w:type="fixed"/>
          <w:tblCellMar>
            <w:top w:w="0" w:type="dxa"/>
            <w:left w:w="108" w:type="dxa"/>
            <w:bottom w:w="0" w:type="dxa"/>
            <w:right w:w="108" w:type="dxa"/>
          </w:tblCellMar>
        </w:tblPrEx>
        <w:trPr>
          <w:trHeight w:val="315" w:hRule="atLeast"/>
        </w:trPr>
        <w:tc>
          <w:tcPr>
            <w:tcW w:w="541" w:type="dxa"/>
            <w:gridSpan w:val="2"/>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序号</w:t>
            </w:r>
          </w:p>
        </w:tc>
        <w:tc>
          <w:tcPr>
            <w:tcW w:w="1188" w:type="dxa"/>
            <w:gridSpan w:val="2"/>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项目名字</w:t>
            </w:r>
          </w:p>
        </w:tc>
        <w:tc>
          <w:tcPr>
            <w:tcW w:w="720"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责任单位</w:t>
            </w:r>
          </w:p>
        </w:tc>
        <w:tc>
          <w:tcPr>
            <w:tcW w:w="720"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建设性质</w:t>
            </w:r>
          </w:p>
        </w:tc>
        <w:tc>
          <w:tcPr>
            <w:tcW w:w="3048" w:type="dxa"/>
            <w:gridSpan w:val="4"/>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建设内容</w:t>
            </w:r>
          </w:p>
        </w:tc>
        <w:tc>
          <w:tcPr>
            <w:tcW w:w="1284" w:type="dxa"/>
            <w:gridSpan w:val="2"/>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项目总投资（万元）</w:t>
            </w:r>
          </w:p>
        </w:tc>
        <w:tc>
          <w:tcPr>
            <w:tcW w:w="1435" w:type="dxa"/>
            <w:gridSpan w:val="3"/>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eastAsia="zh-CN" w:bidi="ar"/>
              </w:rPr>
              <w:t>“十四五”</w:t>
            </w:r>
            <w:r>
              <w:rPr>
                <w:rFonts w:hint="eastAsia" w:ascii="方正兰亭纤黑简体" w:hAnsi="仿宋" w:eastAsia="方正兰亭纤黑简体" w:cs="仿宋"/>
                <w:b/>
                <w:bCs/>
                <w:kern w:val="0"/>
                <w:sz w:val="21"/>
                <w:szCs w:val="21"/>
                <w:lang w:bidi="ar"/>
              </w:rPr>
              <w:t>计划投资（万元）</w:t>
            </w:r>
          </w:p>
        </w:tc>
        <w:tc>
          <w:tcPr>
            <w:tcW w:w="3642" w:type="dxa"/>
            <w:gridSpan w:val="6"/>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eastAsia="zh-CN" w:bidi="ar"/>
              </w:rPr>
              <w:t>“十四五”</w:t>
            </w:r>
            <w:r>
              <w:rPr>
                <w:rFonts w:hint="eastAsia" w:ascii="方正兰亭纤黑简体" w:hAnsi="仿宋" w:eastAsia="方正兰亭纤黑简体" w:cs="仿宋"/>
                <w:b/>
                <w:bCs/>
                <w:kern w:val="0"/>
                <w:sz w:val="21"/>
                <w:szCs w:val="21"/>
                <w:lang w:bidi="ar"/>
              </w:rPr>
              <w:t>计划投资分类（万元）</w:t>
            </w:r>
          </w:p>
        </w:tc>
        <w:tc>
          <w:tcPr>
            <w:tcW w:w="748" w:type="dxa"/>
            <w:gridSpan w:val="2"/>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开工时间</w:t>
            </w:r>
          </w:p>
        </w:tc>
        <w:tc>
          <w:tcPr>
            <w:tcW w:w="848"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竣工时间</w:t>
            </w:r>
          </w:p>
        </w:tc>
      </w:tr>
      <w:tr>
        <w:tblPrEx>
          <w:tblLayout w:type="fixed"/>
          <w:tblCellMar>
            <w:top w:w="0" w:type="dxa"/>
            <w:left w:w="108" w:type="dxa"/>
            <w:bottom w:w="0" w:type="dxa"/>
            <w:right w:w="108" w:type="dxa"/>
          </w:tblCellMar>
        </w:tblPrEx>
        <w:trPr>
          <w:trHeight w:val="630" w:hRule="atLeast"/>
        </w:trPr>
        <w:tc>
          <w:tcPr>
            <w:tcW w:w="541" w:type="dxa"/>
            <w:gridSpan w:val="2"/>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188" w:type="dxa"/>
            <w:gridSpan w:val="2"/>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720"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720"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3048" w:type="dxa"/>
            <w:gridSpan w:val="4"/>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284" w:type="dxa"/>
            <w:gridSpan w:val="2"/>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435" w:type="dxa"/>
            <w:gridSpan w:val="3"/>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306"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市级投资</w:t>
            </w:r>
          </w:p>
        </w:tc>
        <w:tc>
          <w:tcPr>
            <w:tcW w:w="1284"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区级投资</w:t>
            </w:r>
          </w:p>
        </w:tc>
        <w:tc>
          <w:tcPr>
            <w:tcW w:w="1052"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其它</w:t>
            </w:r>
          </w:p>
        </w:tc>
        <w:tc>
          <w:tcPr>
            <w:tcW w:w="748" w:type="dxa"/>
            <w:gridSpan w:val="2"/>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8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r>
      <w:tr>
        <w:tblPrEx>
          <w:tblLayout w:type="fixed"/>
          <w:tblCellMar>
            <w:top w:w="0" w:type="dxa"/>
            <w:left w:w="108" w:type="dxa"/>
            <w:bottom w:w="0" w:type="dxa"/>
            <w:right w:w="108" w:type="dxa"/>
          </w:tblCellMar>
        </w:tblPrEx>
        <w:trPr>
          <w:trHeight w:val="3600" w:hRule="atLeast"/>
        </w:trPr>
        <w:tc>
          <w:tcPr>
            <w:tcW w:w="541"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1</w:t>
            </w:r>
          </w:p>
        </w:tc>
        <w:tc>
          <w:tcPr>
            <w:tcW w:w="1188"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海棠新城片区停车场及停车站点建设</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发展集团</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3048" w:type="dxa"/>
            <w:gridSpan w:val="4"/>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海棠新城片区停车场及停车站点建设</w:t>
            </w:r>
          </w:p>
        </w:tc>
        <w:tc>
          <w:tcPr>
            <w:tcW w:w="1284"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1000</w:t>
            </w:r>
          </w:p>
        </w:tc>
        <w:tc>
          <w:tcPr>
            <w:tcW w:w="1435" w:type="dxa"/>
            <w:gridSpan w:val="3"/>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1000</w:t>
            </w:r>
          </w:p>
        </w:tc>
        <w:tc>
          <w:tcPr>
            <w:tcW w:w="1306"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284"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052"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1000</w:t>
            </w:r>
          </w:p>
        </w:tc>
        <w:tc>
          <w:tcPr>
            <w:tcW w:w="748"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2023</w:t>
            </w:r>
          </w:p>
        </w:tc>
        <w:tc>
          <w:tcPr>
            <w:tcW w:w="84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2024</w:t>
            </w:r>
          </w:p>
        </w:tc>
      </w:tr>
      <w:tr>
        <w:tblPrEx>
          <w:tblLayout w:type="fixed"/>
          <w:tblCellMar>
            <w:top w:w="0" w:type="dxa"/>
            <w:left w:w="108" w:type="dxa"/>
            <w:bottom w:w="0" w:type="dxa"/>
            <w:right w:w="108" w:type="dxa"/>
          </w:tblCellMar>
        </w:tblPrEx>
        <w:trPr>
          <w:trHeight w:val="2531" w:hRule="atLeast"/>
        </w:trPr>
        <w:tc>
          <w:tcPr>
            <w:tcW w:w="541"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w:t>
            </w:r>
          </w:p>
        </w:tc>
        <w:tc>
          <w:tcPr>
            <w:tcW w:w="1188"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实施智慧停车建设</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城投集团</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3048" w:type="dxa"/>
            <w:gridSpan w:val="4"/>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建立大足区智慧停车管理信息系统，党政机关、事业单位及国有企业的停车场应全面接入，支持其他社会停车场（含居住小区、老旧小区）智慧系统接入，构建城市停车数据专题库，推动大数据融合创新应用。</w:t>
            </w:r>
          </w:p>
        </w:tc>
        <w:tc>
          <w:tcPr>
            <w:tcW w:w="1284"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500</w:t>
            </w:r>
          </w:p>
        </w:tc>
        <w:tc>
          <w:tcPr>
            <w:tcW w:w="1435" w:type="dxa"/>
            <w:gridSpan w:val="3"/>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500</w:t>
            </w:r>
          </w:p>
        </w:tc>
        <w:tc>
          <w:tcPr>
            <w:tcW w:w="1306"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284"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500</w:t>
            </w:r>
          </w:p>
        </w:tc>
        <w:tc>
          <w:tcPr>
            <w:tcW w:w="1052"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748"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2022</w:t>
            </w:r>
          </w:p>
        </w:tc>
        <w:tc>
          <w:tcPr>
            <w:tcW w:w="84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2025</w:t>
            </w:r>
          </w:p>
        </w:tc>
      </w:tr>
      <w:tr>
        <w:tblPrEx>
          <w:tblLayout w:type="fixed"/>
          <w:tblCellMar>
            <w:top w:w="0" w:type="dxa"/>
            <w:left w:w="108" w:type="dxa"/>
            <w:bottom w:w="0" w:type="dxa"/>
            <w:right w:w="108" w:type="dxa"/>
          </w:tblCellMar>
        </w:tblPrEx>
        <w:trPr>
          <w:trHeight w:val="3600" w:hRule="atLeast"/>
        </w:trPr>
        <w:tc>
          <w:tcPr>
            <w:tcW w:w="541"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ascii="方正兰亭纤黑简体" w:hAnsi="仿宋" w:eastAsia="方正兰亭纤黑简体" w:cs="仿宋"/>
                <w:kern w:val="0"/>
                <w:sz w:val="21"/>
                <w:szCs w:val="21"/>
                <w:lang w:bidi="ar"/>
              </w:rPr>
              <w:t>3</w:t>
            </w:r>
          </w:p>
        </w:tc>
        <w:tc>
          <w:tcPr>
            <w:tcW w:w="1188"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重庆市大足区智能化停车管理系统（三期）</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区国资委</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储备</w:t>
            </w:r>
          </w:p>
        </w:tc>
        <w:tc>
          <w:tcPr>
            <w:tcW w:w="3048" w:type="dxa"/>
            <w:gridSpan w:val="4"/>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对大足城区3000个地磁车位进行改建高位视频</w:t>
            </w:r>
          </w:p>
        </w:tc>
        <w:tc>
          <w:tcPr>
            <w:tcW w:w="1284"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1800</w:t>
            </w:r>
          </w:p>
        </w:tc>
        <w:tc>
          <w:tcPr>
            <w:tcW w:w="1435" w:type="dxa"/>
            <w:gridSpan w:val="3"/>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1800</w:t>
            </w:r>
          </w:p>
        </w:tc>
        <w:tc>
          <w:tcPr>
            <w:tcW w:w="1306"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1800</w:t>
            </w:r>
          </w:p>
        </w:tc>
        <w:tc>
          <w:tcPr>
            <w:tcW w:w="1284"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052"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748"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2026</w:t>
            </w:r>
          </w:p>
        </w:tc>
        <w:tc>
          <w:tcPr>
            <w:tcW w:w="84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2028</w:t>
            </w:r>
          </w:p>
        </w:tc>
      </w:tr>
      <w:tr>
        <w:tblPrEx>
          <w:tblLayout w:type="fixed"/>
          <w:tblCellMar>
            <w:top w:w="0" w:type="dxa"/>
            <w:left w:w="108" w:type="dxa"/>
            <w:bottom w:w="0" w:type="dxa"/>
            <w:right w:w="108" w:type="dxa"/>
          </w:tblCellMar>
        </w:tblPrEx>
        <w:trPr>
          <w:trHeight w:val="2329" w:hRule="atLeast"/>
        </w:trPr>
        <w:tc>
          <w:tcPr>
            <w:tcW w:w="541"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4</w:t>
            </w:r>
          </w:p>
        </w:tc>
        <w:tc>
          <w:tcPr>
            <w:tcW w:w="1188"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城区充电桩建设运营项目</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城投集团</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储备</w:t>
            </w:r>
          </w:p>
        </w:tc>
        <w:tc>
          <w:tcPr>
            <w:tcW w:w="3048" w:type="dxa"/>
            <w:gridSpan w:val="4"/>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在大足城区主要停车场新建充电桩</w:t>
            </w:r>
          </w:p>
        </w:tc>
        <w:tc>
          <w:tcPr>
            <w:tcW w:w="1284"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1500</w:t>
            </w:r>
          </w:p>
        </w:tc>
        <w:tc>
          <w:tcPr>
            <w:tcW w:w="1435" w:type="dxa"/>
            <w:gridSpan w:val="3"/>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1500</w:t>
            </w:r>
          </w:p>
        </w:tc>
        <w:tc>
          <w:tcPr>
            <w:tcW w:w="1306"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284"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052"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1500</w:t>
            </w:r>
          </w:p>
        </w:tc>
        <w:tc>
          <w:tcPr>
            <w:tcW w:w="748"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2026</w:t>
            </w:r>
          </w:p>
        </w:tc>
        <w:tc>
          <w:tcPr>
            <w:tcW w:w="84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2028</w:t>
            </w:r>
          </w:p>
        </w:tc>
      </w:tr>
    </w:tbl>
    <w:p>
      <w:pPr>
        <w:ind w:firstLine="422"/>
        <w:rPr>
          <w:rFonts w:ascii="方正兰亭纤黑简体" w:hAnsi="仿宋" w:eastAsia="方正兰亭纤黑简体" w:cs="仿宋"/>
          <w:b/>
          <w:bCs/>
          <w:sz w:val="21"/>
          <w:szCs w:val="21"/>
        </w:rPr>
      </w:pPr>
      <w:r>
        <w:rPr>
          <w:rFonts w:hint="eastAsia" w:ascii="方正兰亭纤黑简体" w:hAnsi="仿宋" w:eastAsia="方正兰亭纤黑简体" w:cs="仿宋"/>
          <w:b/>
          <w:bCs/>
          <w:sz w:val="21"/>
          <w:szCs w:val="21"/>
        </w:rPr>
        <w:br w:type="page"/>
      </w:r>
    </w:p>
    <w:tbl>
      <w:tblPr>
        <w:tblStyle w:val="24"/>
        <w:tblW w:w="14250" w:type="dxa"/>
        <w:tblInd w:w="0" w:type="dxa"/>
        <w:tblLayout w:type="fixed"/>
        <w:tblCellMar>
          <w:top w:w="0" w:type="dxa"/>
          <w:left w:w="108" w:type="dxa"/>
          <w:bottom w:w="0" w:type="dxa"/>
          <w:right w:w="108" w:type="dxa"/>
        </w:tblCellMar>
      </w:tblPr>
      <w:tblGrid>
        <w:gridCol w:w="528"/>
        <w:gridCol w:w="209"/>
        <w:gridCol w:w="980"/>
        <w:gridCol w:w="584"/>
        <w:gridCol w:w="570"/>
        <w:gridCol w:w="151"/>
        <w:gridCol w:w="570"/>
        <w:gridCol w:w="148"/>
        <w:gridCol w:w="3882"/>
        <w:gridCol w:w="1149"/>
        <w:gridCol w:w="1006"/>
        <w:gridCol w:w="14"/>
        <w:gridCol w:w="852"/>
        <w:gridCol w:w="297"/>
        <w:gridCol w:w="715"/>
        <w:gridCol w:w="293"/>
        <w:gridCol w:w="584"/>
        <w:gridCol w:w="849"/>
        <w:gridCol w:w="869"/>
      </w:tblGrid>
      <w:tr>
        <w:tblPrEx>
          <w:tblLayout w:type="fixed"/>
          <w:tblCellMar>
            <w:top w:w="0" w:type="dxa"/>
            <w:left w:w="108" w:type="dxa"/>
            <w:bottom w:w="0" w:type="dxa"/>
            <w:right w:w="108" w:type="dxa"/>
          </w:tblCellMar>
        </w:tblPrEx>
        <w:trPr>
          <w:trHeight w:val="375" w:hRule="atLeast"/>
        </w:trPr>
        <w:tc>
          <w:tcPr>
            <w:tcW w:w="14250" w:type="dxa"/>
            <w:gridSpan w:val="19"/>
            <w:tcBorders>
              <w:top w:val="nil"/>
              <w:left w:val="nil"/>
              <w:bottom w:val="single" w:color="auto" w:sz="4" w:space="0"/>
              <w:right w:val="nil"/>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8"/>
                <w:szCs w:val="28"/>
              </w:rPr>
            </w:pPr>
            <w:r>
              <w:rPr>
                <w:rFonts w:hint="eastAsia" w:ascii="方正兰亭纤黑简体" w:hAnsi="仿宋" w:eastAsia="方正兰亭纤黑简体" w:cs="仿宋"/>
                <w:b/>
                <w:bCs/>
                <w:kern w:val="0"/>
                <w:sz w:val="28"/>
                <w:szCs w:val="28"/>
                <w:lang w:bidi="ar"/>
              </w:rPr>
              <w:t>旅游交通项目</w:t>
            </w:r>
          </w:p>
        </w:tc>
      </w:tr>
      <w:tr>
        <w:tblPrEx>
          <w:tblLayout w:type="fixed"/>
          <w:tblCellMar>
            <w:top w:w="0" w:type="dxa"/>
            <w:left w:w="108" w:type="dxa"/>
            <w:bottom w:w="0" w:type="dxa"/>
            <w:right w:w="108" w:type="dxa"/>
          </w:tblCellMar>
        </w:tblPrEx>
        <w:trPr>
          <w:trHeight w:val="315" w:hRule="atLeast"/>
        </w:trPr>
        <w:tc>
          <w:tcPr>
            <w:tcW w:w="528"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序号</w:t>
            </w:r>
          </w:p>
        </w:tc>
        <w:tc>
          <w:tcPr>
            <w:tcW w:w="1189" w:type="dxa"/>
            <w:gridSpan w:val="2"/>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项目名字</w:t>
            </w:r>
          </w:p>
        </w:tc>
        <w:tc>
          <w:tcPr>
            <w:tcW w:w="1154" w:type="dxa"/>
            <w:gridSpan w:val="2"/>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责任单位</w:t>
            </w:r>
          </w:p>
        </w:tc>
        <w:tc>
          <w:tcPr>
            <w:tcW w:w="721" w:type="dxa"/>
            <w:gridSpan w:val="2"/>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建设性质</w:t>
            </w:r>
          </w:p>
        </w:tc>
        <w:tc>
          <w:tcPr>
            <w:tcW w:w="4030" w:type="dxa"/>
            <w:gridSpan w:val="2"/>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建设内容</w:t>
            </w:r>
          </w:p>
        </w:tc>
        <w:tc>
          <w:tcPr>
            <w:tcW w:w="1149"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项目总投资（万元）</w:t>
            </w:r>
          </w:p>
        </w:tc>
        <w:tc>
          <w:tcPr>
            <w:tcW w:w="1020" w:type="dxa"/>
            <w:gridSpan w:val="2"/>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eastAsia="zh-CN" w:bidi="ar"/>
              </w:rPr>
              <w:t>“十四五”</w:t>
            </w:r>
            <w:r>
              <w:rPr>
                <w:rFonts w:hint="eastAsia" w:ascii="方正兰亭纤黑简体" w:hAnsi="仿宋" w:eastAsia="方正兰亭纤黑简体" w:cs="仿宋"/>
                <w:b/>
                <w:bCs/>
                <w:kern w:val="0"/>
                <w:sz w:val="21"/>
                <w:szCs w:val="21"/>
                <w:lang w:bidi="ar"/>
              </w:rPr>
              <w:t>计划投资（万元）</w:t>
            </w:r>
          </w:p>
        </w:tc>
        <w:tc>
          <w:tcPr>
            <w:tcW w:w="2741" w:type="dxa"/>
            <w:gridSpan w:val="5"/>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eastAsia="zh-CN" w:bidi="ar"/>
              </w:rPr>
              <w:t>“十四五”</w:t>
            </w:r>
            <w:r>
              <w:rPr>
                <w:rFonts w:hint="eastAsia" w:ascii="方正兰亭纤黑简体" w:hAnsi="仿宋" w:eastAsia="方正兰亭纤黑简体" w:cs="仿宋"/>
                <w:b/>
                <w:bCs/>
                <w:kern w:val="0"/>
                <w:sz w:val="21"/>
                <w:szCs w:val="21"/>
                <w:lang w:bidi="ar"/>
              </w:rPr>
              <w:t>计划投资分类（万元）</w:t>
            </w:r>
          </w:p>
        </w:tc>
        <w:tc>
          <w:tcPr>
            <w:tcW w:w="849"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开工时间</w:t>
            </w:r>
          </w:p>
        </w:tc>
        <w:tc>
          <w:tcPr>
            <w:tcW w:w="869"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竣工时间</w:t>
            </w:r>
          </w:p>
        </w:tc>
      </w:tr>
      <w:tr>
        <w:tblPrEx>
          <w:tblLayout w:type="fixed"/>
          <w:tblCellMar>
            <w:top w:w="0" w:type="dxa"/>
            <w:left w:w="108" w:type="dxa"/>
            <w:bottom w:w="0" w:type="dxa"/>
            <w:right w:w="108" w:type="dxa"/>
          </w:tblCellMar>
        </w:tblPrEx>
        <w:trPr>
          <w:trHeight w:val="630" w:hRule="atLeast"/>
        </w:trPr>
        <w:tc>
          <w:tcPr>
            <w:tcW w:w="52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189" w:type="dxa"/>
            <w:gridSpan w:val="2"/>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154" w:type="dxa"/>
            <w:gridSpan w:val="2"/>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721" w:type="dxa"/>
            <w:gridSpan w:val="2"/>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4030" w:type="dxa"/>
            <w:gridSpan w:val="2"/>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149"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020" w:type="dxa"/>
            <w:gridSpan w:val="2"/>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149"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中央</w:t>
            </w:r>
            <w:r>
              <w:rPr>
                <w:rFonts w:ascii="方正兰亭纤黑简体" w:hAnsi="仿宋" w:eastAsia="方正兰亭纤黑简体" w:cs="仿宋"/>
                <w:b/>
                <w:bCs/>
                <w:kern w:val="0"/>
                <w:sz w:val="21"/>
                <w:szCs w:val="21"/>
                <w:lang w:bidi="ar"/>
              </w:rPr>
              <w:t>及</w:t>
            </w:r>
            <w:r>
              <w:rPr>
                <w:rFonts w:hint="eastAsia" w:ascii="方正兰亭纤黑简体" w:hAnsi="仿宋" w:eastAsia="方正兰亭纤黑简体" w:cs="仿宋"/>
                <w:b/>
                <w:bCs/>
                <w:kern w:val="0"/>
                <w:sz w:val="21"/>
                <w:szCs w:val="21"/>
                <w:lang w:bidi="ar"/>
              </w:rPr>
              <w:t>市级投资</w:t>
            </w:r>
          </w:p>
        </w:tc>
        <w:tc>
          <w:tcPr>
            <w:tcW w:w="1008"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kern w:val="0"/>
                <w:sz w:val="21"/>
                <w:szCs w:val="21"/>
                <w:lang w:bidi="ar"/>
              </w:rPr>
            </w:pPr>
            <w:r>
              <w:rPr>
                <w:rFonts w:hint="eastAsia" w:ascii="方正兰亭纤黑简体" w:hAnsi="仿宋" w:eastAsia="方正兰亭纤黑简体" w:cs="仿宋"/>
                <w:b/>
                <w:bCs/>
                <w:kern w:val="0"/>
                <w:sz w:val="21"/>
                <w:szCs w:val="21"/>
                <w:lang w:bidi="ar"/>
              </w:rPr>
              <w:t>区级</w:t>
            </w:r>
          </w:p>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投资</w:t>
            </w:r>
          </w:p>
        </w:tc>
        <w:tc>
          <w:tcPr>
            <w:tcW w:w="584"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其它</w:t>
            </w:r>
          </w:p>
        </w:tc>
        <w:tc>
          <w:tcPr>
            <w:tcW w:w="849"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869"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r>
      <w:tr>
        <w:tblPrEx>
          <w:tblLayout w:type="fixed"/>
          <w:tblCellMar>
            <w:top w:w="0" w:type="dxa"/>
            <w:left w:w="108" w:type="dxa"/>
            <w:bottom w:w="0" w:type="dxa"/>
            <w:right w:w="108" w:type="dxa"/>
          </w:tblCellMar>
        </w:tblPrEx>
        <w:trPr>
          <w:trHeight w:val="2000" w:hRule="atLeast"/>
        </w:trPr>
        <w:tc>
          <w:tcPr>
            <w:tcW w:w="528"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312" w:lineRule="auto"/>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1</w:t>
            </w:r>
          </w:p>
        </w:tc>
        <w:tc>
          <w:tcPr>
            <w:tcW w:w="1189"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312" w:lineRule="auto"/>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大足区三山连接旅游轨道线路</w:t>
            </w:r>
          </w:p>
        </w:tc>
        <w:tc>
          <w:tcPr>
            <w:tcW w:w="1154"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312" w:lineRule="auto"/>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区住房城乡建委</w:t>
            </w:r>
          </w:p>
        </w:tc>
        <w:tc>
          <w:tcPr>
            <w:tcW w:w="721"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312" w:lineRule="auto"/>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储备</w:t>
            </w:r>
          </w:p>
        </w:tc>
        <w:tc>
          <w:tcPr>
            <w:tcW w:w="4030"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312" w:lineRule="auto"/>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在大足宝顶山、北山、南山修建旅游轨道交通，线路起于大足石刻游客中心，经北山，南山，止于市域铁路C3与合大线相交的大足东站，长度约16公里，考虑采用空中PRT系统。</w:t>
            </w:r>
          </w:p>
        </w:tc>
        <w:tc>
          <w:tcPr>
            <w:tcW w:w="1149"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312" w:lineRule="auto"/>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240000</w:t>
            </w:r>
          </w:p>
        </w:tc>
        <w:tc>
          <w:tcPr>
            <w:tcW w:w="1020"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312" w:lineRule="auto"/>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w:t>
            </w:r>
          </w:p>
        </w:tc>
        <w:tc>
          <w:tcPr>
            <w:tcW w:w="1149"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312" w:lineRule="auto"/>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w:t>
            </w:r>
          </w:p>
        </w:tc>
        <w:tc>
          <w:tcPr>
            <w:tcW w:w="1008"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312" w:lineRule="auto"/>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w:t>
            </w:r>
          </w:p>
        </w:tc>
        <w:tc>
          <w:tcPr>
            <w:tcW w:w="584"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312" w:lineRule="auto"/>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w:t>
            </w:r>
          </w:p>
        </w:tc>
        <w:tc>
          <w:tcPr>
            <w:tcW w:w="849" w:type="dxa"/>
            <w:tcBorders>
              <w:top w:val="single" w:color="auto" w:sz="4" w:space="0"/>
              <w:left w:val="single" w:color="auto" w:sz="4" w:space="0"/>
              <w:bottom w:val="single" w:color="auto" w:sz="4" w:space="0"/>
              <w:right w:val="single" w:color="auto" w:sz="4" w:space="0"/>
            </w:tcBorders>
            <w:shd w:val="clear" w:color="auto" w:fill="FFFFFF"/>
            <w:vAlign w:val="center"/>
          </w:tcPr>
          <w:p>
            <w:pPr>
              <w:spacing w:line="312" w:lineRule="auto"/>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869" w:type="dxa"/>
            <w:tcBorders>
              <w:top w:val="single" w:color="auto" w:sz="4" w:space="0"/>
              <w:left w:val="single" w:color="auto" w:sz="4" w:space="0"/>
              <w:bottom w:val="single" w:color="auto" w:sz="4" w:space="0"/>
              <w:right w:val="single" w:color="auto" w:sz="4" w:space="0"/>
            </w:tcBorders>
            <w:shd w:val="clear" w:color="auto" w:fill="FFFFFF"/>
            <w:vAlign w:val="center"/>
          </w:tcPr>
          <w:p>
            <w:pPr>
              <w:spacing w:line="312" w:lineRule="auto"/>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2029</w:t>
            </w:r>
          </w:p>
        </w:tc>
      </w:tr>
      <w:tr>
        <w:tblPrEx>
          <w:tblLayout w:type="fixed"/>
          <w:tblCellMar>
            <w:top w:w="0" w:type="dxa"/>
            <w:left w:w="108" w:type="dxa"/>
            <w:bottom w:w="0" w:type="dxa"/>
            <w:right w:w="108" w:type="dxa"/>
          </w:tblCellMar>
        </w:tblPrEx>
        <w:trPr>
          <w:trHeight w:val="95" w:hRule="atLeast"/>
        </w:trPr>
        <w:tc>
          <w:tcPr>
            <w:tcW w:w="528"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312" w:lineRule="auto"/>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w:t>
            </w:r>
          </w:p>
        </w:tc>
        <w:tc>
          <w:tcPr>
            <w:tcW w:w="1189"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312" w:lineRule="auto"/>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大足旅游环线（中心城区）</w:t>
            </w:r>
          </w:p>
        </w:tc>
        <w:tc>
          <w:tcPr>
            <w:tcW w:w="1154"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312" w:lineRule="auto"/>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21"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312" w:lineRule="auto"/>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30"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312" w:lineRule="auto"/>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打通断头路，与现状道路新城串联城区文旅节点的环形通道，加强通道文化植入与标识指引。</w:t>
            </w:r>
          </w:p>
        </w:tc>
        <w:tc>
          <w:tcPr>
            <w:tcW w:w="1149" w:type="dxa"/>
            <w:tcBorders>
              <w:top w:val="single" w:color="auto" w:sz="4" w:space="0"/>
              <w:left w:val="single" w:color="auto" w:sz="4" w:space="0"/>
              <w:bottom w:val="single" w:color="auto" w:sz="4" w:space="0"/>
              <w:right w:val="single" w:color="auto" w:sz="4" w:space="0"/>
            </w:tcBorders>
            <w:shd w:val="clear" w:color="auto" w:fill="FFFFFF"/>
            <w:vAlign w:val="center"/>
          </w:tcPr>
          <w:p>
            <w:pPr>
              <w:spacing w:line="312" w:lineRule="auto"/>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3000</w:t>
            </w:r>
          </w:p>
        </w:tc>
        <w:tc>
          <w:tcPr>
            <w:tcW w:w="1020"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spacing w:line="312" w:lineRule="auto"/>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3000</w:t>
            </w:r>
          </w:p>
        </w:tc>
        <w:tc>
          <w:tcPr>
            <w:tcW w:w="1149"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spacing w:line="312" w:lineRule="auto"/>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8"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spacing w:line="312" w:lineRule="auto"/>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3000</w:t>
            </w:r>
          </w:p>
        </w:tc>
        <w:tc>
          <w:tcPr>
            <w:tcW w:w="584" w:type="dxa"/>
            <w:tcBorders>
              <w:top w:val="single" w:color="auto" w:sz="4" w:space="0"/>
              <w:left w:val="single" w:color="auto" w:sz="4" w:space="0"/>
              <w:bottom w:val="single" w:color="auto" w:sz="4" w:space="0"/>
              <w:right w:val="single" w:color="auto" w:sz="4" w:space="0"/>
            </w:tcBorders>
            <w:shd w:val="clear" w:color="auto" w:fill="FFFFFF"/>
            <w:vAlign w:val="center"/>
          </w:tcPr>
          <w:p>
            <w:pPr>
              <w:spacing w:line="312" w:lineRule="auto"/>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49" w:type="dxa"/>
            <w:tcBorders>
              <w:top w:val="single" w:color="auto" w:sz="4" w:space="0"/>
              <w:left w:val="single" w:color="auto" w:sz="4" w:space="0"/>
              <w:bottom w:val="single" w:color="auto" w:sz="4" w:space="0"/>
              <w:right w:val="single" w:color="auto" w:sz="4" w:space="0"/>
            </w:tcBorders>
            <w:shd w:val="clear" w:color="auto" w:fill="FFFFFF"/>
            <w:vAlign w:val="center"/>
          </w:tcPr>
          <w:p>
            <w:pPr>
              <w:spacing w:line="312" w:lineRule="auto"/>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869" w:type="dxa"/>
            <w:tcBorders>
              <w:top w:val="single" w:color="auto" w:sz="4" w:space="0"/>
              <w:left w:val="single" w:color="auto" w:sz="4" w:space="0"/>
              <w:bottom w:val="single" w:color="auto" w:sz="4" w:space="0"/>
              <w:right w:val="single" w:color="auto" w:sz="4" w:space="0"/>
            </w:tcBorders>
            <w:shd w:val="clear" w:color="auto" w:fill="FFFFFF"/>
            <w:vAlign w:val="center"/>
          </w:tcPr>
          <w:p>
            <w:pPr>
              <w:spacing w:line="312" w:lineRule="auto"/>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2029</w:t>
            </w:r>
          </w:p>
        </w:tc>
      </w:tr>
      <w:tr>
        <w:tblPrEx>
          <w:tblLayout w:type="fixed"/>
          <w:tblCellMar>
            <w:top w:w="0" w:type="dxa"/>
            <w:left w:w="108" w:type="dxa"/>
            <w:bottom w:w="0" w:type="dxa"/>
            <w:right w:w="108" w:type="dxa"/>
          </w:tblCellMar>
        </w:tblPrEx>
        <w:trPr>
          <w:trHeight w:val="95" w:hRule="atLeast"/>
        </w:trPr>
        <w:tc>
          <w:tcPr>
            <w:tcW w:w="528"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312" w:lineRule="auto"/>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w:t>
            </w:r>
          </w:p>
        </w:tc>
        <w:tc>
          <w:tcPr>
            <w:tcW w:w="1189"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312" w:lineRule="auto"/>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大足旅游环线（五山通道）</w:t>
            </w:r>
          </w:p>
        </w:tc>
        <w:tc>
          <w:tcPr>
            <w:tcW w:w="1154"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312" w:lineRule="auto"/>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21"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312" w:lineRule="auto"/>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30"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312" w:lineRule="auto"/>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项目串联五山石刻景区。</w:t>
            </w:r>
          </w:p>
        </w:tc>
        <w:tc>
          <w:tcPr>
            <w:tcW w:w="1149" w:type="dxa"/>
            <w:tcBorders>
              <w:top w:val="single" w:color="auto" w:sz="4" w:space="0"/>
              <w:left w:val="single" w:color="auto" w:sz="4" w:space="0"/>
              <w:bottom w:val="single" w:color="auto" w:sz="4" w:space="0"/>
              <w:right w:val="single" w:color="auto" w:sz="4" w:space="0"/>
            </w:tcBorders>
            <w:shd w:val="clear" w:color="auto" w:fill="FFFFFF"/>
            <w:vAlign w:val="center"/>
          </w:tcPr>
          <w:p>
            <w:pPr>
              <w:spacing w:line="312" w:lineRule="auto"/>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10000</w:t>
            </w:r>
          </w:p>
        </w:tc>
        <w:tc>
          <w:tcPr>
            <w:tcW w:w="1020"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spacing w:line="312" w:lineRule="auto"/>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10000</w:t>
            </w:r>
          </w:p>
        </w:tc>
        <w:tc>
          <w:tcPr>
            <w:tcW w:w="1149"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spacing w:line="312" w:lineRule="auto"/>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8"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spacing w:line="312" w:lineRule="auto"/>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10000</w:t>
            </w:r>
          </w:p>
        </w:tc>
        <w:tc>
          <w:tcPr>
            <w:tcW w:w="584" w:type="dxa"/>
            <w:tcBorders>
              <w:top w:val="single" w:color="auto" w:sz="4" w:space="0"/>
              <w:left w:val="single" w:color="auto" w:sz="4" w:space="0"/>
              <w:bottom w:val="single" w:color="auto" w:sz="4" w:space="0"/>
              <w:right w:val="single" w:color="auto" w:sz="4" w:space="0"/>
            </w:tcBorders>
            <w:shd w:val="clear" w:color="auto" w:fill="FFFFFF"/>
            <w:vAlign w:val="center"/>
          </w:tcPr>
          <w:p>
            <w:pPr>
              <w:spacing w:line="312" w:lineRule="auto"/>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49" w:type="dxa"/>
            <w:tcBorders>
              <w:top w:val="single" w:color="auto" w:sz="4" w:space="0"/>
              <w:left w:val="single" w:color="auto" w:sz="4" w:space="0"/>
              <w:bottom w:val="single" w:color="auto" w:sz="4" w:space="0"/>
              <w:right w:val="single" w:color="auto" w:sz="4" w:space="0"/>
            </w:tcBorders>
            <w:shd w:val="clear" w:color="auto" w:fill="FFFFFF"/>
            <w:vAlign w:val="center"/>
          </w:tcPr>
          <w:p>
            <w:pPr>
              <w:spacing w:line="312" w:lineRule="auto"/>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869" w:type="dxa"/>
            <w:tcBorders>
              <w:top w:val="single" w:color="auto" w:sz="4" w:space="0"/>
              <w:left w:val="single" w:color="auto" w:sz="4" w:space="0"/>
              <w:bottom w:val="single" w:color="auto" w:sz="4" w:space="0"/>
              <w:right w:val="single" w:color="auto" w:sz="4" w:space="0"/>
            </w:tcBorders>
            <w:shd w:val="clear" w:color="auto" w:fill="FFFFFF"/>
            <w:vAlign w:val="center"/>
          </w:tcPr>
          <w:p>
            <w:pPr>
              <w:spacing w:line="312" w:lineRule="auto"/>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2029</w:t>
            </w:r>
          </w:p>
        </w:tc>
      </w:tr>
      <w:tr>
        <w:tblPrEx>
          <w:tblLayout w:type="fixed"/>
          <w:tblCellMar>
            <w:top w:w="0" w:type="dxa"/>
            <w:left w:w="108" w:type="dxa"/>
            <w:bottom w:w="0" w:type="dxa"/>
            <w:right w:w="108" w:type="dxa"/>
          </w:tblCellMar>
        </w:tblPrEx>
        <w:trPr>
          <w:trHeight w:val="95" w:hRule="atLeast"/>
        </w:trPr>
        <w:tc>
          <w:tcPr>
            <w:tcW w:w="528"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312" w:lineRule="auto"/>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w:t>
            </w:r>
          </w:p>
        </w:tc>
        <w:tc>
          <w:tcPr>
            <w:tcW w:w="1189"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spacing w:line="312" w:lineRule="auto"/>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大足石刻宝顶景区索道项目</w:t>
            </w:r>
          </w:p>
        </w:tc>
        <w:tc>
          <w:tcPr>
            <w:tcW w:w="1154"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spacing w:line="312" w:lineRule="auto"/>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石刻研究院</w:t>
            </w:r>
          </w:p>
        </w:tc>
        <w:tc>
          <w:tcPr>
            <w:tcW w:w="721"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spacing w:line="312" w:lineRule="auto"/>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30"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spacing w:line="312" w:lineRule="auto"/>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总长度约500米，设置配套房等设施</w:t>
            </w:r>
          </w:p>
        </w:tc>
        <w:tc>
          <w:tcPr>
            <w:tcW w:w="1149" w:type="dxa"/>
            <w:tcBorders>
              <w:top w:val="single" w:color="auto" w:sz="4" w:space="0"/>
              <w:left w:val="single" w:color="auto" w:sz="4" w:space="0"/>
              <w:bottom w:val="single" w:color="auto" w:sz="4" w:space="0"/>
              <w:right w:val="single" w:color="auto" w:sz="4" w:space="0"/>
            </w:tcBorders>
            <w:shd w:val="clear" w:color="auto" w:fill="FFFFFF"/>
            <w:vAlign w:val="center"/>
          </w:tcPr>
          <w:p>
            <w:pPr>
              <w:spacing w:line="312" w:lineRule="auto"/>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w:t>
            </w:r>
          </w:p>
        </w:tc>
        <w:tc>
          <w:tcPr>
            <w:tcW w:w="1020"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spacing w:line="312" w:lineRule="auto"/>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w:t>
            </w:r>
          </w:p>
        </w:tc>
        <w:tc>
          <w:tcPr>
            <w:tcW w:w="1149"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spacing w:line="312" w:lineRule="auto"/>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8"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spacing w:line="312" w:lineRule="auto"/>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w:t>
            </w:r>
          </w:p>
        </w:tc>
        <w:tc>
          <w:tcPr>
            <w:tcW w:w="584" w:type="dxa"/>
            <w:tcBorders>
              <w:top w:val="single" w:color="auto" w:sz="4" w:space="0"/>
              <w:left w:val="single" w:color="auto" w:sz="4" w:space="0"/>
              <w:bottom w:val="single" w:color="auto" w:sz="4" w:space="0"/>
              <w:right w:val="single" w:color="auto" w:sz="4" w:space="0"/>
            </w:tcBorders>
            <w:shd w:val="clear" w:color="auto" w:fill="FFFFFF"/>
            <w:vAlign w:val="center"/>
          </w:tcPr>
          <w:p>
            <w:pPr>
              <w:spacing w:line="312" w:lineRule="auto"/>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49" w:type="dxa"/>
            <w:tcBorders>
              <w:top w:val="single" w:color="auto" w:sz="4" w:space="0"/>
              <w:left w:val="single" w:color="auto" w:sz="4" w:space="0"/>
              <w:bottom w:val="single" w:color="auto" w:sz="4" w:space="0"/>
              <w:right w:val="single" w:color="auto" w:sz="4" w:space="0"/>
            </w:tcBorders>
            <w:shd w:val="clear" w:color="auto" w:fill="FFFFFF"/>
            <w:vAlign w:val="center"/>
          </w:tcPr>
          <w:p>
            <w:pPr>
              <w:spacing w:line="312" w:lineRule="auto"/>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869" w:type="dxa"/>
            <w:tcBorders>
              <w:top w:val="single" w:color="auto" w:sz="4" w:space="0"/>
              <w:left w:val="single" w:color="auto" w:sz="4" w:space="0"/>
              <w:bottom w:val="single" w:color="auto" w:sz="4" w:space="0"/>
              <w:right w:val="single" w:color="auto" w:sz="4" w:space="0"/>
            </w:tcBorders>
            <w:shd w:val="clear" w:color="auto" w:fill="FFFFFF"/>
            <w:vAlign w:val="center"/>
          </w:tcPr>
          <w:p>
            <w:pPr>
              <w:spacing w:line="312" w:lineRule="auto"/>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2029</w:t>
            </w:r>
          </w:p>
        </w:tc>
      </w:tr>
      <w:tr>
        <w:tblPrEx>
          <w:tblLayout w:type="fixed"/>
          <w:tblCellMar>
            <w:top w:w="0" w:type="dxa"/>
            <w:left w:w="108" w:type="dxa"/>
            <w:bottom w:w="0" w:type="dxa"/>
            <w:right w:w="108" w:type="dxa"/>
          </w:tblCellMar>
        </w:tblPrEx>
        <w:trPr>
          <w:trHeight w:val="375" w:hRule="atLeast"/>
        </w:trPr>
        <w:tc>
          <w:tcPr>
            <w:tcW w:w="14250" w:type="dxa"/>
            <w:gridSpan w:val="19"/>
            <w:tcBorders>
              <w:top w:val="nil"/>
              <w:left w:val="nil"/>
              <w:bottom w:val="single" w:color="auto" w:sz="4" w:space="0"/>
              <w:right w:val="nil"/>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8"/>
                <w:szCs w:val="28"/>
              </w:rPr>
            </w:pPr>
            <w:r>
              <w:br w:type="page"/>
            </w:r>
            <w:r>
              <w:rPr>
                <w:rFonts w:hint="eastAsia" w:ascii="方正兰亭纤黑简体" w:hAnsi="仿宋" w:eastAsia="方正兰亭纤黑简体" w:cs="仿宋"/>
                <w:b/>
                <w:bCs/>
                <w:sz w:val="21"/>
                <w:szCs w:val="21"/>
              </w:rPr>
              <w:br w:type="page"/>
            </w:r>
            <w:r>
              <w:rPr>
                <w:rFonts w:hint="eastAsia" w:ascii="方正兰亭纤黑简体" w:hAnsi="仿宋" w:eastAsia="方正兰亭纤黑简体" w:cs="仿宋"/>
                <w:b/>
                <w:bCs/>
                <w:kern w:val="0"/>
                <w:sz w:val="28"/>
                <w:szCs w:val="28"/>
                <w:lang w:bidi="ar"/>
              </w:rPr>
              <w:t>排水项目</w:t>
            </w:r>
          </w:p>
        </w:tc>
      </w:tr>
      <w:tr>
        <w:tblPrEx>
          <w:tblLayout w:type="fixed"/>
          <w:tblCellMar>
            <w:top w:w="0" w:type="dxa"/>
            <w:left w:w="108" w:type="dxa"/>
            <w:bottom w:w="0" w:type="dxa"/>
            <w:right w:w="108" w:type="dxa"/>
          </w:tblCellMar>
        </w:tblPrEx>
        <w:trPr>
          <w:trHeight w:val="315" w:hRule="atLeast"/>
        </w:trPr>
        <w:tc>
          <w:tcPr>
            <w:tcW w:w="737" w:type="dxa"/>
            <w:gridSpan w:val="2"/>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序号</w:t>
            </w:r>
          </w:p>
        </w:tc>
        <w:tc>
          <w:tcPr>
            <w:tcW w:w="1564" w:type="dxa"/>
            <w:gridSpan w:val="2"/>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项目名字</w:t>
            </w:r>
          </w:p>
        </w:tc>
        <w:tc>
          <w:tcPr>
            <w:tcW w:w="721" w:type="dxa"/>
            <w:gridSpan w:val="2"/>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责任单位</w:t>
            </w:r>
          </w:p>
        </w:tc>
        <w:tc>
          <w:tcPr>
            <w:tcW w:w="718" w:type="dxa"/>
            <w:gridSpan w:val="2"/>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建设性质</w:t>
            </w:r>
          </w:p>
        </w:tc>
        <w:tc>
          <w:tcPr>
            <w:tcW w:w="3882"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建设内容</w:t>
            </w:r>
          </w:p>
        </w:tc>
        <w:tc>
          <w:tcPr>
            <w:tcW w:w="1149"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项目总投资（万元）</w:t>
            </w:r>
          </w:p>
        </w:tc>
        <w:tc>
          <w:tcPr>
            <w:tcW w:w="1006"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eastAsia="zh-CN" w:bidi="ar"/>
              </w:rPr>
              <w:t>“十四五”</w:t>
            </w:r>
            <w:r>
              <w:rPr>
                <w:rFonts w:hint="eastAsia" w:ascii="方正兰亭纤黑简体" w:hAnsi="仿宋" w:eastAsia="方正兰亭纤黑简体" w:cs="仿宋"/>
                <w:b/>
                <w:bCs/>
                <w:kern w:val="0"/>
                <w:sz w:val="21"/>
                <w:szCs w:val="21"/>
                <w:lang w:bidi="ar"/>
              </w:rPr>
              <w:t>计划投资（万元）</w:t>
            </w:r>
          </w:p>
        </w:tc>
        <w:tc>
          <w:tcPr>
            <w:tcW w:w="2755" w:type="dxa"/>
            <w:gridSpan w:val="6"/>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eastAsia="zh-CN" w:bidi="ar"/>
              </w:rPr>
              <w:t>“十四五”</w:t>
            </w:r>
            <w:r>
              <w:rPr>
                <w:rFonts w:hint="eastAsia" w:ascii="方正兰亭纤黑简体" w:hAnsi="仿宋" w:eastAsia="方正兰亭纤黑简体" w:cs="仿宋"/>
                <w:b/>
                <w:bCs/>
                <w:kern w:val="0"/>
                <w:sz w:val="21"/>
                <w:szCs w:val="21"/>
                <w:lang w:bidi="ar"/>
              </w:rPr>
              <w:t>计划投资分类（万元）</w:t>
            </w:r>
          </w:p>
        </w:tc>
        <w:tc>
          <w:tcPr>
            <w:tcW w:w="849"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开工时间</w:t>
            </w:r>
          </w:p>
        </w:tc>
        <w:tc>
          <w:tcPr>
            <w:tcW w:w="869"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竣工时间</w:t>
            </w:r>
          </w:p>
        </w:tc>
      </w:tr>
      <w:tr>
        <w:tblPrEx>
          <w:tblLayout w:type="fixed"/>
          <w:tblCellMar>
            <w:top w:w="0" w:type="dxa"/>
            <w:left w:w="108" w:type="dxa"/>
            <w:bottom w:w="0" w:type="dxa"/>
            <w:right w:w="108" w:type="dxa"/>
          </w:tblCellMar>
        </w:tblPrEx>
        <w:trPr>
          <w:trHeight w:val="2100" w:hRule="atLeast"/>
        </w:trPr>
        <w:tc>
          <w:tcPr>
            <w:tcW w:w="737" w:type="dxa"/>
            <w:gridSpan w:val="2"/>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564" w:type="dxa"/>
            <w:gridSpan w:val="2"/>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721" w:type="dxa"/>
            <w:gridSpan w:val="2"/>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718" w:type="dxa"/>
            <w:gridSpan w:val="2"/>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3882"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149"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006"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866"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中央</w:t>
            </w:r>
            <w:r>
              <w:rPr>
                <w:rFonts w:ascii="方正兰亭纤黑简体" w:hAnsi="仿宋" w:eastAsia="方正兰亭纤黑简体" w:cs="仿宋"/>
                <w:b/>
                <w:bCs/>
                <w:kern w:val="0"/>
                <w:sz w:val="21"/>
                <w:szCs w:val="21"/>
                <w:lang w:bidi="ar"/>
              </w:rPr>
              <w:t>及</w:t>
            </w:r>
            <w:r>
              <w:rPr>
                <w:rFonts w:hint="eastAsia" w:ascii="方正兰亭纤黑简体" w:hAnsi="仿宋" w:eastAsia="方正兰亭纤黑简体" w:cs="仿宋"/>
                <w:b/>
                <w:bCs/>
                <w:kern w:val="0"/>
                <w:sz w:val="21"/>
                <w:szCs w:val="21"/>
                <w:lang w:bidi="ar"/>
              </w:rPr>
              <w:t>市级投资</w:t>
            </w:r>
          </w:p>
        </w:tc>
        <w:tc>
          <w:tcPr>
            <w:tcW w:w="1012"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区级投资</w:t>
            </w:r>
          </w:p>
        </w:tc>
        <w:tc>
          <w:tcPr>
            <w:tcW w:w="877"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其它</w:t>
            </w:r>
          </w:p>
        </w:tc>
        <w:tc>
          <w:tcPr>
            <w:tcW w:w="849"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869"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r>
      <w:tr>
        <w:tblPrEx>
          <w:tblLayout w:type="fixed"/>
          <w:tblCellMar>
            <w:top w:w="0" w:type="dxa"/>
            <w:left w:w="108" w:type="dxa"/>
            <w:bottom w:w="0" w:type="dxa"/>
            <w:right w:w="108" w:type="dxa"/>
          </w:tblCellMar>
        </w:tblPrEx>
        <w:trPr>
          <w:trHeight w:val="2475" w:hRule="atLeast"/>
        </w:trPr>
        <w:tc>
          <w:tcPr>
            <w:tcW w:w="737"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w:t>
            </w:r>
          </w:p>
        </w:tc>
        <w:tc>
          <w:tcPr>
            <w:tcW w:w="1564"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镇街排水管网运维及整治工程（2022）</w:t>
            </w:r>
          </w:p>
        </w:tc>
        <w:tc>
          <w:tcPr>
            <w:tcW w:w="721"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18"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88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结合普查情况，对大足城区及其它镇街排水管网进行整治改造。同时，对大足城区及其它镇街市政排水管网进行维护</w:t>
            </w:r>
          </w:p>
        </w:tc>
        <w:tc>
          <w:tcPr>
            <w:tcW w:w="114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50000</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50000</w:t>
            </w:r>
          </w:p>
        </w:tc>
        <w:tc>
          <w:tcPr>
            <w:tcW w:w="866"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12"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7"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50000</w:t>
            </w:r>
          </w:p>
        </w:tc>
        <w:tc>
          <w:tcPr>
            <w:tcW w:w="84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c>
          <w:tcPr>
            <w:tcW w:w="8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r>
      <w:tr>
        <w:tblPrEx>
          <w:tblLayout w:type="fixed"/>
          <w:tblCellMar>
            <w:top w:w="0" w:type="dxa"/>
            <w:left w:w="108" w:type="dxa"/>
            <w:bottom w:w="0" w:type="dxa"/>
            <w:right w:w="108" w:type="dxa"/>
          </w:tblCellMar>
        </w:tblPrEx>
        <w:trPr>
          <w:trHeight w:val="1350" w:hRule="atLeast"/>
        </w:trPr>
        <w:tc>
          <w:tcPr>
            <w:tcW w:w="737"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w:t>
            </w:r>
          </w:p>
        </w:tc>
        <w:tc>
          <w:tcPr>
            <w:tcW w:w="1564"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城镇排水管网整治及维护工程（2023）</w:t>
            </w:r>
          </w:p>
        </w:tc>
        <w:tc>
          <w:tcPr>
            <w:tcW w:w="721"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18"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88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主要包含四大方面的项目：一是以污水处理提质增效为重点，实施城区挤外水排查整治工程；二是以消除污水直排为重点，实施刘家坝河西城国际段、智凤小企业基地片区、米粮弥陀片区管网新改建工程；三是以水质综合提升为重点，实施城区永定河大渡河沿线沿线湿地建设、工程引水及管网分流改造，龙水老大桥金凯国际沿线水质综合提升工程；四是以解决内涝为重点，实施龙水街心花园、西一龙东还房步行街等2处易涝点综合整治。</w:t>
            </w:r>
          </w:p>
        </w:tc>
        <w:tc>
          <w:tcPr>
            <w:tcW w:w="114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20000</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20000</w:t>
            </w:r>
          </w:p>
        </w:tc>
        <w:tc>
          <w:tcPr>
            <w:tcW w:w="866"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12"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20000</w:t>
            </w:r>
          </w:p>
        </w:tc>
        <w:tc>
          <w:tcPr>
            <w:tcW w:w="877"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4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8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r>
      <w:tr>
        <w:tblPrEx>
          <w:tblLayout w:type="fixed"/>
          <w:tblCellMar>
            <w:top w:w="0" w:type="dxa"/>
            <w:left w:w="108" w:type="dxa"/>
            <w:bottom w:w="0" w:type="dxa"/>
            <w:right w:w="108" w:type="dxa"/>
          </w:tblCellMar>
        </w:tblPrEx>
        <w:trPr>
          <w:trHeight w:val="1350" w:hRule="atLeast"/>
        </w:trPr>
        <w:tc>
          <w:tcPr>
            <w:tcW w:w="737"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w:t>
            </w:r>
          </w:p>
        </w:tc>
        <w:tc>
          <w:tcPr>
            <w:tcW w:w="1564"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镇街排水管网整治及维护工程（2024）</w:t>
            </w:r>
          </w:p>
        </w:tc>
        <w:tc>
          <w:tcPr>
            <w:tcW w:w="721"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18"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新开工</w:t>
            </w:r>
          </w:p>
        </w:tc>
        <w:tc>
          <w:tcPr>
            <w:tcW w:w="388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对宝顶镇（合内路等）、万古镇（三小及农贸市场等）等镇街排水管网进行排查和错混接及结构性功能性缺陷等整改；对各镇排水管网进行排查及整治，有条件的实施雨污分流改造。总计排查约100公里，新改扩建约20公里，清淤约20公里。同时，对大足城区及其它镇市政排水管网进行维护。</w:t>
            </w:r>
          </w:p>
        </w:tc>
        <w:tc>
          <w:tcPr>
            <w:tcW w:w="114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10000</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10000</w:t>
            </w:r>
          </w:p>
        </w:tc>
        <w:tc>
          <w:tcPr>
            <w:tcW w:w="866"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12"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10000</w:t>
            </w:r>
          </w:p>
        </w:tc>
        <w:tc>
          <w:tcPr>
            <w:tcW w:w="877"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4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c>
          <w:tcPr>
            <w:tcW w:w="8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r>
      <w:tr>
        <w:tblPrEx>
          <w:tblLayout w:type="fixed"/>
          <w:tblCellMar>
            <w:top w:w="0" w:type="dxa"/>
            <w:left w:w="108" w:type="dxa"/>
            <w:bottom w:w="0" w:type="dxa"/>
            <w:right w:w="108" w:type="dxa"/>
          </w:tblCellMar>
        </w:tblPrEx>
        <w:trPr>
          <w:trHeight w:val="1350" w:hRule="atLeast"/>
        </w:trPr>
        <w:tc>
          <w:tcPr>
            <w:tcW w:w="737"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w:t>
            </w:r>
          </w:p>
        </w:tc>
        <w:tc>
          <w:tcPr>
            <w:tcW w:w="1564"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大足区智慧排水项目（二期）</w:t>
            </w:r>
          </w:p>
        </w:tc>
        <w:tc>
          <w:tcPr>
            <w:tcW w:w="721"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18"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88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对大足区19座镇级污水处理厂进行前端感知设备的建设，监测设备，在线监测水质监控设备（COD、氨氮、TP、TN）、电磁流量计、压力式液位计、数据采集及传输设备，4G、5G数据传输系统和智慧排水平台（含软件开发）等内容。</w:t>
            </w:r>
          </w:p>
        </w:tc>
        <w:tc>
          <w:tcPr>
            <w:tcW w:w="114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4900</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4900</w:t>
            </w:r>
          </w:p>
        </w:tc>
        <w:tc>
          <w:tcPr>
            <w:tcW w:w="866"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4900</w:t>
            </w:r>
          </w:p>
        </w:tc>
        <w:tc>
          <w:tcPr>
            <w:tcW w:w="1012"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7"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4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8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bl>
    <w:p>
      <w:pPr>
        <w:ind w:firstLine="640"/>
      </w:pPr>
      <w:r>
        <w:br w:type="page"/>
      </w:r>
    </w:p>
    <w:tbl>
      <w:tblPr>
        <w:tblStyle w:val="24"/>
        <w:tblW w:w="14170" w:type="dxa"/>
        <w:tblInd w:w="0" w:type="dxa"/>
        <w:tblLayout w:type="fixed"/>
        <w:tblCellMar>
          <w:top w:w="0" w:type="dxa"/>
          <w:left w:w="108" w:type="dxa"/>
          <w:bottom w:w="0" w:type="dxa"/>
          <w:right w:w="108" w:type="dxa"/>
        </w:tblCellMar>
      </w:tblPr>
      <w:tblGrid>
        <w:gridCol w:w="435"/>
        <w:gridCol w:w="1573"/>
        <w:gridCol w:w="1157"/>
        <w:gridCol w:w="714"/>
        <w:gridCol w:w="4030"/>
        <w:gridCol w:w="1006"/>
        <w:gridCol w:w="1003"/>
        <w:gridCol w:w="859"/>
        <w:gridCol w:w="861"/>
        <w:gridCol w:w="918"/>
        <w:gridCol w:w="807"/>
        <w:gridCol w:w="807"/>
      </w:tblGrid>
      <w:tr>
        <w:tblPrEx>
          <w:tblLayout w:type="fixed"/>
          <w:tblCellMar>
            <w:top w:w="0" w:type="dxa"/>
            <w:left w:w="108" w:type="dxa"/>
            <w:bottom w:w="0" w:type="dxa"/>
            <w:right w:w="108" w:type="dxa"/>
          </w:tblCellMar>
        </w:tblPrEx>
        <w:trPr>
          <w:trHeight w:val="375" w:hRule="atLeast"/>
        </w:trPr>
        <w:tc>
          <w:tcPr>
            <w:tcW w:w="14170" w:type="dxa"/>
            <w:gridSpan w:val="12"/>
            <w:tcBorders>
              <w:top w:val="nil"/>
              <w:left w:val="nil"/>
              <w:bottom w:val="single" w:color="auto" w:sz="4" w:space="0"/>
              <w:right w:val="nil"/>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8"/>
                <w:szCs w:val="28"/>
              </w:rPr>
            </w:pPr>
            <w:r>
              <w:rPr>
                <w:rFonts w:hint="eastAsia" w:ascii="方正兰亭纤黑简体" w:hAnsi="仿宋" w:eastAsia="方正兰亭纤黑简体" w:cs="仿宋"/>
                <w:b/>
                <w:bCs/>
                <w:sz w:val="21"/>
                <w:szCs w:val="21"/>
              </w:rPr>
              <w:br w:type="page"/>
            </w:r>
            <w:r>
              <w:rPr>
                <w:rFonts w:hint="eastAsia" w:ascii="方正兰亭纤黑简体" w:hAnsi="仿宋" w:eastAsia="方正兰亭纤黑简体" w:cs="仿宋"/>
                <w:b/>
                <w:bCs/>
                <w:kern w:val="0"/>
                <w:sz w:val="28"/>
                <w:szCs w:val="28"/>
                <w:lang w:bidi="ar"/>
              </w:rPr>
              <w:t>污水项目</w:t>
            </w:r>
          </w:p>
        </w:tc>
      </w:tr>
      <w:tr>
        <w:tblPrEx>
          <w:tblLayout w:type="fixed"/>
          <w:tblCellMar>
            <w:top w:w="0" w:type="dxa"/>
            <w:left w:w="108" w:type="dxa"/>
            <w:bottom w:w="0" w:type="dxa"/>
            <w:right w:w="108" w:type="dxa"/>
          </w:tblCellMar>
        </w:tblPrEx>
        <w:trPr>
          <w:trHeight w:val="315" w:hRule="atLeast"/>
        </w:trPr>
        <w:tc>
          <w:tcPr>
            <w:tcW w:w="435"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序号</w:t>
            </w:r>
          </w:p>
        </w:tc>
        <w:tc>
          <w:tcPr>
            <w:tcW w:w="1573"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项目名字</w:t>
            </w:r>
          </w:p>
        </w:tc>
        <w:tc>
          <w:tcPr>
            <w:tcW w:w="1157"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责任单位</w:t>
            </w:r>
          </w:p>
        </w:tc>
        <w:tc>
          <w:tcPr>
            <w:tcW w:w="714"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建设性质</w:t>
            </w:r>
          </w:p>
        </w:tc>
        <w:tc>
          <w:tcPr>
            <w:tcW w:w="4030"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建设内容</w:t>
            </w:r>
          </w:p>
        </w:tc>
        <w:tc>
          <w:tcPr>
            <w:tcW w:w="1006"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项目总投资（万元）</w:t>
            </w:r>
          </w:p>
        </w:tc>
        <w:tc>
          <w:tcPr>
            <w:tcW w:w="1003"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eastAsia="zh-CN" w:bidi="ar"/>
              </w:rPr>
              <w:t>“十四五”</w:t>
            </w:r>
            <w:r>
              <w:rPr>
                <w:rFonts w:hint="eastAsia" w:ascii="方正兰亭纤黑简体" w:hAnsi="仿宋" w:eastAsia="方正兰亭纤黑简体" w:cs="仿宋"/>
                <w:b/>
                <w:bCs/>
                <w:kern w:val="0"/>
                <w:sz w:val="21"/>
                <w:szCs w:val="21"/>
                <w:lang w:bidi="ar"/>
              </w:rPr>
              <w:t>计划投资（万元）</w:t>
            </w:r>
          </w:p>
        </w:tc>
        <w:tc>
          <w:tcPr>
            <w:tcW w:w="2638" w:type="dxa"/>
            <w:gridSpan w:val="3"/>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eastAsia="zh-CN" w:bidi="ar"/>
              </w:rPr>
              <w:t>“十四五”</w:t>
            </w:r>
            <w:r>
              <w:rPr>
                <w:rFonts w:hint="eastAsia" w:ascii="方正兰亭纤黑简体" w:hAnsi="仿宋" w:eastAsia="方正兰亭纤黑简体" w:cs="仿宋"/>
                <w:b/>
                <w:bCs/>
                <w:kern w:val="0"/>
                <w:sz w:val="21"/>
                <w:szCs w:val="21"/>
                <w:lang w:bidi="ar"/>
              </w:rPr>
              <w:t>计划投资分类（万元）</w:t>
            </w:r>
          </w:p>
        </w:tc>
        <w:tc>
          <w:tcPr>
            <w:tcW w:w="807"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开工时间</w:t>
            </w:r>
          </w:p>
        </w:tc>
        <w:tc>
          <w:tcPr>
            <w:tcW w:w="807"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竣工时间</w:t>
            </w:r>
          </w:p>
        </w:tc>
      </w:tr>
      <w:tr>
        <w:tblPrEx>
          <w:tblLayout w:type="fixed"/>
          <w:tblCellMar>
            <w:top w:w="0" w:type="dxa"/>
            <w:left w:w="108" w:type="dxa"/>
            <w:bottom w:w="0" w:type="dxa"/>
            <w:right w:w="108" w:type="dxa"/>
          </w:tblCellMar>
        </w:tblPrEx>
        <w:trPr>
          <w:trHeight w:val="779" w:hRule="atLeast"/>
        </w:trPr>
        <w:tc>
          <w:tcPr>
            <w:tcW w:w="435"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573"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157"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714"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4030"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006"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003"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中央</w:t>
            </w:r>
            <w:r>
              <w:rPr>
                <w:rFonts w:ascii="方正兰亭纤黑简体" w:hAnsi="仿宋" w:eastAsia="方正兰亭纤黑简体" w:cs="仿宋"/>
                <w:b/>
                <w:bCs/>
                <w:kern w:val="0"/>
                <w:sz w:val="21"/>
                <w:szCs w:val="21"/>
                <w:lang w:bidi="ar"/>
              </w:rPr>
              <w:t>及</w:t>
            </w:r>
            <w:r>
              <w:rPr>
                <w:rFonts w:hint="eastAsia" w:ascii="方正兰亭纤黑简体" w:hAnsi="仿宋" w:eastAsia="方正兰亭纤黑简体" w:cs="仿宋"/>
                <w:b/>
                <w:bCs/>
                <w:kern w:val="0"/>
                <w:sz w:val="21"/>
                <w:szCs w:val="21"/>
                <w:lang w:bidi="ar"/>
              </w:rPr>
              <w:t>市级投资</w:t>
            </w:r>
          </w:p>
        </w:tc>
        <w:tc>
          <w:tcPr>
            <w:tcW w:w="861"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区级投资</w:t>
            </w:r>
          </w:p>
        </w:tc>
        <w:tc>
          <w:tcPr>
            <w:tcW w:w="918"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其它</w:t>
            </w:r>
          </w:p>
        </w:tc>
        <w:tc>
          <w:tcPr>
            <w:tcW w:w="807"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807"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r>
      <w:tr>
        <w:tblPrEx>
          <w:tblLayout w:type="fixed"/>
          <w:tblCellMar>
            <w:top w:w="0" w:type="dxa"/>
            <w:left w:w="108" w:type="dxa"/>
            <w:bottom w:w="0" w:type="dxa"/>
            <w:right w:w="108" w:type="dxa"/>
          </w:tblCellMar>
        </w:tblPrEx>
        <w:trPr>
          <w:trHeight w:val="1291" w:hRule="atLeast"/>
        </w:trPr>
        <w:tc>
          <w:tcPr>
            <w:tcW w:w="435"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w:t>
            </w:r>
          </w:p>
        </w:tc>
        <w:tc>
          <w:tcPr>
            <w:tcW w:w="157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城区污水处理厂提标改造</w:t>
            </w:r>
          </w:p>
        </w:tc>
        <w:tc>
          <w:tcPr>
            <w:tcW w:w="11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大足排水公司</w:t>
            </w:r>
          </w:p>
        </w:tc>
        <w:tc>
          <w:tcPr>
            <w:tcW w:w="7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3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新建7.5万平方米高密接触池，总磷提标到准Ⅳ类</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3000</w:t>
            </w:r>
          </w:p>
        </w:tc>
        <w:tc>
          <w:tcPr>
            <w:tcW w:w="100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3000</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3000</w:t>
            </w:r>
          </w:p>
        </w:tc>
        <w:tc>
          <w:tcPr>
            <w:tcW w:w="86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1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0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c>
          <w:tcPr>
            <w:tcW w:w="80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r>
      <w:tr>
        <w:tblPrEx>
          <w:tblLayout w:type="fixed"/>
          <w:tblCellMar>
            <w:top w:w="0" w:type="dxa"/>
            <w:left w:w="108" w:type="dxa"/>
            <w:bottom w:w="0" w:type="dxa"/>
            <w:right w:w="108" w:type="dxa"/>
          </w:tblCellMar>
        </w:tblPrEx>
        <w:trPr>
          <w:trHeight w:val="2700" w:hRule="atLeast"/>
        </w:trPr>
        <w:tc>
          <w:tcPr>
            <w:tcW w:w="43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w:t>
            </w:r>
          </w:p>
        </w:tc>
        <w:tc>
          <w:tcPr>
            <w:tcW w:w="157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清溪水务污水处理厂扩建及配套管网建设</w:t>
            </w:r>
          </w:p>
        </w:tc>
        <w:tc>
          <w:tcPr>
            <w:tcW w:w="11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前期</w:t>
            </w:r>
          </w:p>
        </w:tc>
        <w:tc>
          <w:tcPr>
            <w:tcW w:w="403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根据清溪污水处理厂水量负荷情况，由清溪水务公司适时启动污水处理厂扩容工作，暂定扩容1.5万吨/天，并进一步完善扩容配套管网。</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16500</w:t>
            </w:r>
          </w:p>
        </w:tc>
        <w:tc>
          <w:tcPr>
            <w:tcW w:w="100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16500</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6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16500</w:t>
            </w:r>
          </w:p>
        </w:tc>
        <w:tc>
          <w:tcPr>
            <w:tcW w:w="91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0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80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1508" w:hRule="atLeast"/>
        </w:trPr>
        <w:tc>
          <w:tcPr>
            <w:tcW w:w="43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w:t>
            </w:r>
          </w:p>
        </w:tc>
        <w:tc>
          <w:tcPr>
            <w:tcW w:w="157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龙岗-棠香组团污水管网改造工程</w:t>
            </w:r>
          </w:p>
        </w:tc>
        <w:tc>
          <w:tcPr>
            <w:tcW w:w="11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3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结合普查情况，对大足城区污水管网进行整治改造。改造污水管网约2.7千米。</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6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1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0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c>
          <w:tcPr>
            <w:tcW w:w="80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1039" w:hRule="atLeast"/>
        </w:trPr>
        <w:tc>
          <w:tcPr>
            <w:tcW w:w="43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w:t>
            </w:r>
          </w:p>
        </w:tc>
        <w:tc>
          <w:tcPr>
            <w:tcW w:w="157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龙水组团污水管网改造工程</w:t>
            </w:r>
          </w:p>
        </w:tc>
        <w:tc>
          <w:tcPr>
            <w:tcW w:w="11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园区公司</w:t>
            </w:r>
          </w:p>
        </w:tc>
        <w:tc>
          <w:tcPr>
            <w:tcW w:w="7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3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结合普查情况，对大足城区污水管网进行整治改造。改造污水管网约1.5千米。</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6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1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0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c>
          <w:tcPr>
            <w:tcW w:w="80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1417" w:hRule="atLeast"/>
        </w:trPr>
        <w:tc>
          <w:tcPr>
            <w:tcW w:w="435"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5</w:t>
            </w:r>
          </w:p>
        </w:tc>
        <w:tc>
          <w:tcPr>
            <w:tcW w:w="157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文创园污水处理厂及管网建设</w:t>
            </w:r>
          </w:p>
        </w:tc>
        <w:tc>
          <w:tcPr>
            <w:tcW w:w="11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大足石刻文创园、高科集团</w:t>
            </w:r>
          </w:p>
        </w:tc>
        <w:tc>
          <w:tcPr>
            <w:tcW w:w="7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完工</w:t>
            </w:r>
          </w:p>
        </w:tc>
        <w:tc>
          <w:tcPr>
            <w:tcW w:w="403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占地约35亩，一期污水处理能力6000立方米/天，二期扩至12000方/日处理能力。建设内容包括污水处理厂和垃圾中转站土建、设备、约10千米进厂、出厂管网建设及老城镇部分雨污管网改造等。</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12500</w:t>
            </w:r>
          </w:p>
        </w:tc>
        <w:tc>
          <w:tcPr>
            <w:tcW w:w="100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12500</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w:t>
            </w:r>
          </w:p>
        </w:tc>
        <w:tc>
          <w:tcPr>
            <w:tcW w:w="86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w:t>
            </w:r>
          </w:p>
        </w:tc>
        <w:tc>
          <w:tcPr>
            <w:tcW w:w="91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12500</w:t>
            </w:r>
          </w:p>
        </w:tc>
        <w:tc>
          <w:tcPr>
            <w:tcW w:w="80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2022</w:t>
            </w:r>
          </w:p>
        </w:tc>
        <w:tc>
          <w:tcPr>
            <w:tcW w:w="80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2025</w:t>
            </w:r>
          </w:p>
        </w:tc>
      </w:tr>
      <w:tr>
        <w:tblPrEx>
          <w:tblLayout w:type="fixed"/>
          <w:tblCellMar>
            <w:top w:w="0" w:type="dxa"/>
            <w:left w:w="108" w:type="dxa"/>
            <w:bottom w:w="0" w:type="dxa"/>
            <w:right w:w="108" w:type="dxa"/>
          </w:tblCellMar>
        </w:tblPrEx>
        <w:trPr>
          <w:trHeight w:val="1417" w:hRule="atLeast"/>
        </w:trPr>
        <w:tc>
          <w:tcPr>
            <w:tcW w:w="43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ascii="方正兰亭纤黑简体" w:hAnsi="仿宋" w:eastAsia="方正兰亭纤黑简体" w:cs="仿宋"/>
                <w:kern w:val="0"/>
                <w:sz w:val="21"/>
                <w:szCs w:val="21"/>
                <w:lang w:bidi="ar"/>
              </w:rPr>
              <w:t>6</w:t>
            </w:r>
          </w:p>
        </w:tc>
        <w:tc>
          <w:tcPr>
            <w:tcW w:w="157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城区污水处理厂扩容及配套干管建设工程</w:t>
            </w:r>
          </w:p>
        </w:tc>
        <w:tc>
          <w:tcPr>
            <w:tcW w:w="11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大足排水公司</w:t>
            </w:r>
          </w:p>
        </w:tc>
        <w:tc>
          <w:tcPr>
            <w:tcW w:w="7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3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城区污水处理厂进行扩容，扩容规模量为2.5万吨/天。配套干管约8公里，管径DN500-DN1000</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17000</w:t>
            </w:r>
          </w:p>
        </w:tc>
        <w:tc>
          <w:tcPr>
            <w:tcW w:w="100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6733</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6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1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17000</w:t>
            </w:r>
          </w:p>
        </w:tc>
        <w:tc>
          <w:tcPr>
            <w:tcW w:w="80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80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1216" w:hRule="atLeast"/>
        </w:trPr>
        <w:tc>
          <w:tcPr>
            <w:tcW w:w="43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ascii="方正兰亭纤黑简体" w:hAnsi="仿宋" w:eastAsia="方正兰亭纤黑简体" w:cs="仿宋"/>
                <w:kern w:val="0"/>
                <w:sz w:val="21"/>
                <w:szCs w:val="21"/>
                <w:lang w:bidi="ar"/>
              </w:rPr>
              <w:t>7</w:t>
            </w:r>
          </w:p>
        </w:tc>
        <w:tc>
          <w:tcPr>
            <w:tcW w:w="157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工业污水处理厂（二期）</w:t>
            </w:r>
          </w:p>
        </w:tc>
        <w:tc>
          <w:tcPr>
            <w:tcW w:w="11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大足工业园区、高科集团</w:t>
            </w:r>
          </w:p>
        </w:tc>
        <w:tc>
          <w:tcPr>
            <w:tcW w:w="7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3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园区工业污水处理厂扩容1万吨。</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7000</w:t>
            </w:r>
          </w:p>
        </w:tc>
        <w:tc>
          <w:tcPr>
            <w:tcW w:w="100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7000</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6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1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7000</w:t>
            </w:r>
          </w:p>
        </w:tc>
        <w:tc>
          <w:tcPr>
            <w:tcW w:w="80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c>
          <w:tcPr>
            <w:tcW w:w="80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263" w:hRule="atLeast"/>
        </w:trPr>
        <w:tc>
          <w:tcPr>
            <w:tcW w:w="43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ascii="方正兰亭纤黑简体" w:hAnsi="仿宋" w:eastAsia="方正兰亭纤黑简体" w:cs="仿宋"/>
                <w:kern w:val="0"/>
                <w:sz w:val="21"/>
                <w:szCs w:val="21"/>
                <w:lang w:bidi="ar"/>
              </w:rPr>
              <w:t>8</w:t>
            </w:r>
          </w:p>
        </w:tc>
        <w:tc>
          <w:tcPr>
            <w:tcW w:w="157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龙水污水处理厂</w:t>
            </w:r>
          </w:p>
        </w:tc>
        <w:tc>
          <w:tcPr>
            <w:tcW w:w="11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color w:val="FF0000"/>
                <w:kern w:val="0"/>
                <w:sz w:val="21"/>
                <w:szCs w:val="21"/>
                <w:lang w:bidi="ar"/>
              </w:rPr>
              <w:t>发展集团</w:t>
            </w:r>
          </w:p>
        </w:tc>
        <w:tc>
          <w:tcPr>
            <w:tcW w:w="7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3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龙水污水处理厂扩容至4万m</w:t>
            </w:r>
            <w:r>
              <w:rPr>
                <w:rFonts w:ascii="Calibri" w:hAnsi="Calibri" w:eastAsia="方正兰亭纤黑简体" w:cs="Calibri"/>
                <w:kern w:val="0"/>
                <w:sz w:val="21"/>
                <w:szCs w:val="21"/>
                <w:lang w:bidi="ar"/>
              </w:rPr>
              <w:t>³</w:t>
            </w:r>
            <w:r>
              <w:rPr>
                <w:rFonts w:hint="eastAsia" w:ascii="方正兰亭纤黑简体" w:hAnsi="仿宋" w:eastAsia="方正兰亭纤黑简体" w:cs="仿宋"/>
                <w:kern w:val="0"/>
                <w:sz w:val="21"/>
                <w:szCs w:val="21"/>
                <w:lang w:bidi="ar"/>
              </w:rPr>
              <w:t>/d，并新增尾水深度处理设施，使出水水质达III-V类水质</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6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1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0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80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bl>
    <w:p>
      <w:pPr>
        <w:ind w:firstLine="422"/>
        <w:rPr>
          <w:rFonts w:ascii="方正兰亭纤黑简体" w:hAnsi="仿宋" w:eastAsia="方正兰亭纤黑简体" w:cs="仿宋"/>
          <w:b/>
          <w:bCs/>
          <w:sz w:val="21"/>
          <w:szCs w:val="21"/>
        </w:rPr>
      </w:pPr>
      <w:r>
        <w:rPr>
          <w:rFonts w:hint="eastAsia" w:ascii="方正兰亭纤黑简体" w:hAnsi="仿宋" w:eastAsia="方正兰亭纤黑简体" w:cs="仿宋"/>
          <w:b/>
          <w:bCs/>
          <w:sz w:val="21"/>
          <w:szCs w:val="21"/>
        </w:rPr>
        <w:br w:type="page"/>
      </w:r>
    </w:p>
    <w:tbl>
      <w:tblPr>
        <w:tblStyle w:val="24"/>
        <w:tblW w:w="14174" w:type="dxa"/>
        <w:tblInd w:w="0" w:type="dxa"/>
        <w:tblLayout w:type="fixed"/>
        <w:tblCellMar>
          <w:top w:w="0" w:type="dxa"/>
          <w:left w:w="108" w:type="dxa"/>
          <w:bottom w:w="0" w:type="dxa"/>
          <w:right w:w="108" w:type="dxa"/>
        </w:tblCellMar>
      </w:tblPr>
      <w:tblGrid>
        <w:gridCol w:w="552"/>
        <w:gridCol w:w="1726"/>
        <w:gridCol w:w="797"/>
        <w:gridCol w:w="692"/>
        <w:gridCol w:w="2948"/>
        <w:gridCol w:w="1205"/>
        <w:gridCol w:w="1451"/>
        <w:gridCol w:w="1140"/>
        <w:gridCol w:w="1066"/>
        <w:gridCol w:w="1057"/>
        <w:gridCol w:w="746"/>
        <w:gridCol w:w="794"/>
      </w:tblGrid>
      <w:tr>
        <w:tblPrEx>
          <w:tblLayout w:type="fixed"/>
          <w:tblCellMar>
            <w:top w:w="0" w:type="dxa"/>
            <w:left w:w="108" w:type="dxa"/>
            <w:bottom w:w="0" w:type="dxa"/>
            <w:right w:w="108" w:type="dxa"/>
          </w:tblCellMar>
        </w:tblPrEx>
        <w:trPr>
          <w:trHeight w:val="375" w:hRule="atLeast"/>
        </w:trPr>
        <w:tc>
          <w:tcPr>
            <w:tcW w:w="14174" w:type="dxa"/>
            <w:gridSpan w:val="12"/>
            <w:tcBorders>
              <w:top w:val="nil"/>
              <w:left w:val="nil"/>
              <w:bottom w:val="single" w:color="auto" w:sz="4" w:space="0"/>
              <w:right w:val="nil"/>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8"/>
                <w:szCs w:val="28"/>
              </w:rPr>
            </w:pPr>
            <w:r>
              <w:rPr>
                <w:rFonts w:hint="eastAsia" w:ascii="方正兰亭纤黑简体" w:hAnsi="仿宋" w:eastAsia="方正兰亭纤黑简体" w:cs="仿宋"/>
                <w:b/>
                <w:bCs/>
                <w:kern w:val="0"/>
                <w:sz w:val="28"/>
                <w:szCs w:val="28"/>
                <w:lang w:bidi="ar"/>
              </w:rPr>
              <w:t>污泥项目</w:t>
            </w:r>
          </w:p>
        </w:tc>
      </w:tr>
      <w:tr>
        <w:tblPrEx>
          <w:tblLayout w:type="fixed"/>
          <w:tblCellMar>
            <w:top w:w="0" w:type="dxa"/>
            <w:left w:w="108" w:type="dxa"/>
            <w:bottom w:w="0" w:type="dxa"/>
            <w:right w:w="108" w:type="dxa"/>
          </w:tblCellMar>
        </w:tblPrEx>
        <w:trPr>
          <w:trHeight w:val="315" w:hRule="atLeast"/>
        </w:trPr>
        <w:tc>
          <w:tcPr>
            <w:tcW w:w="552"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序号</w:t>
            </w:r>
          </w:p>
        </w:tc>
        <w:tc>
          <w:tcPr>
            <w:tcW w:w="1726"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项目名字</w:t>
            </w:r>
          </w:p>
        </w:tc>
        <w:tc>
          <w:tcPr>
            <w:tcW w:w="797"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责任单位</w:t>
            </w:r>
          </w:p>
        </w:tc>
        <w:tc>
          <w:tcPr>
            <w:tcW w:w="692"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建设性质</w:t>
            </w:r>
          </w:p>
        </w:tc>
        <w:tc>
          <w:tcPr>
            <w:tcW w:w="2948"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建设内容</w:t>
            </w:r>
          </w:p>
        </w:tc>
        <w:tc>
          <w:tcPr>
            <w:tcW w:w="1205"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项目总投资（万元）</w:t>
            </w:r>
          </w:p>
        </w:tc>
        <w:tc>
          <w:tcPr>
            <w:tcW w:w="1451"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eastAsia="zh-CN" w:bidi="ar"/>
              </w:rPr>
              <w:t>“十四五”</w:t>
            </w:r>
            <w:r>
              <w:rPr>
                <w:rFonts w:hint="eastAsia" w:ascii="方正兰亭纤黑简体" w:hAnsi="仿宋" w:eastAsia="方正兰亭纤黑简体" w:cs="仿宋"/>
                <w:b/>
                <w:bCs/>
                <w:kern w:val="0"/>
                <w:sz w:val="21"/>
                <w:szCs w:val="21"/>
                <w:lang w:bidi="ar"/>
              </w:rPr>
              <w:t>计划投资（万元）</w:t>
            </w:r>
          </w:p>
        </w:tc>
        <w:tc>
          <w:tcPr>
            <w:tcW w:w="3263" w:type="dxa"/>
            <w:gridSpan w:val="3"/>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eastAsia="zh-CN" w:bidi="ar"/>
              </w:rPr>
              <w:t>“十四五”</w:t>
            </w:r>
            <w:r>
              <w:rPr>
                <w:rFonts w:hint="eastAsia" w:ascii="方正兰亭纤黑简体" w:hAnsi="仿宋" w:eastAsia="方正兰亭纤黑简体" w:cs="仿宋"/>
                <w:b/>
                <w:bCs/>
                <w:kern w:val="0"/>
                <w:sz w:val="21"/>
                <w:szCs w:val="21"/>
                <w:lang w:bidi="ar"/>
              </w:rPr>
              <w:t>计划投资分类（万元）</w:t>
            </w:r>
          </w:p>
        </w:tc>
        <w:tc>
          <w:tcPr>
            <w:tcW w:w="746"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开工时间</w:t>
            </w:r>
          </w:p>
        </w:tc>
        <w:tc>
          <w:tcPr>
            <w:tcW w:w="794"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竣工时间</w:t>
            </w:r>
          </w:p>
        </w:tc>
      </w:tr>
      <w:tr>
        <w:tblPrEx>
          <w:tblLayout w:type="fixed"/>
          <w:tblCellMar>
            <w:top w:w="0" w:type="dxa"/>
            <w:left w:w="108" w:type="dxa"/>
            <w:bottom w:w="0" w:type="dxa"/>
            <w:right w:w="108" w:type="dxa"/>
          </w:tblCellMar>
        </w:tblPrEx>
        <w:trPr>
          <w:trHeight w:val="630" w:hRule="atLeast"/>
        </w:trPr>
        <w:tc>
          <w:tcPr>
            <w:tcW w:w="552"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726"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797"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692"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294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205"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451"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140"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中央</w:t>
            </w:r>
            <w:r>
              <w:rPr>
                <w:rFonts w:ascii="方正兰亭纤黑简体" w:hAnsi="仿宋" w:eastAsia="方正兰亭纤黑简体" w:cs="仿宋"/>
                <w:b/>
                <w:bCs/>
                <w:kern w:val="0"/>
                <w:sz w:val="21"/>
                <w:szCs w:val="21"/>
                <w:lang w:bidi="ar"/>
              </w:rPr>
              <w:t>及</w:t>
            </w:r>
            <w:r>
              <w:rPr>
                <w:rFonts w:hint="eastAsia" w:ascii="方正兰亭纤黑简体" w:hAnsi="仿宋" w:eastAsia="方正兰亭纤黑简体" w:cs="仿宋"/>
                <w:b/>
                <w:bCs/>
                <w:kern w:val="0"/>
                <w:sz w:val="21"/>
                <w:szCs w:val="21"/>
                <w:lang w:bidi="ar"/>
              </w:rPr>
              <w:t>市级投资</w:t>
            </w:r>
          </w:p>
        </w:tc>
        <w:tc>
          <w:tcPr>
            <w:tcW w:w="1066"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区级投资</w:t>
            </w:r>
          </w:p>
        </w:tc>
        <w:tc>
          <w:tcPr>
            <w:tcW w:w="1057"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其它</w:t>
            </w:r>
          </w:p>
        </w:tc>
        <w:tc>
          <w:tcPr>
            <w:tcW w:w="746"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794"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r>
      <w:tr>
        <w:tblPrEx>
          <w:tblLayout w:type="fixed"/>
          <w:tblCellMar>
            <w:top w:w="0" w:type="dxa"/>
            <w:left w:w="108" w:type="dxa"/>
            <w:bottom w:w="0" w:type="dxa"/>
            <w:right w:w="108" w:type="dxa"/>
          </w:tblCellMar>
        </w:tblPrEx>
        <w:trPr>
          <w:trHeight w:val="90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1</w:t>
            </w:r>
          </w:p>
        </w:tc>
        <w:tc>
          <w:tcPr>
            <w:tcW w:w="1726"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kern w:val="0"/>
                <w:sz w:val="21"/>
                <w:szCs w:val="18"/>
              </w:rPr>
            </w:pPr>
            <w:r>
              <w:rPr>
                <w:rFonts w:hint="eastAsia" w:ascii="方正兰亭纤黑简体" w:hAnsi="仿宋" w:eastAsia="方正兰亭纤黑简体"/>
                <w:sz w:val="21"/>
                <w:szCs w:val="18"/>
              </w:rPr>
              <w:t>城市污泥处理</w:t>
            </w:r>
          </w:p>
        </w:tc>
        <w:tc>
          <w:tcPr>
            <w:tcW w:w="7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18"/>
              </w:rPr>
            </w:pPr>
            <w:r>
              <w:rPr>
                <w:rFonts w:hint="eastAsia" w:ascii="方正兰亭纤黑简体" w:hAnsi="仿宋" w:eastAsia="方正兰亭纤黑简体"/>
                <w:sz w:val="21"/>
                <w:szCs w:val="18"/>
              </w:rPr>
              <w:t>区住房城乡建委</w:t>
            </w:r>
          </w:p>
        </w:tc>
        <w:tc>
          <w:tcPr>
            <w:tcW w:w="69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18"/>
              </w:rPr>
            </w:pPr>
            <w:r>
              <w:rPr>
                <w:rFonts w:hint="eastAsia" w:ascii="方正兰亭纤黑简体" w:hAnsi="仿宋" w:eastAsia="方正兰亭纤黑简体"/>
                <w:sz w:val="21"/>
                <w:szCs w:val="18"/>
              </w:rPr>
              <w:t>储备</w:t>
            </w:r>
          </w:p>
        </w:tc>
        <w:tc>
          <w:tcPr>
            <w:tcW w:w="294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18"/>
              </w:rPr>
            </w:pPr>
            <w:r>
              <w:rPr>
                <w:rFonts w:hint="eastAsia" w:ascii="方正兰亭纤黑简体" w:hAnsi="仿宋" w:eastAsia="方正兰亭纤黑简体"/>
                <w:sz w:val="21"/>
                <w:szCs w:val="18"/>
              </w:rPr>
              <w:t>根据城市发展实际情况，当处理能力无法满足需求时，依据城市整体规划选择实施大足污泥无害化处理中心原址扩建或污泥外运。</w:t>
            </w:r>
          </w:p>
        </w:tc>
        <w:tc>
          <w:tcPr>
            <w:tcW w:w="120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18"/>
              </w:rPr>
            </w:pPr>
            <w:r>
              <w:rPr>
                <w:rFonts w:hint="eastAsia" w:ascii="方正兰亭纤黑简体" w:hAnsi="仿宋" w:eastAsia="方正兰亭纤黑简体"/>
                <w:sz w:val="21"/>
                <w:szCs w:val="18"/>
              </w:rPr>
              <w:t>\</w:t>
            </w:r>
          </w:p>
        </w:tc>
        <w:tc>
          <w:tcPr>
            <w:tcW w:w="14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18"/>
              </w:rPr>
            </w:pPr>
            <w:r>
              <w:rPr>
                <w:rFonts w:hint="eastAsia" w:ascii="方正兰亭纤黑简体" w:hAnsi="仿宋" w:eastAsia="方正兰亭纤黑简体"/>
                <w:sz w:val="21"/>
                <w:szCs w:val="18"/>
              </w:rPr>
              <w:t>\</w:t>
            </w:r>
          </w:p>
        </w:tc>
        <w:tc>
          <w:tcPr>
            <w:tcW w:w="11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18"/>
              </w:rPr>
            </w:pPr>
            <w:r>
              <w:rPr>
                <w:rFonts w:hint="eastAsia" w:ascii="方正兰亭纤黑简体" w:hAnsi="仿宋" w:eastAsia="方正兰亭纤黑简体"/>
                <w:sz w:val="21"/>
                <w:szCs w:val="18"/>
              </w:rPr>
              <w:t>\</w:t>
            </w:r>
          </w:p>
        </w:tc>
        <w:tc>
          <w:tcPr>
            <w:tcW w:w="106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18"/>
              </w:rPr>
            </w:pPr>
            <w:r>
              <w:rPr>
                <w:rFonts w:hint="eastAsia" w:ascii="方正兰亭纤黑简体" w:hAnsi="仿宋" w:eastAsia="方正兰亭纤黑简体"/>
                <w:sz w:val="21"/>
                <w:szCs w:val="18"/>
              </w:rPr>
              <w:t>\</w:t>
            </w:r>
          </w:p>
        </w:tc>
        <w:tc>
          <w:tcPr>
            <w:tcW w:w="10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18"/>
              </w:rPr>
            </w:pPr>
            <w:r>
              <w:rPr>
                <w:rFonts w:hint="eastAsia" w:ascii="方正兰亭纤黑简体" w:hAnsi="仿宋" w:eastAsia="方正兰亭纤黑简体"/>
                <w:sz w:val="21"/>
                <w:szCs w:val="18"/>
              </w:rPr>
              <w:t>\</w:t>
            </w:r>
          </w:p>
        </w:tc>
        <w:tc>
          <w:tcPr>
            <w:tcW w:w="74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18"/>
              </w:rPr>
            </w:pPr>
            <w:r>
              <w:rPr>
                <w:rFonts w:hint="eastAsia" w:ascii="方正兰亭纤黑简体" w:hAnsi="仿宋" w:eastAsia="方正兰亭纤黑简体"/>
                <w:sz w:val="21"/>
                <w:szCs w:val="18"/>
              </w:rPr>
              <w:t>202</w:t>
            </w:r>
            <w:r>
              <w:rPr>
                <w:rFonts w:ascii="方正兰亭纤黑简体" w:hAnsi="仿宋" w:eastAsia="方正兰亭纤黑简体"/>
                <w:sz w:val="21"/>
                <w:szCs w:val="18"/>
              </w:rPr>
              <w:t>6</w:t>
            </w:r>
          </w:p>
        </w:tc>
        <w:tc>
          <w:tcPr>
            <w:tcW w:w="7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18"/>
              </w:rPr>
            </w:pPr>
            <w:r>
              <w:rPr>
                <w:rFonts w:hint="eastAsia" w:ascii="方正兰亭纤黑简体" w:hAnsi="仿宋" w:eastAsia="方正兰亭纤黑简体"/>
                <w:sz w:val="21"/>
                <w:szCs w:val="18"/>
              </w:rPr>
              <w:t>202</w:t>
            </w:r>
            <w:r>
              <w:rPr>
                <w:rFonts w:ascii="方正兰亭纤黑简体" w:hAnsi="仿宋" w:eastAsia="方正兰亭纤黑简体"/>
                <w:sz w:val="21"/>
                <w:szCs w:val="18"/>
              </w:rPr>
              <w:t>8</w:t>
            </w:r>
          </w:p>
        </w:tc>
      </w:tr>
    </w:tbl>
    <w:p>
      <w:pPr>
        <w:ind w:firstLine="422"/>
        <w:rPr>
          <w:rFonts w:ascii="方正兰亭纤黑简体" w:hAnsi="仿宋" w:eastAsia="方正兰亭纤黑简体" w:cs="仿宋"/>
          <w:b/>
          <w:bCs/>
          <w:sz w:val="21"/>
          <w:szCs w:val="21"/>
        </w:rPr>
      </w:pPr>
      <w:r>
        <w:rPr>
          <w:rFonts w:hint="eastAsia" w:ascii="方正兰亭纤黑简体" w:hAnsi="仿宋" w:eastAsia="方正兰亭纤黑简体" w:cs="仿宋"/>
          <w:b/>
          <w:bCs/>
          <w:sz w:val="21"/>
          <w:szCs w:val="21"/>
        </w:rPr>
        <w:br w:type="page"/>
      </w:r>
    </w:p>
    <w:tbl>
      <w:tblPr>
        <w:tblStyle w:val="24"/>
        <w:tblW w:w="14174" w:type="dxa"/>
        <w:tblInd w:w="0" w:type="dxa"/>
        <w:tblLayout w:type="fixed"/>
        <w:tblCellMar>
          <w:top w:w="0" w:type="dxa"/>
          <w:left w:w="108" w:type="dxa"/>
          <w:bottom w:w="0" w:type="dxa"/>
          <w:right w:w="108" w:type="dxa"/>
        </w:tblCellMar>
      </w:tblPr>
      <w:tblGrid>
        <w:gridCol w:w="464"/>
        <w:gridCol w:w="88"/>
        <w:gridCol w:w="1531"/>
        <w:gridCol w:w="193"/>
        <w:gridCol w:w="621"/>
        <w:gridCol w:w="176"/>
        <w:gridCol w:w="632"/>
        <w:gridCol w:w="60"/>
        <w:gridCol w:w="2540"/>
        <w:gridCol w:w="405"/>
        <w:gridCol w:w="802"/>
        <w:gridCol w:w="403"/>
        <w:gridCol w:w="1131"/>
        <w:gridCol w:w="317"/>
        <w:gridCol w:w="978"/>
        <w:gridCol w:w="162"/>
        <w:gridCol w:w="1066"/>
        <w:gridCol w:w="68"/>
        <w:gridCol w:w="992"/>
        <w:gridCol w:w="746"/>
        <w:gridCol w:w="45"/>
        <w:gridCol w:w="754"/>
      </w:tblGrid>
      <w:tr>
        <w:tblPrEx>
          <w:tblLayout w:type="fixed"/>
          <w:tblCellMar>
            <w:top w:w="0" w:type="dxa"/>
            <w:left w:w="108" w:type="dxa"/>
            <w:bottom w:w="0" w:type="dxa"/>
            <w:right w:w="108" w:type="dxa"/>
          </w:tblCellMar>
        </w:tblPrEx>
        <w:trPr>
          <w:trHeight w:val="375" w:hRule="atLeast"/>
        </w:trPr>
        <w:tc>
          <w:tcPr>
            <w:tcW w:w="14174" w:type="dxa"/>
            <w:gridSpan w:val="22"/>
            <w:tcBorders>
              <w:top w:val="nil"/>
              <w:left w:val="nil"/>
              <w:bottom w:val="single" w:color="auto" w:sz="4" w:space="0"/>
              <w:right w:val="nil"/>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8"/>
                <w:szCs w:val="28"/>
              </w:rPr>
            </w:pPr>
            <w:r>
              <w:rPr>
                <w:rFonts w:hint="eastAsia" w:ascii="方正兰亭纤黑简体" w:hAnsi="仿宋" w:eastAsia="方正兰亭纤黑简体" w:cs="仿宋"/>
                <w:b/>
                <w:bCs/>
                <w:kern w:val="0"/>
                <w:sz w:val="28"/>
                <w:szCs w:val="28"/>
                <w:lang w:bidi="ar"/>
              </w:rPr>
              <w:t>环卫项目</w:t>
            </w:r>
          </w:p>
        </w:tc>
      </w:tr>
      <w:tr>
        <w:tblPrEx>
          <w:tblLayout w:type="fixed"/>
          <w:tblCellMar>
            <w:top w:w="0" w:type="dxa"/>
            <w:left w:w="108" w:type="dxa"/>
            <w:bottom w:w="0" w:type="dxa"/>
            <w:right w:w="108" w:type="dxa"/>
          </w:tblCellMar>
        </w:tblPrEx>
        <w:trPr>
          <w:trHeight w:val="315" w:hRule="atLeast"/>
        </w:trPr>
        <w:tc>
          <w:tcPr>
            <w:tcW w:w="552" w:type="dxa"/>
            <w:gridSpan w:val="2"/>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序号</w:t>
            </w:r>
          </w:p>
        </w:tc>
        <w:tc>
          <w:tcPr>
            <w:tcW w:w="1724" w:type="dxa"/>
            <w:gridSpan w:val="2"/>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项目名字</w:t>
            </w:r>
          </w:p>
        </w:tc>
        <w:tc>
          <w:tcPr>
            <w:tcW w:w="797" w:type="dxa"/>
            <w:gridSpan w:val="2"/>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责任单位</w:t>
            </w:r>
          </w:p>
        </w:tc>
        <w:tc>
          <w:tcPr>
            <w:tcW w:w="692" w:type="dxa"/>
            <w:gridSpan w:val="2"/>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建设性质</w:t>
            </w:r>
          </w:p>
        </w:tc>
        <w:tc>
          <w:tcPr>
            <w:tcW w:w="2945" w:type="dxa"/>
            <w:gridSpan w:val="2"/>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建设内容</w:t>
            </w:r>
          </w:p>
        </w:tc>
        <w:tc>
          <w:tcPr>
            <w:tcW w:w="1205" w:type="dxa"/>
            <w:gridSpan w:val="2"/>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项目总投资（万元）</w:t>
            </w:r>
          </w:p>
        </w:tc>
        <w:tc>
          <w:tcPr>
            <w:tcW w:w="1448" w:type="dxa"/>
            <w:gridSpan w:val="2"/>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eastAsia="zh-CN" w:bidi="ar"/>
              </w:rPr>
              <w:t>“十四五”</w:t>
            </w:r>
            <w:r>
              <w:rPr>
                <w:rFonts w:hint="eastAsia" w:ascii="方正兰亭纤黑简体" w:hAnsi="仿宋" w:eastAsia="方正兰亭纤黑简体" w:cs="仿宋"/>
                <w:b/>
                <w:bCs/>
                <w:kern w:val="0"/>
                <w:sz w:val="21"/>
                <w:szCs w:val="21"/>
                <w:lang w:bidi="ar"/>
              </w:rPr>
              <w:t>计划投资（万元）</w:t>
            </w:r>
          </w:p>
        </w:tc>
        <w:tc>
          <w:tcPr>
            <w:tcW w:w="3266" w:type="dxa"/>
            <w:gridSpan w:val="5"/>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eastAsia="zh-CN" w:bidi="ar"/>
              </w:rPr>
              <w:t>“十四五”</w:t>
            </w:r>
            <w:r>
              <w:rPr>
                <w:rFonts w:hint="eastAsia" w:ascii="方正兰亭纤黑简体" w:hAnsi="仿宋" w:eastAsia="方正兰亭纤黑简体" w:cs="仿宋"/>
                <w:b/>
                <w:bCs/>
                <w:kern w:val="0"/>
                <w:sz w:val="21"/>
                <w:szCs w:val="21"/>
                <w:lang w:bidi="ar"/>
              </w:rPr>
              <w:t>计划投资分类（万元）</w:t>
            </w:r>
          </w:p>
        </w:tc>
        <w:tc>
          <w:tcPr>
            <w:tcW w:w="746"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开工时间</w:t>
            </w:r>
          </w:p>
        </w:tc>
        <w:tc>
          <w:tcPr>
            <w:tcW w:w="799" w:type="dxa"/>
            <w:gridSpan w:val="2"/>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竣工时间</w:t>
            </w:r>
          </w:p>
        </w:tc>
      </w:tr>
      <w:tr>
        <w:tblPrEx>
          <w:tblLayout w:type="fixed"/>
          <w:tblCellMar>
            <w:top w:w="0" w:type="dxa"/>
            <w:left w:w="108" w:type="dxa"/>
            <w:bottom w:w="0" w:type="dxa"/>
            <w:right w:w="108" w:type="dxa"/>
          </w:tblCellMar>
        </w:tblPrEx>
        <w:trPr>
          <w:trHeight w:val="630" w:hRule="atLeast"/>
        </w:trPr>
        <w:tc>
          <w:tcPr>
            <w:tcW w:w="552" w:type="dxa"/>
            <w:gridSpan w:val="2"/>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724" w:type="dxa"/>
            <w:gridSpan w:val="2"/>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797" w:type="dxa"/>
            <w:gridSpan w:val="2"/>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692" w:type="dxa"/>
            <w:gridSpan w:val="2"/>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2945" w:type="dxa"/>
            <w:gridSpan w:val="2"/>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205" w:type="dxa"/>
            <w:gridSpan w:val="2"/>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448" w:type="dxa"/>
            <w:gridSpan w:val="2"/>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140"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中央</w:t>
            </w:r>
            <w:r>
              <w:rPr>
                <w:rFonts w:ascii="方正兰亭纤黑简体" w:hAnsi="仿宋" w:eastAsia="方正兰亭纤黑简体" w:cs="仿宋"/>
                <w:b/>
                <w:bCs/>
                <w:kern w:val="0"/>
                <w:sz w:val="21"/>
                <w:szCs w:val="21"/>
                <w:lang w:bidi="ar"/>
              </w:rPr>
              <w:t>及</w:t>
            </w:r>
            <w:r>
              <w:rPr>
                <w:rFonts w:hint="eastAsia" w:ascii="方正兰亭纤黑简体" w:hAnsi="仿宋" w:eastAsia="方正兰亭纤黑简体" w:cs="仿宋"/>
                <w:b/>
                <w:bCs/>
                <w:kern w:val="0"/>
                <w:sz w:val="21"/>
                <w:szCs w:val="21"/>
                <w:lang w:bidi="ar"/>
              </w:rPr>
              <w:t>市级投资</w:t>
            </w:r>
          </w:p>
        </w:tc>
        <w:tc>
          <w:tcPr>
            <w:tcW w:w="1066"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区级投资</w:t>
            </w:r>
          </w:p>
        </w:tc>
        <w:tc>
          <w:tcPr>
            <w:tcW w:w="1060"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其它</w:t>
            </w:r>
          </w:p>
        </w:tc>
        <w:tc>
          <w:tcPr>
            <w:tcW w:w="746"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799" w:type="dxa"/>
            <w:gridSpan w:val="2"/>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r>
      <w:tr>
        <w:tblPrEx>
          <w:tblLayout w:type="fixed"/>
          <w:tblCellMar>
            <w:top w:w="0" w:type="dxa"/>
            <w:left w:w="108" w:type="dxa"/>
            <w:bottom w:w="0" w:type="dxa"/>
            <w:right w:w="108" w:type="dxa"/>
          </w:tblCellMar>
        </w:tblPrEx>
        <w:trPr>
          <w:trHeight w:val="900" w:hRule="atLeast"/>
        </w:trPr>
        <w:tc>
          <w:tcPr>
            <w:tcW w:w="552"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18"/>
              </w:rPr>
            </w:pPr>
            <w:r>
              <w:rPr>
                <w:rFonts w:hint="eastAsia" w:ascii="方正兰亭纤黑简体" w:hAnsi="仿宋" w:eastAsia="方正兰亭纤黑简体"/>
                <w:sz w:val="21"/>
                <w:szCs w:val="18"/>
              </w:rPr>
              <w:t>1</w:t>
            </w:r>
          </w:p>
        </w:tc>
        <w:tc>
          <w:tcPr>
            <w:tcW w:w="1724"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大足区生活垃圾焚烧发电厂</w:t>
            </w:r>
          </w:p>
        </w:tc>
        <w:tc>
          <w:tcPr>
            <w:tcW w:w="797"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区城市管理局</w:t>
            </w:r>
          </w:p>
        </w:tc>
        <w:tc>
          <w:tcPr>
            <w:tcW w:w="692"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新建</w:t>
            </w:r>
          </w:p>
        </w:tc>
        <w:tc>
          <w:tcPr>
            <w:tcW w:w="2945"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占地75亩，建成生活垃圾焚烧发电厂1座，日处理生活垃圾600吨/天。</w:t>
            </w:r>
          </w:p>
        </w:tc>
        <w:tc>
          <w:tcPr>
            <w:tcW w:w="1205"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ascii="方正兰亭纤黑简体" w:hAnsi="仿宋" w:eastAsia="方正兰亭纤黑简体" w:cs="仿宋"/>
                <w:color w:val="FF0000"/>
                <w:kern w:val="0"/>
                <w:sz w:val="21"/>
                <w:szCs w:val="21"/>
                <w:lang w:bidi="ar"/>
              </w:rPr>
              <w:t>60200</w:t>
            </w:r>
          </w:p>
        </w:tc>
        <w:tc>
          <w:tcPr>
            <w:tcW w:w="1448"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ascii="方正兰亭纤黑简体" w:hAnsi="仿宋" w:eastAsia="方正兰亭纤黑简体" w:cs="仿宋"/>
                <w:color w:val="FF0000"/>
                <w:kern w:val="0"/>
                <w:sz w:val="21"/>
                <w:szCs w:val="21"/>
                <w:lang w:bidi="ar"/>
              </w:rPr>
              <w:t>60200</w:t>
            </w:r>
          </w:p>
        </w:tc>
        <w:tc>
          <w:tcPr>
            <w:tcW w:w="1140"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66"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60"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ascii="方正兰亭纤黑简体" w:hAnsi="仿宋" w:eastAsia="方正兰亭纤黑简体" w:cs="仿宋"/>
                <w:color w:val="FF0000"/>
                <w:kern w:val="0"/>
                <w:sz w:val="21"/>
                <w:szCs w:val="21"/>
                <w:lang w:bidi="ar"/>
              </w:rPr>
              <w:t>60200</w:t>
            </w:r>
          </w:p>
        </w:tc>
        <w:tc>
          <w:tcPr>
            <w:tcW w:w="746"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99"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r>
      <w:tr>
        <w:tblPrEx>
          <w:tblLayout w:type="fixed"/>
          <w:tblCellMar>
            <w:top w:w="0" w:type="dxa"/>
            <w:left w:w="108" w:type="dxa"/>
            <w:bottom w:w="0" w:type="dxa"/>
            <w:right w:w="108" w:type="dxa"/>
          </w:tblCellMar>
        </w:tblPrEx>
        <w:trPr>
          <w:trHeight w:val="1575" w:hRule="atLeast"/>
        </w:trPr>
        <w:tc>
          <w:tcPr>
            <w:tcW w:w="552"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18"/>
              </w:rPr>
            </w:pPr>
            <w:r>
              <w:rPr>
                <w:rFonts w:hint="eastAsia" w:ascii="方正兰亭纤黑简体" w:hAnsi="仿宋" w:eastAsia="方正兰亭纤黑简体"/>
                <w:sz w:val="21"/>
                <w:szCs w:val="18"/>
              </w:rPr>
              <w:t>2</w:t>
            </w:r>
          </w:p>
        </w:tc>
        <w:tc>
          <w:tcPr>
            <w:tcW w:w="1724"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大足区厨余垃圾处理厂</w:t>
            </w:r>
          </w:p>
        </w:tc>
        <w:tc>
          <w:tcPr>
            <w:tcW w:w="797"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区城市管理局</w:t>
            </w:r>
          </w:p>
        </w:tc>
        <w:tc>
          <w:tcPr>
            <w:tcW w:w="692"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新建</w:t>
            </w:r>
          </w:p>
        </w:tc>
        <w:tc>
          <w:tcPr>
            <w:tcW w:w="2945"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建设日处理规模</w:t>
            </w:r>
            <w:r>
              <w:rPr>
                <w:rFonts w:ascii="方正兰亭纤黑简体" w:hAnsi="仿宋" w:eastAsia="方正兰亭纤黑简体" w:cs="仿宋"/>
                <w:color w:val="FF0000"/>
                <w:kern w:val="0"/>
                <w:sz w:val="21"/>
                <w:szCs w:val="21"/>
                <w:lang w:bidi="ar"/>
              </w:rPr>
              <w:t>150</w:t>
            </w:r>
            <w:r>
              <w:rPr>
                <w:rFonts w:hint="eastAsia" w:ascii="方正兰亭纤黑简体" w:hAnsi="仿宋" w:eastAsia="方正兰亭纤黑简体" w:cs="仿宋"/>
                <w:kern w:val="0"/>
                <w:sz w:val="21"/>
                <w:szCs w:val="21"/>
                <w:lang w:bidi="ar"/>
              </w:rPr>
              <w:t>吨/天厨余垃圾处理厂。</w:t>
            </w:r>
          </w:p>
        </w:tc>
        <w:tc>
          <w:tcPr>
            <w:tcW w:w="1205"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7000</w:t>
            </w:r>
          </w:p>
        </w:tc>
        <w:tc>
          <w:tcPr>
            <w:tcW w:w="1448"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7000</w:t>
            </w:r>
          </w:p>
        </w:tc>
        <w:tc>
          <w:tcPr>
            <w:tcW w:w="1140"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66"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60"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7000</w:t>
            </w:r>
          </w:p>
        </w:tc>
        <w:tc>
          <w:tcPr>
            <w:tcW w:w="746"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99"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r>
      <w:tr>
        <w:tblPrEx>
          <w:tblLayout w:type="fixed"/>
          <w:tblCellMar>
            <w:top w:w="0" w:type="dxa"/>
            <w:left w:w="108" w:type="dxa"/>
            <w:bottom w:w="0" w:type="dxa"/>
            <w:right w:w="108" w:type="dxa"/>
          </w:tblCellMar>
        </w:tblPrEx>
        <w:trPr>
          <w:trHeight w:val="1575" w:hRule="atLeast"/>
        </w:trPr>
        <w:tc>
          <w:tcPr>
            <w:tcW w:w="552"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w:t>
            </w:r>
          </w:p>
        </w:tc>
        <w:tc>
          <w:tcPr>
            <w:tcW w:w="1724"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龙水垃圾转运站改造</w:t>
            </w:r>
          </w:p>
        </w:tc>
        <w:tc>
          <w:tcPr>
            <w:tcW w:w="797"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区城市管理局</w:t>
            </w:r>
          </w:p>
        </w:tc>
        <w:tc>
          <w:tcPr>
            <w:tcW w:w="692"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2945"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改造现状龙水垃圾处理站，日转运规模由50吨/d，提升至100吨/d</w:t>
            </w:r>
          </w:p>
        </w:tc>
        <w:tc>
          <w:tcPr>
            <w:tcW w:w="1205"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w:t>
            </w:r>
          </w:p>
        </w:tc>
        <w:tc>
          <w:tcPr>
            <w:tcW w:w="1448"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w:t>
            </w:r>
          </w:p>
        </w:tc>
        <w:tc>
          <w:tcPr>
            <w:tcW w:w="1140"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66"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w:t>
            </w:r>
          </w:p>
        </w:tc>
        <w:tc>
          <w:tcPr>
            <w:tcW w:w="1060"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46"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99"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1575" w:hRule="atLeast"/>
        </w:trPr>
        <w:tc>
          <w:tcPr>
            <w:tcW w:w="552"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w:t>
            </w:r>
          </w:p>
        </w:tc>
        <w:tc>
          <w:tcPr>
            <w:tcW w:w="1724"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环卫设施品质提升</w:t>
            </w:r>
          </w:p>
        </w:tc>
        <w:tc>
          <w:tcPr>
            <w:tcW w:w="797"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区城市管理局</w:t>
            </w:r>
          </w:p>
        </w:tc>
        <w:tc>
          <w:tcPr>
            <w:tcW w:w="692"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2945"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果皮箱、垃圾站等环卫设施提质优化。</w:t>
            </w:r>
          </w:p>
        </w:tc>
        <w:tc>
          <w:tcPr>
            <w:tcW w:w="1205"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w:t>
            </w:r>
          </w:p>
        </w:tc>
        <w:tc>
          <w:tcPr>
            <w:tcW w:w="1448"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w:t>
            </w:r>
          </w:p>
        </w:tc>
        <w:tc>
          <w:tcPr>
            <w:tcW w:w="1140"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66"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w:t>
            </w:r>
          </w:p>
        </w:tc>
        <w:tc>
          <w:tcPr>
            <w:tcW w:w="1060"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46"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99"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375" w:hRule="atLeast"/>
        </w:trPr>
        <w:tc>
          <w:tcPr>
            <w:tcW w:w="14174" w:type="dxa"/>
            <w:gridSpan w:val="22"/>
            <w:tcBorders>
              <w:top w:val="nil"/>
              <w:left w:val="nil"/>
              <w:bottom w:val="single" w:color="auto" w:sz="4" w:space="0"/>
              <w:right w:val="nil"/>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8"/>
                <w:szCs w:val="28"/>
              </w:rPr>
            </w:pPr>
            <w:r>
              <w:rPr>
                <w:rFonts w:hint="eastAsia" w:ascii="方正兰亭纤黑简体" w:hAnsi="仿宋" w:eastAsia="方正兰亭纤黑简体" w:cs="仿宋"/>
                <w:b/>
                <w:bCs/>
                <w:sz w:val="21"/>
                <w:szCs w:val="21"/>
              </w:rPr>
              <w:br w:type="page"/>
            </w:r>
            <w:r>
              <w:rPr>
                <w:rFonts w:hint="eastAsia" w:ascii="方正兰亭纤黑简体" w:hAnsi="仿宋" w:eastAsia="方正兰亭纤黑简体" w:cs="仿宋"/>
                <w:b/>
                <w:bCs/>
                <w:kern w:val="0"/>
                <w:sz w:val="28"/>
                <w:szCs w:val="28"/>
                <w:lang w:bidi="ar"/>
              </w:rPr>
              <w:t>垃圾分类项目</w:t>
            </w:r>
          </w:p>
        </w:tc>
      </w:tr>
      <w:tr>
        <w:tblPrEx>
          <w:tblLayout w:type="fixed"/>
          <w:tblCellMar>
            <w:top w:w="0" w:type="dxa"/>
            <w:left w:w="108" w:type="dxa"/>
            <w:bottom w:w="0" w:type="dxa"/>
            <w:right w:w="108" w:type="dxa"/>
          </w:tblCellMar>
        </w:tblPrEx>
        <w:trPr>
          <w:trHeight w:val="315" w:hRule="atLeast"/>
        </w:trPr>
        <w:tc>
          <w:tcPr>
            <w:tcW w:w="464"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序号</w:t>
            </w:r>
          </w:p>
        </w:tc>
        <w:tc>
          <w:tcPr>
            <w:tcW w:w="1619" w:type="dxa"/>
            <w:gridSpan w:val="2"/>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项目名字</w:t>
            </w:r>
          </w:p>
        </w:tc>
        <w:tc>
          <w:tcPr>
            <w:tcW w:w="814" w:type="dxa"/>
            <w:gridSpan w:val="2"/>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责任单位</w:t>
            </w:r>
          </w:p>
        </w:tc>
        <w:tc>
          <w:tcPr>
            <w:tcW w:w="808" w:type="dxa"/>
            <w:gridSpan w:val="2"/>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建设性质</w:t>
            </w:r>
          </w:p>
        </w:tc>
        <w:tc>
          <w:tcPr>
            <w:tcW w:w="2600" w:type="dxa"/>
            <w:gridSpan w:val="2"/>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建设内容</w:t>
            </w:r>
          </w:p>
        </w:tc>
        <w:tc>
          <w:tcPr>
            <w:tcW w:w="1207" w:type="dxa"/>
            <w:gridSpan w:val="2"/>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项目总投资（万元）</w:t>
            </w:r>
          </w:p>
        </w:tc>
        <w:tc>
          <w:tcPr>
            <w:tcW w:w="1534" w:type="dxa"/>
            <w:gridSpan w:val="2"/>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eastAsia="zh-CN" w:bidi="ar"/>
              </w:rPr>
              <w:t>“十四五”</w:t>
            </w:r>
            <w:r>
              <w:rPr>
                <w:rFonts w:hint="eastAsia" w:ascii="方正兰亭纤黑简体" w:hAnsi="仿宋" w:eastAsia="方正兰亭纤黑简体" w:cs="仿宋"/>
                <w:b/>
                <w:bCs/>
                <w:kern w:val="0"/>
                <w:sz w:val="21"/>
                <w:szCs w:val="21"/>
                <w:lang w:bidi="ar"/>
              </w:rPr>
              <w:t>计划投资（万元）</w:t>
            </w:r>
          </w:p>
        </w:tc>
        <w:tc>
          <w:tcPr>
            <w:tcW w:w="3583" w:type="dxa"/>
            <w:gridSpan w:val="6"/>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eastAsia="zh-CN" w:bidi="ar"/>
              </w:rPr>
              <w:t>“十四五”</w:t>
            </w:r>
            <w:r>
              <w:rPr>
                <w:rFonts w:hint="eastAsia" w:ascii="方正兰亭纤黑简体" w:hAnsi="仿宋" w:eastAsia="方正兰亭纤黑简体" w:cs="仿宋"/>
                <w:b/>
                <w:bCs/>
                <w:kern w:val="0"/>
                <w:sz w:val="21"/>
                <w:szCs w:val="21"/>
                <w:lang w:bidi="ar"/>
              </w:rPr>
              <w:t>计划投资分类（万元）</w:t>
            </w:r>
          </w:p>
        </w:tc>
        <w:tc>
          <w:tcPr>
            <w:tcW w:w="791" w:type="dxa"/>
            <w:gridSpan w:val="2"/>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开工时间</w:t>
            </w:r>
          </w:p>
        </w:tc>
        <w:tc>
          <w:tcPr>
            <w:tcW w:w="754"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竣工时间</w:t>
            </w:r>
          </w:p>
        </w:tc>
      </w:tr>
      <w:tr>
        <w:tblPrEx>
          <w:tblLayout w:type="fixed"/>
          <w:tblCellMar>
            <w:top w:w="0" w:type="dxa"/>
            <w:left w:w="108" w:type="dxa"/>
            <w:bottom w:w="0" w:type="dxa"/>
            <w:right w:w="108" w:type="dxa"/>
          </w:tblCellMar>
        </w:tblPrEx>
        <w:trPr>
          <w:trHeight w:val="630" w:hRule="atLeast"/>
        </w:trPr>
        <w:tc>
          <w:tcPr>
            <w:tcW w:w="464"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619" w:type="dxa"/>
            <w:gridSpan w:val="2"/>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814" w:type="dxa"/>
            <w:gridSpan w:val="2"/>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808" w:type="dxa"/>
            <w:gridSpan w:val="2"/>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2600" w:type="dxa"/>
            <w:gridSpan w:val="2"/>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207" w:type="dxa"/>
            <w:gridSpan w:val="2"/>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534" w:type="dxa"/>
            <w:gridSpan w:val="2"/>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295"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中央</w:t>
            </w:r>
            <w:r>
              <w:rPr>
                <w:rFonts w:ascii="方正兰亭纤黑简体" w:hAnsi="仿宋" w:eastAsia="方正兰亭纤黑简体" w:cs="仿宋"/>
                <w:b/>
                <w:bCs/>
                <w:kern w:val="0"/>
                <w:sz w:val="21"/>
                <w:szCs w:val="21"/>
                <w:lang w:bidi="ar"/>
              </w:rPr>
              <w:t>及</w:t>
            </w:r>
            <w:r>
              <w:rPr>
                <w:rFonts w:hint="eastAsia" w:ascii="方正兰亭纤黑简体" w:hAnsi="仿宋" w:eastAsia="方正兰亭纤黑简体" w:cs="仿宋"/>
                <w:b/>
                <w:bCs/>
                <w:kern w:val="0"/>
                <w:sz w:val="21"/>
                <w:szCs w:val="21"/>
                <w:lang w:bidi="ar"/>
              </w:rPr>
              <w:t>市级投资</w:t>
            </w:r>
          </w:p>
        </w:tc>
        <w:tc>
          <w:tcPr>
            <w:tcW w:w="1296" w:type="dxa"/>
            <w:gridSpan w:val="3"/>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区级投资</w:t>
            </w:r>
          </w:p>
        </w:tc>
        <w:tc>
          <w:tcPr>
            <w:tcW w:w="99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其它</w:t>
            </w:r>
          </w:p>
        </w:tc>
        <w:tc>
          <w:tcPr>
            <w:tcW w:w="791" w:type="dxa"/>
            <w:gridSpan w:val="2"/>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754"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r>
      <w:tr>
        <w:tblPrEx>
          <w:tblLayout w:type="fixed"/>
          <w:tblCellMar>
            <w:top w:w="0" w:type="dxa"/>
            <w:left w:w="108" w:type="dxa"/>
            <w:bottom w:w="0" w:type="dxa"/>
            <w:right w:w="108" w:type="dxa"/>
          </w:tblCellMar>
        </w:tblPrEx>
        <w:trPr>
          <w:trHeight w:val="900" w:hRule="atLeast"/>
        </w:trPr>
        <w:tc>
          <w:tcPr>
            <w:tcW w:w="464"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1</w:t>
            </w:r>
          </w:p>
        </w:tc>
        <w:tc>
          <w:tcPr>
            <w:tcW w:w="1619"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炉渣资源化利用项目</w:t>
            </w:r>
          </w:p>
        </w:tc>
        <w:tc>
          <w:tcPr>
            <w:tcW w:w="814"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sz w:val="21"/>
                <w:szCs w:val="21"/>
              </w:rPr>
            </w:pPr>
            <w:r>
              <w:rPr>
                <w:rFonts w:hint="eastAsia" w:ascii="方正兰亭纤黑简体" w:hAnsi="仿宋" w:eastAsia="方正兰亭纤黑简体" w:cs="仿宋"/>
                <w:sz w:val="21"/>
                <w:szCs w:val="21"/>
              </w:rPr>
              <w:t>待定</w:t>
            </w:r>
          </w:p>
        </w:tc>
        <w:tc>
          <w:tcPr>
            <w:tcW w:w="808"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储备</w:t>
            </w:r>
          </w:p>
        </w:tc>
        <w:tc>
          <w:tcPr>
            <w:tcW w:w="2600"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建设炉渣资源化利用处理能力150t/d。</w:t>
            </w:r>
          </w:p>
        </w:tc>
        <w:tc>
          <w:tcPr>
            <w:tcW w:w="1207"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360"/>
              <w:jc w:val="center"/>
              <w:textAlignment w:val="center"/>
              <w:rPr>
                <w:rFonts w:ascii="方正兰亭纤黑简体" w:hAnsi="仿宋" w:eastAsia="方正兰亭纤黑简体" w:cs="仿宋"/>
                <w:sz w:val="21"/>
                <w:szCs w:val="21"/>
              </w:rPr>
            </w:pPr>
            <w:r>
              <w:rPr>
                <w:rFonts w:hint="eastAsia" w:ascii="宋体" w:hAnsi="宋体" w:eastAsia="宋体" w:cs="宋体"/>
                <w:kern w:val="0"/>
                <w:sz w:val="18"/>
                <w:szCs w:val="18"/>
                <w:lang w:bidi="ar"/>
              </w:rPr>
              <w:t>\</w:t>
            </w:r>
          </w:p>
        </w:tc>
        <w:tc>
          <w:tcPr>
            <w:tcW w:w="1534"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360"/>
              <w:jc w:val="center"/>
              <w:textAlignment w:val="center"/>
              <w:rPr>
                <w:rFonts w:ascii="方正兰亭纤黑简体" w:hAnsi="仿宋" w:eastAsia="方正兰亭纤黑简体" w:cs="仿宋"/>
                <w:sz w:val="21"/>
                <w:szCs w:val="21"/>
              </w:rPr>
            </w:pPr>
            <w:r>
              <w:rPr>
                <w:rFonts w:hint="eastAsia" w:ascii="宋体" w:hAnsi="宋体" w:eastAsia="宋体" w:cs="宋体"/>
                <w:kern w:val="0"/>
                <w:sz w:val="18"/>
                <w:szCs w:val="18"/>
                <w:lang w:bidi="ar"/>
              </w:rPr>
              <w:t>\</w:t>
            </w:r>
          </w:p>
        </w:tc>
        <w:tc>
          <w:tcPr>
            <w:tcW w:w="1295"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360"/>
              <w:jc w:val="center"/>
              <w:textAlignment w:val="center"/>
              <w:rPr>
                <w:rFonts w:ascii="方正兰亭纤黑简体" w:hAnsi="仿宋" w:eastAsia="方正兰亭纤黑简体" w:cs="仿宋"/>
                <w:sz w:val="21"/>
                <w:szCs w:val="21"/>
              </w:rPr>
            </w:pPr>
            <w:r>
              <w:rPr>
                <w:rFonts w:hint="eastAsia" w:ascii="宋体" w:hAnsi="宋体" w:eastAsia="宋体" w:cs="宋体"/>
                <w:kern w:val="0"/>
                <w:sz w:val="18"/>
                <w:szCs w:val="18"/>
                <w:lang w:bidi="ar"/>
              </w:rPr>
              <w:t>\</w:t>
            </w:r>
          </w:p>
        </w:tc>
        <w:tc>
          <w:tcPr>
            <w:tcW w:w="1296" w:type="dxa"/>
            <w:gridSpan w:val="3"/>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360"/>
              <w:jc w:val="center"/>
              <w:textAlignment w:val="center"/>
              <w:rPr>
                <w:rFonts w:ascii="方正兰亭纤黑简体" w:hAnsi="仿宋" w:eastAsia="方正兰亭纤黑简体" w:cs="仿宋"/>
                <w:sz w:val="21"/>
                <w:szCs w:val="21"/>
              </w:rPr>
            </w:pPr>
            <w:r>
              <w:rPr>
                <w:rFonts w:hint="eastAsia" w:ascii="宋体" w:hAnsi="宋体" w:eastAsia="宋体" w:cs="宋体"/>
                <w:kern w:val="0"/>
                <w:sz w:val="18"/>
                <w:szCs w:val="18"/>
                <w:lang w:bidi="ar"/>
              </w:rPr>
              <w:t>\</w:t>
            </w:r>
          </w:p>
        </w:tc>
        <w:tc>
          <w:tcPr>
            <w:tcW w:w="99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360"/>
              <w:jc w:val="center"/>
              <w:textAlignment w:val="center"/>
              <w:rPr>
                <w:rFonts w:ascii="方正兰亭纤黑简体" w:hAnsi="仿宋" w:eastAsia="方正兰亭纤黑简体" w:cs="仿宋"/>
                <w:sz w:val="21"/>
                <w:szCs w:val="21"/>
              </w:rPr>
            </w:pPr>
            <w:r>
              <w:rPr>
                <w:rFonts w:hint="eastAsia" w:ascii="宋体" w:hAnsi="宋体" w:eastAsia="宋体" w:cs="宋体"/>
                <w:kern w:val="0"/>
                <w:sz w:val="18"/>
                <w:szCs w:val="18"/>
                <w:lang w:bidi="ar"/>
              </w:rPr>
              <w:t>\</w:t>
            </w:r>
          </w:p>
        </w:tc>
        <w:tc>
          <w:tcPr>
            <w:tcW w:w="791"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sz w:val="21"/>
                <w:szCs w:val="21"/>
              </w:rPr>
            </w:pPr>
            <w:r>
              <w:rPr>
                <w:rFonts w:hint="eastAsia" w:ascii="方正兰亭纤黑简体" w:hAnsi="仿宋" w:eastAsia="方正兰亭纤黑简体" w:cs="仿宋"/>
                <w:sz w:val="21"/>
                <w:szCs w:val="21"/>
              </w:rPr>
              <w:t>20</w:t>
            </w:r>
            <w:r>
              <w:rPr>
                <w:rFonts w:ascii="方正兰亭纤黑简体" w:hAnsi="仿宋" w:eastAsia="方正兰亭纤黑简体" w:cs="仿宋"/>
                <w:sz w:val="21"/>
                <w:szCs w:val="21"/>
              </w:rPr>
              <w:t>2</w:t>
            </w:r>
            <w:r>
              <w:rPr>
                <w:rFonts w:hint="eastAsia" w:ascii="方正兰亭纤黑简体" w:hAnsi="仿宋" w:eastAsia="方正兰亭纤黑简体" w:cs="仿宋"/>
                <w:sz w:val="21"/>
                <w:szCs w:val="21"/>
              </w:rPr>
              <w:t>6</w:t>
            </w:r>
          </w:p>
        </w:tc>
        <w:tc>
          <w:tcPr>
            <w:tcW w:w="75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sz w:val="21"/>
                <w:szCs w:val="21"/>
              </w:rPr>
            </w:pPr>
            <w:r>
              <w:rPr>
                <w:rFonts w:hint="eastAsia" w:ascii="方正兰亭纤黑简体" w:hAnsi="仿宋" w:eastAsia="方正兰亭纤黑简体" w:cs="仿宋"/>
                <w:sz w:val="21"/>
                <w:szCs w:val="21"/>
              </w:rPr>
              <w:t>2028</w:t>
            </w:r>
          </w:p>
        </w:tc>
      </w:tr>
      <w:tr>
        <w:tblPrEx>
          <w:tblLayout w:type="fixed"/>
          <w:tblCellMar>
            <w:top w:w="0" w:type="dxa"/>
            <w:left w:w="108" w:type="dxa"/>
            <w:bottom w:w="0" w:type="dxa"/>
            <w:right w:w="108" w:type="dxa"/>
          </w:tblCellMar>
        </w:tblPrEx>
        <w:trPr>
          <w:trHeight w:val="900" w:hRule="atLeast"/>
        </w:trPr>
        <w:tc>
          <w:tcPr>
            <w:tcW w:w="464"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2</w:t>
            </w:r>
          </w:p>
        </w:tc>
        <w:tc>
          <w:tcPr>
            <w:tcW w:w="1619"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大件/绿化垃圾综合处理项目</w:t>
            </w:r>
          </w:p>
        </w:tc>
        <w:tc>
          <w:tcPr>
            <w:tcW w:w="814"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sz w:val="21"/>
                <w:szCs w:val="21"/>
              </w:rPr>
            </w:pPr>
            <w:r>
              <w:rPr>
                <w:rFonts w:hint="eastAsia" w:ascii="方正兰亭纤黑简体" w:hAnsi="仿宋" w:eastAsia="方正兰亭纤黑简体" w:cs="仿宋"/>
                <w:sz w:val="21"/>
                <w:szCs w:val="21"/>
              </w:rPr>
              <w:t>待定</w:t>
            </w:r>
          </w:p>
        </w:tc>
        <w:tc>
          <w:tcPr>
            <w:tcW w:w="808"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储备</w:t>
            </w:r>
          </w:p>
        </w:tc>
        <w:tc>
          <w:tcPr>
            <w:tcW w:w="2600"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建设大件/绿化垃圾综合处理能力20t/d。</w:t>
            </w:r>
          </w:p>
        </w:tc>
        <w:tc>
          <w:tcPr>
            <w:tcW w:w="1207"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360"/>
              <w:jc w:val="center"/>
              <w:textAlignment w:val="center"/>
              <w:rPr>
                <w:rFonts w:ascii="方正兰亭纤黑简体" w:hAnsi="仿宋" w:eastAsia="方正兰亭纤黑简体" w:cs="仿宋"/>
                <w:sz w:val="21"/>
                <w:szCs w:val="21"/>
              </w:rPr>
            </w:pPr>
            <w:r>
              <w:rPr>
                <w:rFonts w:hint="eastAsia" w:ascii="宋体" w:hAnsi="宋体" w:eastAsia="宋体" w:cs="宋体"/>
                <w:kern w:val="0"/>
                <w:sz w:val="18"/>
                <w:szCs w:val="18"/>
                <w:lang w:bidi="ar"/>
              </w:rPr>
              <w:t>\</w:t>
            </w:r>
          </w:p>
        </w:tc>
        <w:tc>
          <w:tcPr>
            <w:tcW w:w="1534"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360"/>
              <w:jc w:val="center"/>
              <w:textAlignment w:val="center"/>
              <w:rPr>
                <w:rFonts w:ascii="方正兰亭纤黑简体" w:hAnsi="仿宋" w:eastAsia="方正兰亭纤黑简体" w:cs="仿宋"/>
                <w:sz w:val="21"/>
                <w:szCs w:val="21"/>
              </w:rPr>
            </w:pPr>
            <w:r>
              <w:rPr>
                <w:rFonts w:hint="eastAsia" w:ascii="宋体" w:hAnsi="宋体" w:eastAsia="宋体" w:cs="宋体"/>
                <w:kern w:val="0"/>
                <w:sz w:val="18"/>
                <w:szCs w:val="18"/>
                <w:lang w:bidi="ar"/>
              </w:rPr>
              <w:t>\</w:t>
            </w:r>
          </w:p>
        </w:tc>
        <w:tc>
          <w:tcPr>
            <w:tcW w:w="1295"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360"/>
              <w:jc w:val="center"/>
              <w:textAlignment w:val="center"/>
              <w:rPr>
                <w:rFonts w:ascii="方正兰亭纤黑简体" w:hAnsi="仿宋" w:eastAsia="方正兰亭纤黑简体" w:cs="仿宋"/>
                <w:sz w:val="21"/>
                <w:szCs w:val="21"/>
              </w:rPr>
            </w:pPr>
            <w:r>
              <w:rPr>
                <w:rFonts w:hint="eastAsia" w:ascii="宋体" w:hAnsi="宋体" w:eastAsia="宋体" w:cs="宋体"/>
                <w:kern w:val="0"/>
                <w:sz w:val="18"/>
                <w:szCs w:val="18"/>
                <w:lang w:bidi="ar"/>
              </w:rPr>
              <w:t>\</w:t>
            </w:r>
          </w:p>
        </w:tc>
        <w:tc>
          <w:tcPr>
            <w:tcW w:w="1296" w:type="dxa"/>
            <w:gridSpan w:val="3"/>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360"/>
              <w:jc w:val="center"/>
              <w:textAlignment w:val="center"/>
              <w:rPr>
                <w:rFonts w:ascii="方正兰亭纤黑简体" w:hAnsi="仿宋" w:eastAsia="方正兰亭纤黑简体" w:cs="仿宋"/>
                <w:sz w:val="21"/>
                <w:szCs w:val="21"/>
              </w:rPr>
            </w:pPr>
            <w:r>
              <w:rPr>
                <w:rFonts w:hint="eastAsia" w:ascii="宋体" w:hAnsi="宋体" w:eastAsia="宋体" w:cs="宋体"/>
                <w:kern w:val="0"/>
                <w:sz w:val="18"/>
                <w:szCs w:val="18"/>
                <w:lang w:bidi="ar"/>
              </w:rPr>
              <w:t>\</w:t>
            </w:r>
          </w:p>
        </w:tc>
        <w:tc>
          <w:tcPr>
            <w:tcW w:w="99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360"/>
              <w:jc w:val="center"/>
              <w:textAlignment w:val="center"/>
              <w:rPr>
                <w:rFonts w:ascii="方正兰亭纤黑简体" w:hAnsi="仿宋" w:eastAsia="方正兰亭纤黑简体" w:cs="仿宋"/>
                <w:sz w:val="21"/>
                <w:szCs w:val="21"/>
              </w:rPr>
            </w:pPr>
            <w:r>
              <w:rPr>
                <w:rFonts w:hint="eastAsia" w:ascii="宋体" w:hAnsi="宋体" w:eastAsia="宋体" w:cs="宋体"/>
                <w:kern w:val="0"/>
                <w:sz w:val="18"/>
                <w:szCs w:val="18"/>
                <w:lang w:bidi="ar"/>
              </w:rPr>
              <w:t>\</w:t>
            </w:r>
          </w:p>
        </w:tc>
        <w:tc>
          <w:tcPr>
            <w:tcW w:w="791"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sz w:val="21"/>
                <w:szCs w:val="21"/>
              </w:rPr>
            </w:pPr>
            <w:r>
              <w:rPr>
                <w:rFonts w:hint="eastAsia" w:ascii="方正兰亭纤黑简体" w:hAnsi="仿宋" w:eastAsia="方正兰亭纤黑简体" w:cs="仿宋"/>
                <w:sz w:val="21"/>
                <w:szCs w:val="21"/>
              </w:rPr>
              <w:t>20</w:t>
            </w:r>
            <w:r>
              <w:rPr>
                <w:rFonts w:ascii="方正兰亭纤黑简体" w:hAnsi="仿宋" w:eastAsia="方正兰亭纤黑简体" w:cs="仿宋"/>
                <w:sz w:val="21"/>
                <w:szCs w:val="21"/>
              </w:rPr>
              <w:t>2</w:t>
            </w:r>
            <w:r>
              <w:rPr>
                <w:rFonts w:hint="eastAsia" w:ascii="方正兰亭纤黑简体" w:hAnsi="仿宋" w:eastAsia="方正兰亭纤黑简体" w:cs="仿宋"/>
                <w:sz w:val="21"/>
                <w:szCs w:val="21"/>
              </w:rPr>
              <w:t>6</w:t>
            </w:r>
          </w:p>
        </w:tc>
        <w:tc>
          <w:tcPr>
            <w:tcW w:w="75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sz w:val="21"/>
                <w:szCs w:val="21"/>
              </w:rPr>
            </w:pPr>
            <w:r>
              <w:rPr>
                <w:rFonts w:hint="eastAsia" w:ascii="方正兰亭纤黑简体" w:hAnsi="仿宋" w:eastAsia="方正兰亭纤黑简体" w:cs="仿宋"/>
                <w:sz w:val="21"/>
                <w:szCs w:val="21"/>
              </w:rPr>
              <w:t>2028</w:t>
            </w:r>
          </w:p>
        </w:tc>
      </w:tr>
      <w:tr>
        <w:tblPrEx>
          <w:tblLayout w:type="fixed"/>
          <w:tblCellMar>
            <w:top w:w="0" w:type="dxa"/>
            <w:left w:w="108" w:type="dxa"/>
            <w:bottom w:w="0" w:type="dxa"/>
            <w:right w:w="108" w:type="dxa"/>
          </w:tblCellMar>
        </w:tblPrEx>
        <w:trPr>
          <w:trHeight w:val="900" w:hRule="atLeast"/>
        </w:trPr>
        <w:tc>
          <w:tcPr>
            <w:tcW w:w="464"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3</w:t>
            </w:r>
          </w:p>
        </w:tc>
        <w:tc>
          <w:tcPr>
            <w:tcW w:w="1619"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一般工业固废资源化项目</w:t>
            </w:r>
          </w:p>
        </w:tc>
        <w:tc>
          <w:tcPr>
            <w:tcW w:w="814"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sz w:val="21"/>
                <w:szCs w:val="21"/>
              </w:rPr>
            </w:pPr>
            <w:r>
              <w:rPr>
                <w:rFonts w:hint="eastAsia" w:ascii="方正兰亭纤黑简体" w:hAnsi="仿宋" w:eastAsia="方正兰亭纤黑简体" w:cs="仿宋"/>
                <w:sz w:val="21"/>
                <w:szCs w:val="21"/>
              </w:rPr>
              <w:t>待定</w:t>
            </w:r>
          </w:p>
        </w:tc>
        <w:tc>
          <w:tcPr>
            <w:tcW w:w="808"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储备</w:t>
            </w:r>
          </w:p>
        </w:tc>
        <w:tc>
          <w:tcPr>
            <w:tcW w:w="2600"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建设一般工业固废资源化处理能力50t/d。</w:t>
            </w:r>
          </w:p>
        </w:tc>
        <w:tc>
          <w:tcPr>
            <w:tcW w:w="1207"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360"/>
              <w:jc w:val="center"/>
              <w:textAlignment w:val="center"/>
              <w:rPr>
                <w:rFonts w:ascii="方正兰亭纤黑简体" w:hAnsi="仿宋" w:eastAsia="方正兰亭纤黑简体" w:cs="仿宋"/>
                <w:sz w:val="21"/>
                <w:szCs w:val="21"/>
              </w:rPr>
            </w:pPr>
            <w:r>
              <w:rPr>
                <w:rFonts w:hint="eastAsia" w:ascii="宋体" w:hAnsi="宋体" w:eastAsia="宋体" w:cs="宋体"/>
                <w:kern w:val="0"/>
                <w:sz w:val="18"/>
                <w:szCs w:val="18"/>
                <w:lang w:bidi="ar"/>
              </w:rPr>
              <w:t>\</w:t>
            </w:r>
          </w:p>
        </w:tc>
        <w:tc>
          <w:tcPr>
            <w:tcW w:w="1534"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360"/>
              <w:jc w:val="center"/>
              <w:textAlignment w:val="center"/>
              <w:rPr>
                <w:rFonts w:ascii="方正兰亭纤黑简体" w:hAnsi="仿宋" w:eastAsia="方正兰亭纤黑简体" w:cs="仿宋"/>
                <w:sz w:val="21"/>
                <w:szCs w:val="21"/>
              </w:rPr>
            </w:pPr>
            <w:r>
              <w:rPr>
                <w:rFonts w:hint="eastAsia" w:ascii="宋体" w:hAnsi="宋体" w:eastAsia="宋体" w:cs="宋体"/>
                <w:kern w:val="0"/>
                <w:sz w:val="18"/>
                <w:szCs w:val="18"/>
                <w:lang w:bidi="ar"/>
              </w:rPr>
              <w:t>\</w:t>
            </w:r>
          </w:p>
        </w:tc>
        <w:tc>
          <w:tcPr>
            <w:tcW w:w="1295"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360"/>
              <w:jc w:val="center"/>
              <w:textAlignment w:val="center"/>
              <w:rPr>
                <w:rFonts w:ascii="方正兰亭纤黑简体" w:hAnsi="仿宋" w:eastAsia="方正兰亭纤黑简体" w:cs="仿宋"/>
                <w:sz w:val="21"/>
                <w:szCs w:val="21"/>
              </w:rPr>
            </w:pPr>
            <w:r>
              <w:rPr>
                <w:rFonts w:hint="eastAsia" w:ascii="宋体" w:hAnsi="宋体" w:eastAsia="宋体" w:cs="宋体"/>
                <w:kern w:val="0"/>
                <w:sz w:val="18"/>
                <w:szCs w:val="18"/>
                <w:lang w:bidi="ar"/>
              </w:rPr>
              <w:t>\</w:t>
            </w:r>
          </w:p>
        </w:tc>
        <w:tc>
          <w:tcPr>
            <w:tcW w:w="1296" w:type="dxa"/>
            <w:gridSpan w:val="3"/>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360"/>
              <w:jc w:val="center"/>
              <w:textAlignment w:val="center"/>
              <w:rPr>
                <w:rFonts w:ascii="方正兰亭纤黑简体" w:hAnsi="仿宋" w:eastAsia="方正兰亭纤黑简体" w:cs="仿宋"/>
                <w:sz w:val="21"/>
                <w:szCs w:val="21"/>
              </w:rPr>
            </w:pPr>
            <w:r>
              <w:rPr>
                <w:rFonts w:hint="eastAsia" w:ascii="宋体" w:hAnsi="宋体" w:eastAsia="宋体" w:cs="宋体"/>
                <w:kern w:val="0"/>
                <w:sz w:val="18"/>
                <w:szCs w:val="18"/>
                <w:lang w:bidi="ar"/>
              </w:rPr>
              <w:t>\</w:t>
            </w:r>
          </w:p>
        </w:tc>
        <w:tc>
          <w:tcPr>
            <w:tcW w:w="99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360"/>
              <w:jc w:val="center"/>
              <w:textAlignment w:val="center"/>
              <w:rPr>
                <w:rFonts w:ascii="方正兰亭纤黑简体" w:hAnsi="仿宋" w:eastAsia="方正兰亭纤黑简体" w:cs="仿宋"/>
                <w:sz w:val="21"/>
                <w:szCs w:val="21"/>
              </w:rPr>
            </w:pPr>
            <w:r>
              <w:rPr>
                <w:rFonts w:hint="eastAsia" w:ascii="宋体" w:hAnsi="宋体" w:eastAsia="宋体" w:cs="宋体"/>
                <w:kern w:val="0"/>
                <w:sz w:val="18"/>
                <w:szCs w:val="18"/>
                <w:lang w:bidi="ar"/>
              </w:rPr>
              <w:t>\</w:t>
            </w:r>
          </w:p>
        </w:tc>
        <w:tc>
          <w:tcPr>
            <w:tcW w:w="791" w:type="dxa"/>
            <w:gridSpan w:val="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sz w:val="21"/>
                <w:szCs w:val="21"/>
              </w:rPr>
            </w:pPr>
            <w:r>
              <w:rPr>
                <w:rFonts w:hint="eastAsia" w:ascii="方正兰亭纤黑简体" w:hAnsi="仿宋" w:eastAsia="方正兰亭纤黑简体" w:cs="仿宋"/>
                <w:sz w:val="21"/>
                <w:szCs w:val="21"/>
              </w:rPr>
              <w:t>20</w:t>
            </w:r>
            <w:r>
              <w:rPr>
                <w:rFonts w:ascii="方正兰亭纤黑简体" w:hAnsi="仿宋" w:eastAsia="方正兰亭纤黑简体" w:cs="仿宋"/>
                <w:sz w:val="21"/>
                <w:szCs w:val="21"/>
              </w:rPr>
              <w:t>2</w:t>
            </w:r>
            <w:r>
              <w:rPr>
                <w:rFonts w:hint="eastAsia" w:ascii="方正兰亭纤黑简体" w:hAnsi="仿宋" w:eastAsia="方正兰亭纤黑简体" w:cs="仿宋"/>
                <w:sz w:val="21"/>
                <w:szCs w:val="21"/>
              </w:rPr>
              <w:t>6</w:t>
            </w:r>
          </w:p>
        </w:tc>
        <w:tc>
          <w:tcPr>
            <w:tcW w:w="75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sz w:val="21"/>
                <w:szCs w:val="21"/>
              </w:rPr>
            </w:pPr>
            <w:r>
              <w:rPr>
                <w:rFonts w:hint="eastAsia" w:ascii="方正兰亭纤黑简体" w:hAnsi="仿宋" w:eastAsia="方正兰亭纤黑简体" w:cs="仿宋"/>
                <w:sz w:val="21"/>
                <w:szCs w:val="21"/>
              </w:rPr>
              <w:t>2028</w:t>
            </w:r>
          </w:p>
        </w:tc>
      </w:tr>
    </w:tbl>
    <w:p>
      <w:pPr>
        <w:ind w:firstLine="422"/>
        <w:rPr>
          <w:rFonts w:ascii="方正兰亭纤黑简体" w:hAnsi="仿宋" w:eastAsia="方正兰亭纤黑简体" w:cs="仿宋"/>
          <w:b/>
          <w:bCs/>
          <w:sz w:val="21"/>
          <w:szCs w:val="21"/>
        </w:rPr>
      </w:pPr>
      <w:r>
        <w:rPr>
          <w:rFonts w:hint="eastAsia" w:ascii="方正兰亭纤黑简体" w:hAnsi="仿宋" w:eastAsia="方正兰亭纤黑简体" w:cs="仿宋"/>
          <w:b/>
          <w:bCs/>
          <w:sz w:val="21"/>
          <w:szCs w:val="21"/>
        </w:rPr>
        <w:br w:type="page"/>
      </w:r>
    </w:p>
    <w:tbl>
      <w:tblPr>
        <w:tblStyle w:val="24"/>
        <w:tblW w:w="14122" w:type="dxa"/>
        <w:tblInd w:w="24" w:type="dxa"/>
        <w:tblLayout w:type="fixed"/>
        <w:tblCellMar>
          <w:top w:w="0" w:type="dxa"/>
          <w:left w:w="108" w:type="dxa"/>
          <w:bottom w:w="0" w:type="dxa"/>
          <w:right w:w="108" w:type="dxa"/>
        </w:tblCellMar>
      </w:tblPr>
      <w:tblGrid>
        <w:gridCol w:w="552"/>
        <w:gridCol w:w="1274"/>
        <w:gridCol w:w="1167"/>
        <w:gridCol w:w="709"/>
        <w:gridCol w:w="4022"/>
        <w:gridCol w:w="997"/>
        <w:gridCol w:w="994"/>
        <w:gridCol w:w="870"/>
        <w:gridCol w:w="1002"/>
        <w:gridCol w:w="997"/>
        <w:gridCol w:w="769"/>
        <w:gridCol w:w="769"/>
      </w:tblGrid>
      <w:tr>
        <w:tblPrEx>
          <w:tblLayout w:type="fixed"/>
          <w:tblCellMar>
            <w:top w:w="0" w:type="dxa"/>
            <w:left w:w="108" w:type="dxa"/>
            <w:bottom w:w="0" w:type="dxa"/>
            <w:right w:w="108" w:type="dxa"/>
          </w:tblCellMar>
        </w:tblPrEx>
        <w:trPr>
          <w:trHeight w:val="375" w:hRule="atLeast"/>
        </w:trPr>
        <w:tc>
          <w:tcPr>
            <w:tcW w:w="14122" w:type="dxa"/>
            <w:gridSpan w:val="12"/>
            <w:tcBorders>
              <w:top w:val="nil"/>
              <w:left w:val="nil"/>
              <w:bottom w:val="single" w:color="auto" w:sz="4" w:space="0"/>
              <w:right w:val="nil"/>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8"/>
                <w:szCs w:val="28"/>
              </w:rPr>
            </w:pPr>
            <w:r>
              <w:rPr>
                <w:rFonts w:hint="eastAsia" w:ascii="方正兰亭纤黑简体" w:hAnsi="仿宋" w:eastAsia="方正兰亭纤黑简体" w:cs="仿宋"/>
                <w:b/>
                <w:bCs/>
                <w:kern w:val="0"/>
                <w:sz w:val="28"/>
                <w:szCs w:val="28"/>
                <w:lang w:bidi="ar"/>
              </w:rPr>
              <w:t>品质提升项目</w:t>
            </w:r>
          </w:p>
        </w:tc>
      </w:tr>
      <w:tr>
        <w:tblPrEx>
          <w:tblLayout w:type="fixed"/>
          <w:tblCellMar>
            <w:top w:w="0" w:type="dxa"/>
            <w:left w:w="108" w:type="dxa"/>
            <w:bottom w:w="0" w:type="dxa"/>
            <w:right w:w="108" w:type="dxa"/>
          </w:tblCellMar>
        </w:tblPrEx>
        <w:trPr>
          <w:trHeight w:val="315" w:hRule="atLeast"/>
        </w:trPr>
        <w:tc>
          <w:tcPr>
            <w:tcW w:w="552"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序号</w:t>
            </w:r>
          </w:p>
        </w:tc>
        <w:tc>
          <w:tcPr>
            <w:tcW w:w="1274"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项目名字</w:t>
            </w:r>
          </w:p>
        </w:tc>
        <w:tc>
          <w:tcPr>
            <w:tcW w:w="1167"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责任单位</w:t>
            </w:r>
          </w:p>
        </w:tc>
        <w:tc>
          <w:tcPr>
            <w:tcW w:w="709"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建设性质</w:t>
            </w:r>
          </w:p>
        </w:tc>
        <w:tc>
          <w:tcPr>
            <w:tcW w:w="4022"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建设内容</w:t>
            </w:r>
          </w:p>
        </w:tc>
        <w:tc>
          <w:tcPr>
            <w:tcW w:w="997"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项目总投资（万元）</w:t>
            </w:r>
          </w:p>
        </w:tc>
        <w:tc>
          <w:tcPr>
            <w:tcW w:w="994"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eastAsia="zh-CN" w:bidi="ar"/>
              </w:rPr>
              <w:t>“十四五”</w:t>
            </w:r>
            <w:r>
              <w:rPr>
                <w:rFonts w:hint="eastAsia" w:ascii="方正兰亭纤黑简体" w:hAnsi="仿宋" w:eastAsia="方正兰亭纤黑简体" w:cs="仿宋"/>
                <w:b/>
                <w:bCs/>
                <w:kern w:val="0"/>
                <w:sz w:val="21"/>
                <w:szCs w:val="21"/>
                <w:lang w:bidi="ar"/>
              </w:rPr>
              <w:t>计划投资（万元）</w:t>
            </w:r>
          </w:p>
        </w:tc>
        <w:tc>
          <w:tcPr>
            <w:tcW w:w="2869" w:type="dxa"/>
            <w:gridSpan w:val="3"/>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eastAsia="zh-CN" w:bidi="ar"/>
              </w:rPr>
              <w:t>“十四五”</w:t>
            </w:r>
            <w:r>
              <w:rPr>
                <w:rFonts w:hint="eastAsia" w:ascii="方正兰亭纤黑简体" w:hAnsi="仿宋" w:eastAsia="方正兰亭纤黑简体" w:cs="仿宋"/>
                <w:b/>
                <w:bCs/>
                <w:kern w:val="0"/>
                <w:sz w:val="21"/>
                <w:szCs w:val="21"/>
                <w:lang w:bidi="ar"/>
              </w:rPr>
              <w:t>计划投资分类（万元）</w:t>
            </w:r>
          </w:p>
        </w:tc>
        <w:tc>
          <w:tcPr>
            <w:tcW w:w="769"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开工时间</w:t>
            </w:r>
          </w:p>
        </w:tc>
        <w:tc>
          <w:tcPr>
            <w:tcW w:w="769"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竣工时间</w:t>
            </w:r>
          </w:p>
        </w:tc>
      </w:tr>
      <w:tr>
        <w:tblPrEx>
          <w:tblLayout w:type="fixed"/>
          <w:tblCellMar>
            <w:top w:w="0" w:type="dxa"/>
            <w:left w:w="108" w:type="dxa"/>
            <w:bottom w:w="0" w:type="dxa"/>
            <w:right w:w="108" w:type="dxa"/>
          </w:tblCellMar>
        </w:tblPrEx>
        <w:trPr>
          <w:trHeight w:val="630" w:hRule="atLeast"/>
        </w:trPr>
        <w:tc>
          <w:tcPr>
            <w:tcW w:w="552"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274"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167"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709"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4022"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997"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994"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中央</w:t>
            </w:r>
            <w:r>
              <w:rPr>
                <w:rFonts w:ascii="方正兰亭纤黑简体" w:hAnsi="仿宋" w:eastAsia="方正兰亭纤黑简体" w:cs="仿宋"/>
                <w:b/>
                <w:bCs/>
                <w:kern w:val="0"/>
                <w:sz w:val="21"/>
                <w:szCs w:val="21"/>
                <w:lang w:bidi="ar"/>
              </w:rPr>
              <w:t>及</w:t>
            </w:r>
            <w:r>
              <w:rPr>
                <w:rFonts w:hint="eastAsia" w:ascii="方正兰亭纤黑简体" w:hAnsi="仿宋" w:eastAsia="方正兰亭纤黑简体" w:cs="仿宋"/>
                <w:b/>
                <w:bCs/>
                <w:kern w:val="0"/>
                <w:sz w:val="21"/>
                <w:szCs w:val="21"/>
                <w:lang w:bidi="ar"/>
              </w:rPr>
              <w:t>市级投资</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区级投资</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其它</w:t>
            </w:r>
          </w:p>
        </w:tc>
        <w:tc>
          <w:tcPr>
            <w:tcW w:w="769"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769"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r>
      <w:tr>
        <w:tblPrEx>
          <w:tblLayout w:type="fixed"/>
          <w:tblCellMar>
            <w:top w:w="0" w:type="dxa"/>
            <w:left w:w="108" w:type="dxa"/>
            <w:bottom w:w="0" w:type="dxa"/>
            <w:right w:w="108" w:type="dxa"/>
          </w:tblCellMar>
        </w:tblPrEx>
        <w:trPr>
          <w:trHeight w:val="630" w:hRule="atLeast"/>
        </w:trPr>
        <w:tc>
          <w:tcPr>
            <w:tcW w:w="14122" w:type="dxa"/>
            <w:gridSpan w:val="1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Cs/>
                <w:sz w:val="21"/>
                <w:szCs w:val="21"/>
              </w:rPr>
            </w:pPr>
            <w:r>
              <w:rPr>
                <w:rFonts w:hint="eastAsia" w:ascii="方正兰亭纤黑简体" w:hAnsi="仿宋" w:eastAsia="方正兰亭纤黑简体" w:cs="仿宋"/>
                <w:bCs/>
                <w:sz w:val="21"/>
                <w:szCs w:val="21"/>
              </w:rPr>
              <w:t>一</w:t>
            </w:r>
            <w:r>
              <w:rPr>
                <w:rFonts w:ascii="方正兰亭纤黑简体" w:hAnsi="仿宋" w:eastAsia="方正兰亭纤黑简体" w:cs="仿宋"/>
                <w:bCs/>
                <w:sz w:val="21"/>
                <w:szCs w:val="21"/>
              </w:rPr>
              <w:t>、</w:t>
            </w:r>
            <w:r>
              <w:rPr>
                <w:rFonts w:hint="eastAsia" w:ascii="方正兰亭纤黑简体" w:hAnsi="仿宋" w:eastAsia="方正兰亭纤黑简体" w:cs="仿宋"/>
                <w:bCs/>
                <w:sz w:val="21"/>
                <w:szCs w:val="21"/>
              </w:rPr>
              <w:t>提升文旅融合基础设施</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城区文化品质提升</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区城乡建委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城区广场、交通岛、游园、公园等节点石刻、荷棠文化植入</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“棠香人家”提档升级项目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区文化旅游委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利用乡村振兴、文旅融合，打造美丽乡村示范带（“棠香人家”与“十里荷棠”相结合）。</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南北宋街功能提升</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区文化旅游委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南宋街约1.2万平米、北宋街约0.6万平米室内装饰装修、室外景观、酒店、风情商业街等旅游休闲度假项目打造；北宋街滨水道路及景观改造；宝顶景区木质结构建筑及其他资产维修维护；项目招商及运营管理</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宝顶学堂</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区文化旅游委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原宝顶实验小学，占地面积14476.1平方米，房屋面积5157.31平方米，打造国家级研学基地</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5</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龙水湖松鹤岛游乐设施升级改造项目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文旅集团</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包括松鹤岛后门支路约300米升级改造，飞跃丛林、国学馆、CS基地、农耕园、吊桥等游乐设施升级改造及厕所、导览导示系统、配电房等。新建松鹤岛后门沥青支路，长约300米，宽6米。</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650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650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650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2023</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6</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龙水湖大坝文化体育公园项目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文旅集团</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新建龙水湖大坝文化体育公园，其中包括绿化、演绎舞台等。</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550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550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550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2023</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7</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龙水湖新建码头及游船修葺项目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文旅集团</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新建游船码头（含渔人码头和望娘滩码头），并对原有码头进行升级改造。新采购游船、脚踏船、夜航趸船、电瓶车、自行车，并对原有游船进行维修保养。</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460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460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460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2023</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8</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龙水湖生态停车场建设项目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文旅集团</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龙水湖大坝区域及西子湾假日营地区域配套建设600个生态停车位，90个充电桩。</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700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700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700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2023</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9</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龙水湖西子湾露营基地（二期）</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文旅集团</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建设完善西子湾游泳池、阳光沙滩及附属配套设施，建设露营基地、房车营地一期，改造原雍山湖17+1栋别墅</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8300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8300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8300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2024</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10</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龙水湖钓鱼基地项目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文旅集团</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围绕龙水湖完善休闲垂钓基地及配套休闲娱乐服务设施。</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200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200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200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2023</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11</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龙水湖水上乐园项目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文旅集团</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打造龙水湖水上娱乐项目。</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500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500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500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2024</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12</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龙水湖科创中心</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文旅集团</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收回并改造联谊宾馆区域。</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24000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24000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24000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2025</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ascii="方正兰亭纤黑简体" w:hAnsi="仿宋" w:eastAsia="方正兰亭纤黑简体" w:cs="仿宋"/>
                <w:kern w:val="0"/>
                <w:sz w:val="21"/>
                <w:szCs w:val="21"/>
                <w:lang w:bidi="ar"/>
              </w:rPr>
              <w:t>13</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香国公园片区文旅提升</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发展集团</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开展闲置物盘活，土地出让，实施片区土地整治约240亩，对香国公园片区部分功能进行完善，保障香国公园片区有效运转。</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ascii="方正兰亭纤黑简体" w:hAnsi="仿宋" w:eastAsia="方正兰亭纤黑简体" w:cs="仿宋"/>
                <w:kern w:val="0"/>
                <w:sz w:val="21"/>
                <w:szCs w:val="21"/>
                <w:lang w:bidi="ar"/>
              </w:rPr>
              <w:t>14</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大足区大南山片区提升项目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发展集团</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项目约4000亩，利用南山及西下道口周边土地，进行环境综合整治，加强城市建设，美化城乡环境，进行防火通道建设，零星布局商业小卖部等</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80000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80000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80000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15</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方正兰亭纤黑简体" w:eastAsia="方正兰亭纤黑简体" w:cs="方正兰亭纤黑简体"/>
                <w:color w:val="FF0000"/>
                <w:kern w:val="0"/>
                <w:sz w:val="21"/>
                <w:szCs w:val="21"/>
                <w:lang w:bidi="ar"/>
              </w:rPr>
            </w:pPr>
            <w:r>
              <w:rPr>
                <w:rFonts w:hint="eastAsia" w:ascii="方正兰亭纤黑简体" w:hAnsi="方正兰亭纤黑简体" w:eastAsia="方正兰亭纤黑简体" w:cs="方正兰亭纤黑简体"/>
                <w:color w:val="FF0000"/>
                <w:kern w:val="0"/>
                <w:sz w:val="21"/>
                <w:szCs w:val="21"/>
                <w:lang w:bidi="ar"/>
              </w:rPr>
              <w:t>石刻保护传承基地（未来之光）</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方正兰亭纤黑简体" w:eastAsia="方正兰亭纤黑简体" w:cs="方正兰亭纤黑简体"/>
                <w:color w:val="FF0000"/>
                <w:kern w:val="0"/>
                <w:sz w:val="21"/>
                <w:szCs w:val="21"/>
                <w:lang w:bidi="ar"/>
              </w:rPr>
            </w:pPr>
            <w:r>
              <w:rPr>
                <w:rFonts w:hint="eastAsia" w:ascii="方正兰亭纤黑简体" w:hAnsi="方正兰亭纤黑简体" w:eastAsia="方正兰亭纤黑简体" w:cs="方正兰亭纤黑简体"/>
                <w:color w:val="FF0000"/>
                <w:kern w:val="0"/>
                <w:sz w:val="21"/>
                <w:szCs w:val="21"/>
                <w:lang w:bidi="ar"/>
              </w:rPr>
              <w:t>海棠新城开发区/石刻研究院</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方正兰亭纤黑简体" w:eastAsia="方正兰亭纤黑简体" w:cs="方正兰亭纤黑简体"/>
                <w:color w:val="FF0000"/>
                <w:kern w:val="0"/>
                <w:sz w:val="21"/>
                <w:szCs w:val="21"/>
                <w:lang w:bidi="ar"/>
              </w:rPr>
            </w:pPr>
            <w:r>
              <w:rPr>
                <w:rFonts w:hint="eastAsia" w:ascii="方正兰亭纤黑简体" w:hAnsi="方正兰亭纤黑简体" w:eastAsia="方正兰亭纤黑简体" w:cs="方正兰亭纤黑简体"/>
                <w:color w:val="FF0000"/>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方正兰亭纤黑简体" w:eastAsia="方正兰亭纤黑简体" w:cs="方正兰亭纤黑简体"/>
                <w:color w:val="FF0000"/>
                <w:kern w:val="0"/>
                <w:sz w:val="21"/>
                <w:szCs w:val="21"/>
                <w:lang w:bidi="ar"/>
              </w:rPr>
            </w:pPr>
            <w:r>
              <w:rPr>
                <w:rFonts w:hint="eastAsia" w:ascii="方正兰亭纤黑简体" w:hAnsi="方正兰亭纤黑简体" w:eastAsia="方正兰亭纤黑简体" w:cs="方正兰亭纤黑简体"/>
                <w:color w:val="FF0000"/>
                <w:kern w:val="0"/>
                <w:sz w:val="21"/>
                <w:szCs w:val="21"/>
                <w:lang w:bidi="ar"/>
              </w:rPr>
              <w:t>项目位于宝顶镇倒庙村，占地39.62亩，计容面积26416平方米，包含会议厅、演艺厅、保护修复展示中心等综合功能。实施范围含主体、车库、室内装修、室内展示演艺等设施设备采购、室外景观等。含配套道路730米。</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方正兰亭纤黑简体" w:eastAsia="方正兰亭纤黑简体" w:cs="方正兰亭纤黑简体"/>
                <w:color w:val="FF0000"/>
                <w:kern w:val="0"/>
                <w:sz w:val="21"/>
                <w:szCs w:val="21"/>
                <w:lang w:bidi="ar"/>
              </w:rPr>
            </w:pPr>
            <w:r>
              <w:rPr>
                <w:rFonts w:hint="eastAsia" w:ascii="方正兰亭纤黑简体" w:hAnsi="方正兰亭纤黑简体" w:eastAsia="方正兰亭纤黑简体" w:cs="方正兰亭纤黑简体"/>
                <w:color w:val="FF0000"/>
                <w:kern w:val="0"/>
                <w:sz w:val="21"/>
                <w:szCs w:val="21"/>
                <w:lang w:bidi="ar"/>
              </w:rPr>
              <w:t>33700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方正兰亭纤黑简体" w:eastAsia="方正兰亭纤黑简体" w:cs="方正兰亭纤黑简体"/>
                <w:color w:val="FF0000"/>
                <w:kern w:val="0"/>
                <w:sz w:val="21"/>
                <w:szCs w:val="21"/>
                <w:lang w:bidi="ar"/>
              </w:rPr>
            </w:pPr>
            <w:r>
              <w:rPr>
                <w:rFonts w:hint="eastAsia" w:ascii="方正兰亭纤黑简体" w:hAnsi="方正兰亭纤黑简体" w:eastAsia="方正兰亭纤黑简体" w:cs="方正兰亭纤黑简体"/>
                <w:color w:val="FF0000"/>
                <w:kern w:val="0"/>
                <w:sz w:val="21"/>
                <w:szCs w:val="21"/>
                <w:lang w:bidi="ar"/>
              </w:rPr>
              <w:t>33700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方正兰亭纤黑简体" w:eastAsia="方正兰亭纤黑简体" w:cs="方正兰亭纤黑简体"/>
                <w:color w:val="FF0000"/>
                <w:kern w:val="0"/>
                <w:sz w:val="21"/>
                <w:szCs w:val="21"/>
                <w:lang w:bidi="ar"/>
              </w:rPr>
            </w:pPr>
            <w:r>
              <w:rPr>
                <w:rFonts w:hint="eastAsia" w:ascii="方正兰亭纤黑简体" w:hAnsi="方正兰亭纤黑简体" w:eastAsia="方正兰亭纤黑简体" w:cs="方正兰亭纤黑简体"/>
                <w:color w:val="FF0000"/>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方正兰亭纤黑简体" w:eastAsia="方正兰亭纤黑简体" w:cs="方正兰亭纤黑简体"/>
                <w:color w:val="FF0000"/>
                <w:kern w:val="0"/>
                <w:sz w:val="21"/>
                <w:szCs w:val="21"/>
                <w:lang w:bidi="ar"/>
              </w:rPr>
            </w:pPr>
            <w:r>
              <w:rPr>
                <w:rFonts w:hint="eastAsia" w:ascii="方正兰亭纤黑简体" w:hAnsi="方正兰亭纤黑简体" w:eastAsia="方正兰亭纤黑简体" w:cs="方正兰亭纤黑简体"/>
                <w:color w:val="FF0000"/>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方正兰亭纤黑简体" w:eastAsia="方正兰亭纤黑简体" w:cs="方正兰亭纤黑简体"/>
                <w:color w:val="FF0000"/>
                <w:kern w:val="0"/>
                <w:sz w:val="21"/>
                <w:szCs w:val="21"/>
                <w:lang w:bidi="ar"/>
              </w:rPr>
            </w:pPr>
            <w:r>
              <w:rPr>
                <w:rFonts w:hint="eastAsia" w:ascii="方正兰亭纤黑简体" w:hAnsi="方正兰亭纤黑简体" w:eastAsia="方正兰亭纤黑简体" w:cs="方正兰亭纤黑简体"/>
                <w:color w:val="FF0000"/>
                <w:kern w:val="0"/>
                <w:sz w:val="21"/>
                <w:szCs w:val="21"/>
                <w:lang w:bidi="ar"/>
              </w:rPr>
              <w:t>33700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方正兰亭纤黑简体" w:eastAsia="方正兰亭纤黑简体" w:cs="方正兰亭纤黑简体"/>
                <w:color w:val="FF0000"/>
                <w:kern w:val="0"/>
                <w:sz w:val="21"/>
                <w:szCs w:val="21"/>
                <w:lang w:bidi="ar"/>
              </w:rPr>
            </w:pPr>
            <w:r>
              <w:rPr>
                <w:rFonts w:hint="eastAsia" w:ascii="方正兰亭纤黑简体" w:hAnsi="方正兰亭纤黑简体" w:eastAsia="方正兰亭纤黑简体" w:cs="方正兰亭纤黑简体"/>
                <w:color w:val="FF0000"/>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方正兰亭纤黑简体" w:eastAsia="方正兰亭纤黑简体" w:cs="方正兰亭纤黑简体"/>
                <w:color w:val="FF0000"/>
                <w:kern w:val="0"/>
                <w:sz w:val="21"/>
                <w:szCs w:val="21"/>
                <w:lang w:bidi="ar"/>
              </w:rPr>
            </w:pPr>
            <w:r>
              <w:rPr>
                <w:rFonts w:hint="eastAsia" w:ascii="方正兰亭纤黑简体" w:hAnsi="方正兰亭纤黑简体" w:eastAsia="方正兰亭纤黑简体" w:cs="方正兰亭纤黑简体"/>
                <w:color w:val="FF0000"/>
                <w:kern w:val="0"/>
                <w:sz w:val="21"/>
                <w:szCs w:val="21"/>
                <w:lang w:bidi="ar"/>
              </w:rPr>
              <w:t>2025</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16</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方正兰亭纤黑简体" w:eastAsia="方正兰亭纤黑简体" w:cs="方正兰亭纤黑简体"/>
                <w:color w:val="FF0000"/>
                <w:kern w:val="0"/>
                <w:sz w:val="21"/>
                <w:szCs w:val="21"/>
                <w:lang w:bidi="ar"/>
              </w:rPr>
            </w:pPr>
            <w:r>
              <w:rPr>
                <w:rFonts w:hint="eastAsia" w:ascii="方正兰亭纤黑简体" w:hAnsi="方正兰亭纤黑简体" w:eastAsia="方正兰亭纤黑简体" w:cs="方正兰亭纤黑简体"/>
                <w:color w:val="FF0000"/>
                <w:kern w:val="0"/>
                <w:sz w:val="21"/>
                <w:szCs w:val="21"/>
                <w:lang w:bidi="ar"/>
              </w:rPr>
              <w:t>石刻保护传承基地（千年一刻）</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方正兰亭纤黑简体" w:eastAsia="方正兰亭纤黑简体" w:cs="方正兰亭纤黑简体"/>
                <w:color w:val="FF0000"/>
                <w:kern w:val="0"/>
                <w:sz w:val="21"/>
                <w:szCs w:val="21"/>
                <w:lang w:bidi="ar"/>
              </w:rPr>
            </w:pPr>
            <w:r>
              <w:rPr>
                <w:rFonts w:hint="eastAsia" w:ascii="方正兰亭纤黑简体" w:hAnsi="方正兰亭纤黑简体" w:eastAsia="方正兰亭纤黑简体" w:cs="方正兰亭纤黑简体"/>
                <w:color w:val="FF0000"/>
                <w:kern w:val="0"/>
                <w:sz w:val="21"/>
                <w:szCs w:val="21"/>
                <w:lang w:bidi="ar"/>
              </w:rPr>
              <w:t>海棠新城开发区/石刻研究院</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方正兰亭纤黑简体" w:eastAsia="方正兰亭纤黑简体" w:cs="方正兰亭纤黑简体"/>
                <w:color w:val="FF0000"/>
                <w:kern w:val="0"/>
                <w:sz w:val="21"/>
                <w:szCs w:val="21"/>
                <w:lang w:bidi="ar"/>
              </w:rPr>
            </w:pPr>
            <w:r>
              <w:rPr>
                <w:rFonts w:hint="eastAsia" w:ascii="方正兰亭纤黑简体" w:hAnsi="方正兰亭纤黑简体" w:eastAsia="方正兰亭纤黑简体" w:cs="方正兰亭纤黑简体"/>
                <w:color w:val="FF0000"/>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方正兰亭纤黑简体" w:eastAsia="方正兰亭纤黑简体" w:cs="方正兰亭纤黑简体"/>
                <w:color w:val="FF0000"/>
                <w:kern w:val="0"/>
                <w:sz w:val="21"/>
                <w:szCs w:val="21"/>
                <w:lang w:bidi="ar"/>
              </w:rPr>
            </w:pPr>
            <w:r>
              <w:rPr>
                <w:rFonts w:hint="eastAsia" w:ascii="方正兰亭纤黑简体" w:hAnsi="方正兰亭纤黑简体" w:eastAsia="方正兰亭纤黑简体" w:cs="方正兰亭纤黑简体"/>
                <w:color w:val="FF0000"/>
                <w:kern w:val="0"/>
                <w:sz w:val="21"/>
                <w:szCs w:val="21"/>
                <w:lang w:bidi="ar"/>
              </w:rPr>
              <w:t>项目位于宝顶镇倒庙村，占地35.2亩，计容面积23470平方米，包含大足博物馆、美术馆、雕塑馆、图书馆等综合功能。实施范围含主体、车库、室内装修、室内展示演艺等设施设备采购、室外景观等。</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方正兰亭纤黑简体" w:eastAsia="方正兰亭纤黑简体" w:cs="方正兰亭纤黑简体"/>
                <w:color w:val="FF0000"/>
                <w:kern w:val="0"/>
                <w:sz w:val="21"/>
                <w:szCs w:val="21"/>
                <w:lang w:bidi="ar"/>
              </w:rPr>
            </w:pPr>
            <w:r>
              <w:rPr>
                <w:rFonts w:hint="eastAsia" w:ascii="方正兰亭纤黑简体" w:hAnsi="方正兰亭纤黑简体" w:eastAsia="方正兰亭纤黑简体" w:cs="方正兰亭纤黑简体"/>
                <w:color w:val="FF0000"/>
                <w:kern w:val="0"/>
                <w:sz w:val="21"/>
                <w:szCs w:val="21"/>
                <w:lang w:bidi="ar"/>
              </w:rPr>
              <w:t>27600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方正兰亭纤黑简体" w:eastAsia="方正兰亭纤黑简体" w:cs="方正兰亭纤黑简体"/>
                <w:color w:val="FF0000"/>
                <w:kern w:val="0"/>
                <w:sz w:val="21"/>
                <w:szCs w:val="21"/>
                <w:lang w:bidi="ar"/>
              </w:rPr>
            </w:pPr>
            <w:r>
              <w:rPr>
                <w:rFonts w:hint="eastAsia" w:ascii="方正兰亭纤黑简体" w:hAnsi="方正兰亭纤黑简体" w:eastAsia="方正兰亭纤黑简体" w:cs="方正兰亭纤黑简体"/>
                <w:color w:val="FF0000"/>
                <w:kern w:val="0"/>
                <w:sz w:val="21"/>
                <w:szCs w:val="21"/>
                <w:lang w:bidi="ar"/>
              </w:rPr>
              <w:t>27600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方正兰亭纤黑简体" w:eastAsia="方正兰亭纤黑简体" w:cs="方正兰亭纤黑简体"/>
                <w:color w:val="FF0000"/>
                <w:kern w:val="0"/>
                <w:sz w:val="21"/>
                <w:szCs w:val="21"/>
                <w:lang w:bidi="ar"/>
              </w:rPr>
            </w:pPr>
            <w:r>
              <w:rPr>
                <w:rFonts w:hint="eastAsia" w:ascii="方正兰亭纤黑简体" w:hAnsi="方正兰亭纤黑简体" w:eastAsia="方正兰亭纤黑简体" w:cs="方正兰亭纤黑简体"/>
                <w:color w:val="FF0000"/>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方正兰亭纤黑简体" w:eastAsia="方正兰亭纤黑简体" w:cs="方正兰亭纤黑简体"/>
                <w:color w:val="FF0000"/>
                <w:kern w:val="0"/>
                <w:sz w:val="21"/>
                <w:szCs w:val="21"/>
                <w:lang w:bidi="ar"/>
              </w:rPr>
            </w:pPr>
            <w:r>
              <w:rPr>
                <w:rFonts w:hint="eastAsia" w:ascii="方正兰亭纤黑简体" w:hAnsi="方正兰亭纤黑简体" w:eastAsia="方正兰亭纤黑简体" w:cs="方正兰亭纤黑简体"/>
                <w:color w:val="FF0000"/>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方正兰亭纤黑简体" w:eastAsia="方正兰亭纤黑简体" w:cs="方正兰亭纤黑简体"/>
                <w:color w:val="FF0000"/>
                <w:kern w:val="0"/>
                <w:sz w:val="21"/>
                <w:szCs w:val="21"/>
                <w:lang w:bidi="ar"/>
              </w:rPr>
            </w:pPr>
            <w:r>
              <w:rPr>
                <w:rFonts w:hint="eastAsia" w:ascii="方正兰亭纤黑简体" w:hAnsi="方正兰亭纤黑简体" w:eastAsia="方正兰亭纤黑简体" w:cs="方正兰亭纤黑简体"/>
                <w:color w:val="FF0000"/>
                <w:kern w:val="0"/>
                <w:sz w:val="21"/>
                <w:szCs w:val="21"/>
                <w:lang w:bidi="ar"/>
              </w:rPr>
              <w:t>28000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方正兰亭纤黑简体" w:eastAsia="方正兰亭纤黑简体" w:cs="方正兰亭纤黑简体"/>
                <w:color w:val="FF0000"/>
                <w:kern w:val="0"/>
                <w:sz w:val="21"/>
                <w:szCs w:val="21"/>
                <w:lang w:bidi="ar"/>
              </w:rPr>
            </w:pPr>
            <w:r>
              <w:rPr>
                <w:rFonts w:hint="eastAsia" w:ascii="方正兰亭纤黑简体" w:hAnsi="方正兰亭纤黑简体" w:eastAsia="方正兰亭纤黑简体" w:cs="方正兰亭纤黑简体"/>
                <w:color w:val="FF0000"/>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方正兰亭纤黑简体" w:eastAsia="方正兰亭纤黑简体" w:cs="方正兰亭纤黑简体"/>
                <w:color w:val="FF0000"/>
                <w:kern w:val="0"/>
                <w:sz w:val="21"/>
                <w:szCs w:val="21"/>
                <w:lang w:bidi="ar"/>
              </w:rPr>
            </w:pPr>
            <w:r>
              <w:rPr>
                <w:rFonts w:hint="eastAsia" w:ascii="方正兰亭纤黑简体" w:hAnsi="方正兰亭纤黑简体" w:eastAsia="方正兰亭纤黑简体" w:cs="方正兰亭纤黑简体"/>
                <w:color w:val="FF0000"/>
                <w:kern w:val="0"/>
                <w:sz w:val="21"/>
                <w:szCs w:val="21"/>
                <w:lang w:bidi="ar"/>
              </w:rPr>
              <w:t>2025</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w:t>
            </w:r>
            <w:r>
              <w:rPr>
                <w:rFonts w:ascii="方正兰亭纤黑简体" w:hAnsi="仿宋" w:eastAsia="方正兰亭纤黑简体" w:cs="仿宋"/>
                <w:kern w:val="0"/>
                <w:sz w:val="21"/>
                <w:szCs w:val="21"/>
                <w:lang w:bidi="ar"/>
              </w:rPr>
              <w:t>7</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大足石刻文化城石窟寺保护利用国际交流基地配套设施（川渝石窟寺博物馆）</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海棠新城开发区/石刻研究院</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项目位于宝顶镇倒庙村，占地22亩，建筑面积约1万</w:t>
            </w:r>
            <w:r>
              <w:rPr>
                <w:rFonts w:hint="eastAsia" w:ascii="Batang" w:hAnsi="Batang" w:eastAsia="Batang" w:cs="Batang"/>
                <w:kern w:val="0"/>
                <w:sz w:val="21"/>
                <w:szCs w:val="21"/>
                <w:lang w:bidi="ar"/>
              </w:rPr>
              <w:t>㎡</w:t>
            </w:r>
            <w:r>
              <w:rPr>
                <w:rFonts w:hint="eastAsia" w:ascii="方正兰亭纤黑简体" w:hAnsi="方正兰亭纤黑简体" w:eastAsia="方正兰亭纤黑简体" w:cs="方正兰亭纤黑简体"/>
                <w:kern w:val="0"/>
                <w:sz w:val="21"/>
                <w:szCs w:val="21"/>
                <w:lang w:bidi="ar"/>
              </w:rPr>
              <w:t>。建设内容包含：（一）巴蜀石窟博物馆，建设内容包括文化展示空间、配套服务空间以及对外的临时展示空间等。（二）世界石窟影像馆，项目拟通过图文及数字影像、数字模型等方式进行综合展示，推动中国石窟寺与世界石窟寺的对比研究与成果展示。</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16000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16000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16000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w:t>
            </w:r>
            <w:r>
              <w:rPr>
                <w:rFonts w:ascii="方正兰亭纤黑简体" w:hAnsi="仿宋" w:eastAsia="方正兰亭纤黑简体" w:cs="仿宋"/>
                <w:kern w:val="0"/>
                <w:sz w:val="21"/>
                <w:szCs w:val="21"/>
                <w:lang w:bidi="ar"/>
              </w:rPr>
              <w:t>8</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中国南方石窟寺研究中心</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石刻研究院</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1278"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w:t>
            </w:r>
            <w:r>
              <w:rPr>
                <w:rFonts w:ascii="方正兰亭纤黑简体" w:hAnsi="仿宋" w:eastAsia="方正兰亭纤黑简体" w:cs="仿宋"/>
                <w:kern w:val="0"/>
                <w:sz w:val="21"/>
                <w:szCs w:val="21"/>
                <w:lang w:bidi="ar"/>
              </w:rPr>
              <w:t>9</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重庆雕塑美术馆</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待定</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ascii="方正兰亭纤黑简体" w:hAnsi="仿宋" w:eastAsia="方正兰亭纤黑简体" w:cs="仿宋"/>
                <w:kern w:val="0"/>
                <w:sz w:val="21"/>
                <w:szCs w:val="21"/>
                <w:lang w:bidi="ar"/>
              </w:rPr>
              <w:t>20</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大足石刻文物修复医院</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石刻研究院</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ascii="方正兰亭纤黑简体" w:hAnsi="仿宋" w:eastAsia="方正兰亭纤黑简体" w:cs="仿宋"/>
                <w:kern w:val="0"/>
                <w:sz w:val="21"/>
                <w:szCs w:val="21"/>
                <w:lang w:bidi="ar"/>
              </w:rPr>
              <w:t>21</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重庆市博物馆（新馆）</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待定</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886"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ascii="方正兰亭纤黑简体" w:hAnsi="仿宋" w:eastAsia="方正兰亭纤黑简体" w:cs="仿宋"/>
                <w:kern w:val="0"/>
                <w:sz w:val="21"/>
                <w:szCs w:val="21"/>
                <w:lang w:bidi="ar"/>
              </w:rPr>
              <w:t>22</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东方美学创作中心</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待定</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ascii="方正兰亭纤黑简体" w:hAnsi="仿宋" w:eastAsia="方正兰亭纤黑简体" w:cs="仿宋"/>
                <w:kern w:val="0"/>
                <w:sz w:val="21"/>
                <w:szCs w:val="21"/>
                <w:lang w:bidi="ar"/>
              </w:rPr>
              <w:t>23</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中国石刻文化创意中心</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待定</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ascii="方正兰亭纤黑简体" w:hAnsi="仿宋" w:eastAsia="方正兰亭纤黑简体" w:cs="仿宋"/>
                <w:kern w:val="0"/>
                <w:sz w:val="21"/>
                <w:szCs w:val="21"/>
                <w:lang w:bidi="ar"/>
              </w:rPr>
              <w:t>24</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数字文创展示交易中心</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待定</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ascii="方正兰亭纤黑简体" w:hAnsi="仿宋" w:eastAsia="方正兰亭纤黑简体" w:cs="仿宋"/>
                <w:kern w:val="0"/>
                <w:sz w:val="21"/>
                <w:szCs w:val="21"/>
                <w:lang w:bidi="ar"/>
              </w:rPr>
              <w:t>25</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工匠传承研究学院</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待定</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ascii="方正兰亭纤黑简体" w:hAnsi="仿宋" w:eastAsia="方正兰亭纤黑简体" w:cs="仿宋"/>
                <w:kern w:val="0"/>
                <w:sz w:val="21"/>
                <w:szCs w:val="21"/>
                <w:lang w:bidi="ar"/>
              </w:rPr>
              <w:t>26</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四川美术学院（大足分院）</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待定</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1109"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w:t>
            </w:r>
            <w:r>
              <w:rPr>
                <w:rFonts w:ascii="方正兰亭纤黑简体" w:hAnsi="仿宋" w:eastAsia="方正兰亭纤黑简体" w:cs="仿宋"/>
                <w:kern w:val="0"/>
                <w:sz w:val="21"/>
                <w:szCs w:val="21"/>
                <w:lang w:bidi="ar"/>
              </w:rPr>
              <w:t>7</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文化智造园</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待定</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w:t>
            </w:r>
            <w:r>
              <w:rPr>
                <w:rFonts w:ascii="方正兰亭纤黑简体" w:hAnsi="仿宋" w:eastAsia="方正兰亭纤黑简体" w:cs="仿宋"/>
                <w:kern w:val="0"/>
                <w:sz w:val="21"/>
                <w:szCs w:val="21"/>
                <w:lang w:bidi="ar"/>
              </w:rPr>
              <w:t>8</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帝师楼文旅打造</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文旅集团</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围绕大足本土特色，打造历史文化博物馆</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ascii="方正兰亭纤黑简体" w:hAnsi="仿宋" w:eastAsia="方正兰亭纤黑简体" w:cs="仿宋"/>
                <w:kern w:val="0"/>
                <w:sz w:val="21"/>
                <w:szCs w:val="21"/>
                <w:lang w:bidi="ar"/>
              </w:rPr>
              <w:t>29</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五金共享工坊街区</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龙水镇</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"结合小五金件工坊基础，进行综合整治，引导功能分区，打造非遗文创共</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ascii="方正兰亭纤黑简体" w:hAnsi="仿宋" w:eastAsia="方正兰亭纤黑简体" w:cs="仿宋"/>
                <w:kern w:val="0"/>
                <w:sz w:val="21"/>
                <w:szCs w:val="21"/>
                <w:lang w:bidi="ar"/>
              </w:rPr>
              <w:t>30</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龙水现代五金特色小镇</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龙水镇</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五金文化产业园、五金文化展览馆。</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ascii="方正兰亭纤黑简体" w:hAnsi="仿宋" w:eastAsia="方正兰亭纤黑简体" w:cs="仿宋"/>
                <w:kern w:val="0"/>
                <w:sz w:val="21"/>
                <w:szCs w:val="21"/>
                <w:lang w:bidi="ar"/>
              </w:rPr>
              <w:t>31</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文旅设施周边路网空间提质</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配合我区文旅基础设施建设，根据景点文化特色，对各景点周边路网空间进行有针对性的文化塑造，延伸文旅辐射范围。</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ascii="方正兰亭纤黑简体" w:hAnsi="仿宋" w:eastAsia="方正兰亭纤黑简体" w:cs="仿宋"/>
                <w:kern w:val="0"/>
                <w:sz w:val="21"/>
                <w:szCs w:val="21"/>
                <w:lang w:bidi="ar"/>
              </w:rPr>
              <w:t>32</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龙水湖度假区游客中心</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龙水湖度假区发展中心</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占地面积约70亩，包括土建、安装、绿化灯光工程</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ascii="方正兰亭纤黑简体" w:hAnsi="仿宋" w:eastAsia="方正兰亭纤黑简体" w:cs="仿宋"/>
                <w:kern w:val="0"/>
                <w:sz w:val="21"/>
                <w:szCs w:val="21"/>
                <w:lang w:bidi="ar"/>
              </w:rPr>
              <w:t>33</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石雕公园</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区文旅委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总占地面积约1500亩，设置石雕艺术长廊、世界石雕艺术展馆、世界雕塑双年展等项目</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29000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34</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“十里荷棠”城景融合项目（化龙溪主题小镇）</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区文旅委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总规划面积约26平方公里，核心面积5平方公里。包括梦回千年、田园牧歌、城市之星、山湾时光、水韵芳华五大功能区域</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80000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60000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80000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35</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w:t>
            </w:r>
            <w:r>
              <w:rPr>
                <w:rFonts w:ascii="方正兰亭纤黑简体" w:hAnsi="仿宋" w:eastAsia="方正兰亭纤黑简体" w:cs="仿宋"/>
                <w:kern w:val="0"/>
                <w:sz w:val="21"/>
                <w:szCs w:val="21"/>
                <w:lang w:bidi="ar"/>
              </w:rPr>
              <w:t>文化公园</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海棠新城开发区</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一期通过招商引资，引入大型开发企业，对高铁新城进行整体打造，区级配套修建部分基础设施。二期通过人口流动，入驻城镇居民，实现经济和文化的繁荣</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500000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500000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630" w:hRule="atLeast"/>
        </w:trPr>
        <w:tc>
          <w:tcPr>
            <w:tcW w:w="14122" w:type="dxa"/>
            <w:gridSpan w:val="1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二</w:t>
            </w:r>
            <w:r>
              <w:rPr>
                <w:rFonts w:ascii="方正兰亭纤黑简体" w:hAnsi="仿宋" w:eastAsia="方正兰亭纤黑简体" w:cs="仿宋"/>
                <w:kern w:val="0"/>
                <w:sz w:val="21"/>
                <w:szCs w:val="21"/>
                <w:lang w:bidi="ar"/>
              </w:rPr>
              <w:t>、城市有机更新</w:t>
            </w:r>
          </w:p>
        </w:tc>
      </w:tr>
      <w:tr>
        <w:tblPrEx>
          <w:tblLayout w:type="fixed"/>
          <w:tblCellMar>
            <w:top w:w="0" w:type="dxa"/>
            <w:left w:w="108" w:type="dxa"/>
            <w:bottom w:w="0" w:type="dxa"/>
            <w:right w:w="108" w:type="dxa"/>
          </w:tblCellMar>
        </w:tblPrEx>
        <w:trPr>
          <w:trHeight w:val="630" w:hRule="atLeast"/>
        </w:trPr>
        <w:tc>
          <w:tcPr>
            <w:tcW w:w="14122" w:type="dxa"/>
            <w:gridSpan w:val="1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2.1老旧</w:t>
            </w:r>
            <w:r>
              <w:rPr>
                <w:rFonts w:ascii="方正兰亭纤黑简体" w:hAnsi="仿宋" w:eastAsia="方正兰亭纤黑简体" w:cs="仿宋"/>
                <w:kern w:val="0"/>
                <w:sz w:val="21"/>
                <w:szCs w:val="21"/>
                <w:lang w:bidi="ar"/>
              </w:rPr>
              <w:t>街区改造</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2022年城镇老旧小区改造提升</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区住房城乡建委、经开区建设局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2022年计划改造老旧小区72个，涉及户数8324户、楼栋数268栋、建筑面积78.39万平方米。</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25581</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25581</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11430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13151</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大足区龙岗街道2023年老旧小区改造工程</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区住房城乡建委、龙岗街道</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改造老旧小区13个，涉及建筑面积13.70万平方米，住宅45栋，居民1243户。</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5157</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5157</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2681</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1719</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757</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大足区棠香街道2023年度老旧小区改造</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区住房城乡建委、棠香街道</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改造老旧小区10个，涉及建筑面积18.61万平方米，住宅27栋，居民1509户。</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4629</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4629</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2058</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1543</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1028</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大足区龙水镇2023年度老旧小区改造项目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区住房城乡建委、龙水镇</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改造老旧小区6个，涉及建筑面积8.21万平方米，住宅78栋，居民887户。</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2065</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2065</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1039</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688</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338</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大足区龙岗街道西街社区老旧小区主体改造项目（滨河路段）</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龙岗街道办事处</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新建并装修外廊3320</w:t>
            </w:r>
            <w:r>
              <w:rPr>
                <w:rFonts w:hint="eastAsia" w:ascii="Batang" w:hAnsi="Batang" w:eastAsia="Batang" w:cs="Batang"/>
                <w:kern w:val="0"/>
                <w:sz w:val="21"/>
                <w:szCs w:val="21"/>
                <w:lang w:bidi="ar"/>
              </w:rPr>
              <w:t>㎡</w:t>
            </w:r>
            <w:r>
              <w:rPr>
                <w:rFonts w:hint="eastAsia" w:ascii="方正兰亭纤黑简体" w:hAnsi="方正兰亭纤黑简体" w:eastAsia="方正兰亭纤黑简体" w:cs="方正兰亭纤黑简体"/>
                <w:kern w:val="0"/>
                <w:sz w:val="21"/>
                <w:szCs w:val="21"/>
                <w:lang w:bidi="ar"/>
              </w:rPr>
              <w:t>，刚龙骨基层涂刷饰面</w:t>
            </w:r>
            <w:r>
              <w:rPr>
                <w:rFonts w:hint="eastAsia" w:ascii="方正兰亭纤黑简体" w:hAnsi="仿宋" w:eastAsia="方正兰亭纤黑简体" w:cs="仿宋"/>
                <w:kern w:val="0"/>
                <w:sz w:val="21"/>
                <w:szCs w:val="21"/>
                <w:lang w:bidi="ar"/>
              </w:rPr>
              <w:t>3350.00</w:t>
            </w:r>
            <w:r>
              <w:rPr>
                <w:rFonts w:hint="eastAsia" w:ascii="Batang" w:hAnsi="Batang" w:eastAsia="Batang" w:cs="Batang"/>
                <w:kern w:val="0"/>
                <w:sz w:val="21"/>
                <w:szCs w:val="21"/>
                <w:lang w:bidi="ar"/>
              </w:rPr>
              <w:t>㎡</w:t>
            </w:r>
            <w:r>
              <w:rPr>
                <w:rFonts w:hint="eastAsia" w:ascii="方正兰亭纤黑简体" w:hAnsi="方正兰亭纤黑简体" w:eastAsia="方正兰亭纤黑简体" w:cs="方正兰亭纤黑简体"/>
                <w:kern w:val="0"/>
                <w:sz w:val="21"/>
                <w:szCs w:val="21"/>
                <w:lang w:bidi="ar"/>
              </w:rPr>
              <w:t>，涂刷墙面</w:t>
            </w:r>
            <w:r>
              <w:rPr>
                <w:rFonts w:hint="eastAsia" w:ascii="方正兰亭纤黑简体" w:hAnsi="仿宋" w:eastAsia="方正兰亭纤黑简体" w:cs="仿宋"/>
                <w:kern w:val="0"/>
                <w:sz w:val="21"/>
                <w:szCs w:val="21"/>
                <w:lang w:bidi="ar"/>
              </w:rPr>
              <w:t>14834.00</w:t>
            </w:r>
            <w:r>
              <w:rPr>
                <w:rFonts w:hint="eastAsia" w:ascii="Batang" w:hAnsi="Batang" w:eastAsia="Batang" w:cs="Batang"/>
                <w:kern w:val="0"/>
                <w:sz w:val="21"/>
                <w:szCs w:val="21"/>
                <w:lang w:bidi="ar"/>
              </w:rPr>
              <w:t>㎡</w:t>
            </w:r>
            <w:r>
              <w:rPr>
                <w:rFonts w:hint="eastAsia" w:ascii="方正兰亭纤黑简体" w:hAnsi="方正兰亭纤黑简体" w:eastAsia="方正兰亭纤黑简体" w:cs="方正兰亭纤黑简体"/>
                <w:kern w:val="0"/>
                <w:sz w:val="21"/>
                <w:szCs w:val="21"/>
                <w:lang w:bidi="ar"/>
              </w:rPr>
              <w:t>，门窗更换</w:t>
            </w:r>
            <w:r>
              <w:rPr>
                <w:rFonts w:hint="eastAsia" w:ascii="方正兰亭纤黑简体" w:hAnsi="仿宋" w:eastAsia="方正兰亭纤黑简体" w:cs="仿宋"/>
                <w:kern w:val="0"/>
                <w:sz w:val="21"/>
                <w:szCs w:val="21"/>
                <w:lang w:bidi="ar"/>
              </w:rPr>
              <w:t>3249.00</w:t>
            </w:r>
            <w:r>
              <w:rPr>
                <w:rFonts w:hint="eastAsia" w:ascii="Batang" w:hAnsi="Batang" w:eastAsia="Batang" w:cs="Batang"/>
                <w:kern w:val="0"/>
                <w:sz w:val="21"/>
                <w:szCs w:val="21"/>
                <w:lang w:bidi="ar"/>
              </w:rPr>
              <w:t>㎡</w:t>
            </w:r>
            <w:r>
              <w:rPr>
                <w:rFonts w:hint="eastAsia" w:ascii="方正兰亭纤黑简体" w:hAnsi="方正兰亭纤黑简体" w:eastAsia="方正兰亭纤黑简体" w:cs="方正兰亭纤黑简体"/>
                <w:kern w:val="0"/>
                <w:sz w:val="21"/>
                <w:szCs w:val="21"/>
                <w:lang w:bidi="ar"/>
              </w:rPr>
              <w:t>，新增空调机位</w:t>
            </w:r>
            <w:r>
              <w:rPr>
                <w:rFonts w:hint="eastAsia" w:ascii="方正兰亭纤黑简体" w:hAnsi="仿宋" w:eastAsia="方正兰亭纤黑简体" w:cs="仿宋"/>
                <w:kern w:val="0"/>
                <w:sz w:val="21"/>
                <w:szCs w:val="21"/>
                <w:lang w:bidi="ar"/>
              </w:rPr>
              <w:t>367.00</w:t>
            </w:r>
            <w:r>
              <w:rPr>
                <w:rFonts w:hint="eastAsia" w:ascii="Batang" w:hAnsi="Batang" w:eastAsia="Batang" w:cs="Batang"/>
                <w:kern w:val="0"/>
                <w:sz w:val="21"/>
                <w:szCs w:val="21"/>
                <w:lang w:bidi="ar"/>
              </w:rPr>
              <w:t>㎡</w:t>
            </w:r>
            <w:r>
              <w:rPr>
                <w:rFonts w:hint="eastAsia" w:ascii="方正兰亭纤黑简体" w:hAnsi="方正兰亭纤黑简体" w:eastAsia="方正兰亭纤黑简体" w:cs="方正兰亭纤黑简体"/>
                <w:kern w:val="0"/>
                <w:sz w:val="21"/>
                <w:szCs w:val="21"/>
                <w:lang w:bidi="ar"/>
              </w:rPr>
              <w:t>，新增造型栏杆</w:t>
            </w:r>
            <w:r>
              <w:rPr>
                <w:rFonts w:hint="eastAsia" w:ascii="方正兰亭纤黑简体" w:hAnsi="仿宋" w:eastAsia="方正兰亭纤黑简体" w:cs="仿宋"/>
                <w:kern w:val="0"/>
                <w:sz w:val="21"/>
                <w:szCs w:val="21"/>
                <w:lang w:bidi="ar"/>
              </w:rPr>
              <w:t>1331.00m，外立面改造15000.00</w:t>
            </w:r>
            <w:r>
              <w:rPr>
                <w:rFonts w:hint="eastAsia" w:ascii="Batang" w:hAnsi="Batang" w:eastAsia="Batang" w:cs="Batang"/>
                <w:kern w:val="0"/>
                <w:sz w:val="21"/>
                <w:szCs w:val="21"/>
                <w:lang w:bidi="ar"/>
              </w:rPr>
              <w:t>㎡</w:t>
            </w:r>
            <w:r>
              <w:rPr>
                <w:rFonts w:hint="eastAsia" w:ascii="方正兰亭纤黑简体" w:hAnsi="方正兰亭纤黑简体" w:eastAsia="方正兰亭纤黑简体" w:cs="方正兰亭纤黑简体"/>
                <w:kern w:val="0"/>
                <w:sz w:val="21"/>
                <w:szCs w:val="21"/>
                <w:lang w:bidi="ar"/>
              </w:rPr>
              <w:t>等。</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1800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1200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2023年全区公租房、廉租房、公房维修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屋面漏水、厕所防水、清理化粪池、消火栓维护维修等。</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550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550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550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2024年大足区城镇老旧小区改造</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改造老旧小区29个，涉及建筑面积47.55万平方米，住宅110栋，居民3636户。</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11317</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11317</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海棠湖公园超高层建筑改造项目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海棠新城开发区/区国资委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项目占地面积约112亩，建筑面积88162平方米，改造剩余约73168平方米商业</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18000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18000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18000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9</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三驱老粮站片区众创空间改造</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大足石科文创园/高科集团</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占地约75亩的三驱老粮站片区众创空间改造，利用老粮站现状库房等，更新改造为集文创工作室、工艺美术工坊、文创企业孵化基地等为一体的文创体验区</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3400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3400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3400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2022</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2024</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ascii="方正兰亭纤黑简体" w:hAnsi="仿宋" w:eastAsia="方正兰亭纤黑简体" w:cs="仿宋"/>
                <w:kern w:val="0"/>
                <w:sz w:val="21"/>
                <w:szCs w:val="21"/>
                <w:lang w:bidi="ar"/>
              </w:rPr>
              <w:t>10</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龙水路五金加工作坊更新项目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实施龙水镇五金加工作坊区域更新提升，占地面积29.74万</w:t>
            </w:r>
            <w:r>
              <w:rPr>
                <w:rFonts w:hint="eastAsia" w:ascii="Batang" w:hAnsi="Batang" w:eastAsia="Batang" w:cs="Batang"/>
                <w:kern w:val="0"/>
                <w:sz w:val="21"/>
                <w:szCs w:val="21"/>
                <w:lang w:bidi="ar"/>
              </w:rPr>
              <w:t>㎡</w:t>
            </w:r>
            <w:r>
              <w:rPr>
                <w:rFonts w:hint="eastAsia" w:ascii="方正兰亭纤黑简体" w:hAnsi="方正兰亭纤黑简体" w:eastAsia="方正兰亭纤黑简体" w:cs="方正兰亭纤黑简体"/>
                <w:kern w:val="0"/>
                <w:sz w:val="21"/>
                <w:szCs w:val="21"/>
                <w:lang w:bidi="ar"/>
              </w:rPr>
              <w:t>，项目涉及改造老旧手工作坊、厂房等产业功能建筑，改善整体外部环境等</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w:t>
            </w:r>
            <w:r>
              <w:rPr>
                <w:rFonts w:ascii="方正兰亭纤黑简体" w:hAnsi="仿宋" w:eastAsia="方正兰亭纤黑简体" w:cs="仿宋"/>
                <w:kern w:val="0"/>
                <w:sz w:val="21"/>
                <w:szCs w:val="21"/>
                <w:lang w:bidi="ar"/>
              </w:rPr>
              <w:t>1</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五金市场集群更新项目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实施龙水镇五金市场周边区域更新提升，占地面积29.83公顷，项目涉及改善五金市场环境、改造老旧建筑、拆除城中村用房并新增商业业态配套等</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630" w:hRule="atLeast"/>
        </w:trPr>
        <w:tc>
          <w:tcPr>
            <w:tcW w:w="14122" w:type="dxa"/>
            <w:gridSpan w:val="1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2.2公共</w:t>
            </w:r>
            <w:r>
              <w:rPr>
                <w:rFonts w:ascii="方正兰亭纤黑简体" w:hAnsi="仿宋" w:eastAsia="方正兰亭纤黑简体" w:cs="仿宋"/>
                <w:kern w:val="0"/>
                <w:sz w:val="21"/>
                <w:szCs w:val="21"/>
                <w:lang w:bidi="ar"/>
              </w:rPr>
              <w:t>空间改造</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母城更新改造工程（宏声广场、龙中路、双塔路和北山路等）</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对老城区龙中路、双塔路和北山路等重要街区进行更新改造，重点完善公共停车、城市绿地、慢行系统等公共配套设施。对宏声广场29847平方米地面进行升级改造，20000平方米绿化升级改造，地下管网改造等。</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50000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50000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50000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大足区母城城市更新项目（西门社区）</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实施西门交警队周边更新提升、道路改造，配套公园、慢行系统建设，更新范围占地面积41.76万</w:t>
            </w:r>
            <w:r>
              <w:rPr>
                <w:rFonts w:hint="eastAsia" w:ascii="Batang" w:hAnsi="Batang" w:eastAsia="Batang" w:cs="Batang"/>
                <w:kern w:val="0"/>
                <w:sz w:val="21"/>
                <w:szCs w:val="21"/>
                <w:lang w:bidi="ar"/>
              </w:rPr>
              <w:t>㎡</w:t>
            </w:r>
            <w:r>
              <w:rPr>
                <w:rFonts w:hint="eastAsia" w:ascii="方正兰亭纤黑简体" w:hAnsi="方正兰亭纤黑简体" w:eastAsia="方正兰亭纤黑简体" w:cs="方正兰亭纤黑简体"/>
                <w:kern w:val="0"/>
                <w:sz w:val="21"/>
                <w:szCs w:val="21"/>
                <w:lang w:bidi="ar"/>
              </w:rPr>
              <w:t>，项目涉及拆除危旧房</w:t>
            </w:r>
            <w:r>
              <w:rPr>
                <w:rFonts w:hint="eastAsia" w:ascii="方正兰亭纤黑简体" w:hAnsi="仿宋" w:eastAsia="方正兰亭纤黑简体" w:cs="仿宋"/>
                <w:kern w:val="0"/>
                <w:sz w:val="21"/>
                <w:szCs w:val="21"/>
                <w:lang w:bidi="ar"/>
              </w:rPr>
              <w:t>67500</w:t>
            </w:r>
            <w:r>
              <w:rPr>
                <w:rFonts w:hint="eastAsia" w:ascii="Batang" w:hAnsi="Batang" w:eastAsia="Batang" w:cs="Batang"/>
                <w:kern w:val="0"/>
                <w:sz w:val="21"/>
                <w:szCs w:val="21"/>
                <w:lang w:bidi="ar"/>
              </w:rPr>
              <w:t>㎡</w:t>
            </w:r>
            <w:r>
              <w:rPr>
                <w:rFonts w:hint="eastAsia" w:ascii="方正兰亭纤黑简体" w:hAnsi="方正兰亭纤黑简体" w:eastAsia="方正兰亭纤黑简体" w:cs="方正兰亭纤黑简体"/>
                <w:kern w:val="0"/>
                <w:sz w:val="21"/>
                <w:szCs w:val="21"/>
                <w:lang w:bidi="ar"/>
              </w:rPr>
              <w:t>，改造老旧建筑</w:t>
            </w:r>
            <w:r>
              <w:rPr>
                <w:rFonts w:hint="eastAsia" w:ascii="方正兰亭纤黑简体" w:hAnsi="仿宋" w:eastAsia="方正兰亭纤黑简体" w:cs="仿宋"/>
                <w:kern w:val="0"/>
                <w:sz w:val="21"/>
                <w:szCs w:val="21"/>
                <w:lang w:bidi="ar"/>
              </w:rPr>
              <w:t>138900</w:t>
            </w:r>
            <w:r>
              <w:rPr>
                <w:rFonts w:hint="eastAsia" w:ascii="Batang" w:hAnsi="Batang" w:eastAsia="Batang" w:cs="Batang"/>
                <w:kern w:val="0"/>
                <w:sz w:val="21"/>
                <w:szCs w:val="21"/>
                <w:lang w:bidi="ar"/>
              </w:rPr>
              <w:t>㎡</w:t>
            </w:r>
            <w:r>
              <w:rPr>
                <w:rFonts w:hint="eastAsia" w:ascii="方正兰亭纤黑简体" w:hAnsi="方正兰亭纤黑简体" w:eastAsia="方正兰亭纤黑简体" w:cs="方正兰亭纤黑简体"/>
                <w:kern w:val="0"/>
                <w:sz w:val="21"/>
                <w:szCs w:val="21"/>
                <w:lang w:bidi="ar"/>
              </w:rPr>
              <w:t>，完善公共服务配套设施，城市街角用地。</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80000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80000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80000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南北山人文走廊更新项目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实施北山路、双塔路、龙岗中路、滨河路沿线及周边更新提升。更新范围占地面积27.38万</w:t>
            </w:r>
            <w:r>
              <w:rPr>
                <w:rFonts w:hint="eastAsia" w:ascii="Batang" w:hAnsi="Batang" w:eastAsia="Batang" w:cs="Batang"/>
                <w:kern w:val="0"/>
                <w:sz w:val="21"/>
                <w:szCs w:val="21"/>
                <w:lang w:bidi="ar"/>
              </w:rPr>
              <w:t>㎡</w:t>
            </w:r>
            <w:r>
              <w:rPr>
                <w:rFonts w:hint="eastAsia" w:ascii="方正兰亭纤黑简体" w:hAnsi="方正兰亭纤黑简体" w:eastAsia="方正兰亭纤黑简体" w:cs="方正兰亭纤黑简体"/>
                <w:kern w:val="0"/>
                <w:sz w:val="21"/>
                <w:szCs w:val="21"/>
                <w:lang w:bidi="ar"/>
              </w:rPr>
              <w:t>，项目涉及改造老旧建筑</w:t>
            </w:r>
            <w:r>
              <w:rPr>
                <w:rFonts w:hint="eastAsia" w:ascii="方正兰亭纤黑简体" w:hAnsi="仿宋" w:eastAsia="方正兰亭纤黑简体" w:cs="仿宋"/>
                <w:kern w:val="0"/>
                <w:sz w:val="21"/>
                <w:szCs w:val="21"/>
                <w:lang w:bidi="ar"/>
              </w:rPr>
              <w:t>490100</w:t>
            </w:r>
            <w:r>
              <w:rPr>
                <w:rFonts w:hint="eastAsia" w:ascii="Batang" w:hAnsi="Batang" w:eastAsia="Batang" w:cs="Batang"/>
                <w:kern w:val="0"/>
                <w:sz w:val="21"/>
                <w:szCs w:val="21"/>
                <w:lang w:bidi="ar"/>
              </w:rPr>
              <w:t>㎡</w:t>
            </w:r>
            <w:r>
              <w:rPr>
                <w:rFonts w:hint="eastAsia" w:ascii="方正兰亭纤黑简体" w:hAnsi="方正兰亭纤黑简体" w:eastAsia="方正兰亭纤黑简体" w:cs="方正兰亭纤黑简体"/>
                <w:kern w:val="0"/>
                <w:sz w:val="21"/>
                <w:szCs w:val="21"/>
                <w:lang w:bidi="ar"/>
              </w:rPr>
              <w:t>，活化商业店铺，打造慢行系统，激活母城区域夜间经济。对北山路、双塔路、龙岗中路、滨河路雨污管网、绿化进行整治提升。新建停车场等。</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14000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14000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14000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大足区大南山片区综合提升项目（南山片区）</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海棠新城开发区/区城管局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利用南山及西下道口周边土地，进行环境综合整治，加强城市建设，美化城乡环境，进行防火通道建设等，项目占地面积约4000亩，建筑面积约1万平方米。</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北厅城乡融合项目（宝顶小镇焕新）</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海棠新城开发区/区住房城乡建委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场镇环境治理，宝顶政府至慈航社区、公交站台至卫生院段主要街道绿化系统、临街面房屋适度梳理整治，化龙街道强电弱电线网下地等方面</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北厅城乡融合项目（宝顶镇东岳村美丽家园建设工程）</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海棠新城开发区/区水利局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该项目位于宝顶镇东庙村，整治改造移民安置区道路、房屋庭院、污水管网、景观及生态环境等。</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7</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三驱镇文创街区小镇焕新</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大足石刻文创园、高科集团</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占地约75亩的三驱老粮站片区众创空间改造，利用老粮站现状库房等，更新改造为集文创工作室、工艺美术工坊、文创企业孵化基地等为一体的文创体验区。</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5000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5000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2000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3000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2024</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ascii="方正兰亭纤黑简体" w:hAnsi="仿宋" w:eastAsia="方正兰亭纤黑简体" w:cs="仿宋"/>
                <w:kern w:val="0"/>
                <w:sz w:val="21"/>
                <w:szCs w:val="21"/>
                <w:lang w:bidi="ar"/>
              </w:rPr>
              <w:t>8</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北山更新项目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实施报恩路、先锋路沿线及周边更新提升。更新范围占地面积29.16万</w:t>
            </w:r>
            <w:r>
              <w:rPr>
                <w:rFonts w:hint="eastAsia" w:ascii="Batang" w:hAnsi="Batang" w:eastAsia="Batang" w:cs="Batang"/>
                <w:kern w:val="0"/>
                <w:sz w:val="21"/>
                <w:szCs w:val="21"/>
                <w:lang w:bidi="ar"/>
              </w:rPr>
              <w:t>㎡</w:t>
            </w:r>
            <w:r>
              <w:rPr>
                <w:rFonts w:hint="eastAsia" w:ascii="方正兰亭纤黑简体" w:hAnsi="方正兰亭纤黑简体" w:eastAsia="方正兰亭纤黑简体" w:cs="方正兰亭纤黑简体"/>
                <w:kern w:val="0"/>
                <w:sz w:val="21"/>
                <w:szCs w:val="21"/>
                <w:lang w:bidi="ar"/>
              </w:rPr>
              <w:t>，项目涉及改造老旧建筑面积</w:t>
            </w:r>
            <w:r>
              <w:rPr>
                <w:rFonts w:hint="eastAsia" w:ascii="方正兰亭纤黑简体" w:hAnsi="仿宋" w:eastAsia="方正兰亭纤黑简体" w:cs="仿宋"/>
                <w:kern w:val="0"/>
                <w:sz w:val="21"/>
                <w:szCs w:val="21"/>
                <w:lang w:bidi="ar"/>
              </w:rPr>
              <w:t>311100</w:t>
            </w:r>
            <w:r>
              <w:rPr>
                <w:rFonts w:hint="eastAsia" w:ascii="Batang" w:hAnsi="Batang" w:eastAsia="Batang" w:cs="Batang"/>
                <w:kern w:val="0"/>
                <w:sz w:val="21"/>
                <w:szCs w:val="21"/>
                <w:lang w:bidi="ar"/>
              </w:rPr>
              <w:t>㎡</w:t>
            </w:r>
            <w:r>
              <w:rPr>
                <w:rFonts w:hint="eastAsia" w:ascii="方正兰亭纤黑简体" w:hAnsi="方正兰亭纤黑简体" w:eastAsia="方正兰亭纤黑简体" w:cs="方正兰亭纤黑简体"/>
                <w:kern w:val="0"/>
                <w:sz w:val="21"/>
                <w:szCs w:val="21"/>
                <w:lang w:bidi="ar"/>
              </w:rPr>
              <w:t>，公共空间品质提升，配套公共设施完善等</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35000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ascii="方正兰亭纤黑简体" w:hAnsi="仿宋" w:eastAsia="方正兰亭纤黑简体" w:cs="仿宋"/>
                <w:kern w:val="0"/>
                <w:sz w:val="21"/>
                <w:szCs w:val="21"/>
                <w:lang w:bidi="ar"/>
              </w:rPr>
              <w:t>9</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东门烟火街巷</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实施一环北路中段沿线及周边更新提升。更新范围占地面积17.44万</w:t>
            </w:r>
            <w:r>
              <w:rPr>
                <w:rFonts w:hint="eastAsia" w:ascii="Batang" w:hAnsi="Batang" w:eastAsia="Batang" w:cs="Batang"/>
                <w:kern w:val="0"/>
                <w:sz w:val="21"/>
                <w:szCs w:val="21"/>
                <w:lang w:bidi="ar"/>
              </w:rPr>
              <w:t>㎡</w:t>
            </w:r>
            <w:r>
              <w:rPr>
                <w:rFonts w:hint="eastAsia" w:ascii="方正兰亭纤黑简体" w:hAnsi="方正兰亭纤黑简体" w:eastAsia="方正兰亭纤黑简体" w:cs="方正兰亭纤黑简体"/>
                <w:kern w:val="0"/>
                <w:sz w:val="21"/>
                <w:szCs w:val="21"/>
                <w:lang w:bidi="ar"/>
              </w:rPr>
              <w:t>，项目涉及改造老旧建筑面积</w:t>
            </w:r>
            <w:r>
              <w:rPr>
                <w:rFonts w:hint="eastAsia" w:ascii="方正兰亭纤黑简体" w:hAnsi="仿宋" w:eastAsia="方正兰亭纤黑简体" w:cs="仿宋"/>
                <w:kern w:val="0"/>
                <w:sz w:val="21"/>
                <w:szCs w:val="21"/>
                <w:lang w:bidi="ar"/>
              </w:rPr>
              <w:t>139766</w:t>
            </w:r>
            <w:r>
              <w:rPr>
                <w:rFonts w:hint="eastAsia" w:ascii="Batang" w:hAnsi="Batang" w:eastAsia="Batang" w:cs="Batang"/>
                <w:kern w:val="0"/>
                <w:sz w:val="21"/>
                <w:szCs w:val="21"/>
                <w:lang w:bidi="ar"/>
              </w:rPr>
              <w:t>㎡</w:t>
            </w:r>
            <w:r>
              <w:rPr>
                <w:rFonts w:hint="eastAsia" w:ascii="方正兰亭纤黑简体" w:hAnsi="方正兰亭纤黑简体" w:eastAsia="方正兰亭纤黑简体" w:cs="方正兰亭纤黑简体"/>
                <w:kern w:val="0"/>
                <w:sz w:val="21"/>
                <w:szCs w:val="21"/>
                <w:lang w:bidi="ar"/>
              </w:rPr>
              <w:t>，公共空间品质提升，配套公共设施完善等</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28000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14000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14000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ascii="方正兰亭纤黑简体" w:hAnsi="仿宋" w:eastAsia="方正兰亭纤黑简体" w:cs="仿宋"/>
                <w:kern w:val="0"/>
                <w:sz w:val="21"/>
                <w:szCs w:val="21"/>
                <w:lang w:bidi="ar"/>
              </w:rPr>
              <w:t>10</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金都广场生活更新项目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实施龙水镇金都广场周边更新提升，项目占地面积约30万</w:t>
            </w:r>
            <w:r>
              <w:rPr>
                <w:rFonts w:hint="eastAsia" w:ascii="Batang" w:hAnsi="Batang" w:eastAsia="Batang" w:cs="Batang"/>
                <w:kern w:val="0"/>
                <w:sz w:val="21"/>
                <w:szCs w:val="21"/>
                <w:lang w:bidi="ar"/>
              </w:rPr>
              <w:t>㎡</w:t>
            </w:r>
            <w:r>
              <w:rPr>
                <w:rFonts w:hint="eastAsia" w:ascii="方正兰亭纤黑简体" w:hAnsi="方正兰亭纤黑简体" w:eastAsia="方正兰亭纤黑简体" w:cs="方正兰亭纤黑简体"/>
                <w:kern w:val="0"/>
                <w:sz w:val="21"/>
                <w:szCs w:val="21"/>
                <w:lang w:bidi="ar"/>
              </w:rPr>
              <w:t>，涉及改造老旧建筑</w:t>
            </w:r>
            <w:r>
              <w:rPr>
                <w:rFonts w:hint="eastAsia" w:ascii="方正兰亭纤黑简体" w:hAnsi="仿宋" w:eastAsia="方正兰亭纤黑简体" w:cs="仿宋"/>
                <w:kern w:val="0"/>
                <w:sz w:val="21"/>
                <w:szCs w:val="21"/>
                <w:lang w:bidi="ar"/>
              </w:rPr>
              <w:t>25.74万</w:t>
            </w:r>
            <w:r>
              <w:rPr>
                <w:rFonts w:hint="eastAsia" w:ascii="Batang" w:hAnsi="Batang" w:eastAsia="Batang" w:cs="Batang"/>
                <w:kern w:val="0"/>
                <w:sz w:val="21"/>
                <w:szCs w:val="21"/>
                <w:lang w:bidi="ar"/>
              </w:rPr>
              <w:t>㎡</w:t>
            </w:r>
            <w:r>
              <w:rPr>
                <w:rFonts w:hint="eastAsia" w:ascii="方正兰亭纤黑简体" w:hAnsi="方正兰亭纤黑简体" w:eastAsia="方正兰亭纤黑简体" w:cs="方正兰亭纤黑简体"/>
                <w:kern w:val="0"/>
                <w:sz w:val="21"/>
                <w:szCs w:val="21"/>
                <w:lang w:bidi="ar"/>
              </w:rPr>
              <w:t>，拆除危旧房</w:t>
            </w:r>
            <w:r>
              <w:rPr>
                <w:rFonts w:hint="eastAsia" w:ascii="方正兰亭纤黑简体" w:hAnsi="仿宋" w:eastAsia="方正兰亭纤黑简体" w:cs="仿宋"/>
                <w:kern w:val="0"/>
                <w:sz w:val="21"/>
                <w:szCs w:val="21"/>
                <w:lang w:bidi="ar"/>
              </w:rPr>
              <w:t>5.1万</w:t>
            </w:r>
            <w:r>
              <w:rPr>
                <w:rFonts w:hint="eastAsia" w:ascii="Batang" w:hAnsi="Batang" w:eastAsia="Batang" w:cs="Batang"/>
                <w:kern w:val="0"/>
                <w:sz w:val="21"/>
                <w:szCs w:val="21"/>
                <w:lang w:bidi="ar"/>
              </w:rPr>
              <w:t>㎡</w:t>
            </w:r>
            <w:r>
              <w:rPr>
                <w:rFonts w:hint="eastAsia" w:ascii="方正兰亭纤黑简体" w:hAnsi="方正兰亭纤黑简体" w:eastAsia="方正兰亭纤黑简体" w:cs="方正兰亭纤黑简体"/>
                <w:kern w:val="0"/>
                <w:sz w:val="21"/>
                <w:szCs w:val="21"/>
                <w:lang w:bidi="ar"/>
              </w:rPr>
              <w:t>，改扩建市政道路、完善公共服务设施等。</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60000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60000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60000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ascii="方正兰亭纤黑简体" w:hAnsi="仿宋" w:eastAsia="方正兰亭纤黑简体" w:cs="仿宋"/>
                <w:kern w:val="0"/>
                <w:sz w:val="21"/>
                <w:szCs w:val="21"/>
                <w:lang w:bidi="ar"/>
              </w:rPr>
              <w:t>11</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东岳庙两岸老城更新项目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实施龙水镇东岳庙周边区域更新提升，项目占地面积约29.8万</w:t>
            </w:r>
            <w:r>
              <w:rPr>
                <w:rFonts w:hint="eastAsia" w:ascii="Batang" w:hAnsi="Batang" w:eastAsia="Batang" w:cs="Batang"/>
                <w:kern w:val="0"/>
                <w:sz w:val="21"/>
                <w:szCs w:val="21"/>
                <w:lang w:bidi="ar"/>
              </w:rPr>
              <w:t>㎡</w:t>
            </w:r>
            <w:r>
              <w:rPr>
                <w:rFonts w:hint="eastAsia" w:ascii="方正兰亭纤黑简体" w:hAnsi="方正兰亭纤黑简体" w:eastAsia="方正兰亭纤黑简体" w:cs="方正兰亭纤黑简体"/>
                <w:kern w:val="0"/>
                <w:sz w:val="21"/>
                <w:szCs w:val="21"/>
                <w:lang w:bidi="ar"/>
              </w:rPr>
              <w:t>，涉及改造老旧建筑</w:t>
            </w:r>
            <w:r>
              <w:rPr>
                <w:rFonts w:hint="eastAsia" w:ascii="方正兰亭纤黑简体" w:hAnsi="仿宋" w:eastAsia="方正兰亭纤黑简体" w:cs="仿宋"/>
                <w:kern w:val="0"/>
                <w:sz w:val="21"/>
                <w:szCs w:val="21"/>
                <w:lang w:bidi="ar"/>
              </w:rPr>
              <w:t>19.87万</w:t>
            </w:r>
            <w:r>
              <w:rPr>
                <w:rFonts w:hint="eastAsia" w:ascii="Batang" w:hAnsi="Batang" w:eastAsia="Batang" w:cs="Batang"/>
                <w:kern w:val="0"/>
                <w:sz w:val="21"/>
                <w:szCs w:val="21"/>
                <w:lang w:bidi="ar"/>
              </w:rPr>
              <w:t>㎡</w:t>
            </w:r>
            <w:r>
              <w:rPr>
                <w:rFonts w:hint="eastAsia" w:ascii="方正兰亭纤黑简体" w:hAnsi="方正兰亭纤黑简体" w:eastAsia="方正兰亭纤黑简体" w:cs="方正兰亭纤黑简体"/>
                <w:kern w:val="0"/>
                <w:sz w:val="21"/>
                <w:szCs w:val="21"/>
                <w:lang w:bidi="ar"/>
              </w:rPr>
              <w:t>，拆除危旧房</w:t>
            </w:r>
            <w:r>
              <w:rPr>
                <w:rFonts w:hint="eastAsia" w:ascii="方正兰亭纤黑简体" w:hAnsi="仿宋" w:eastAsia="方正兰亭纤黑简体" w:cs="仿宋"/>
                <w:kern w:val="0"/>
                <w:sz w:val="21"/>
                <w:szCs w:val="21"/>
                <w:lang w:bidi="ar"/>
              </w:rPr>
              <w:t>0.37万</w:t>
            </w:r>
            <w:r>
              <w:rPr>
                <w:rFonts w:hint="eastAsia" w:ascii="Batang" w:hAnsi="Batang" w:eastAsia="Batang" w:cs="Batang"/>
                <w:kern w:val="0"/>
                <w:sz w:val="21"/>
                <w:szCs w:val="21"/>
                <w:lang w:bidi="ar"/>
              </w:rPr>
              <w:t>㎡</w:t>
            </w:r>
            <w:r>
              <w:rPr>
                <w:rFonts w:hint="eastAsia" w:ascii="方正兰亭纤黑简体" w:hAnsi="方正兰亭纤黑简体" w:eastAsia="方正兰亭纤黑简体" w:cs="方正兰亭纤黑简体"/>
                <w:kern w:val="0"/>
                <w:sz w:val="21"/>
                <w:szCs w:val="21"/>
                <w:lang w:bidi="ar"/>
              </w:rPr>
              <w:t>，建设配套生活功能设施，改造道路品质，增设市政设施等。</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16970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16970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16970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ascii="方正兰亭纤黑简体" w:hAnsi="仿宋" w:eastAsia="方正兰亭纤黑简体" w:cs="仿宋"/>
                <w:kern w:val="0"/>
                <w:sz w:val="21"/>
                <w:szCs w:val="21"/>
                <w:lang w:bidi="ar"/>
              </w:rPr>
              <w:t>12</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公租房区域更新项目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实施龙水镇北部公租房区域更新提升，项目占地面积约52万</w:t>
            </w:r>
            <w:r>
              <w:rPr>
                <w:rFonts w:hint="eastAsia" w:ascii="Batang" w:hAnsi="Batang" w:eastAsia="Batang" w:cs="Batang"/>
                <w:kern w:val="0"/>
                <w:sz w:val="21"/>
                <w:szCs w:val="21"/>
                <w:lang w:bidi="ar"/>
              </w:rPr>
              <w:t>㎡</w:t>
            </w:r>
            <w:r>
              <w:rPr>
                <w:rFonts w:hint="eastAsia" w:ascii="方正兰亭纤黑简体" w:hAnsi="方正兰亭纤黑简体" w:eastAsia="方正兰亭纤黑简体" w:cs="方正兰亭纤黑简体"/>
                <w:kern w:val="0"/>
                <w:sz w:val="21"/>
                <w:szCs w:val="21"/>
                <w:lang w:bidi="ar"/>
              </w:rPr>
              <w:t>，项目涉及配套设施完善与公共空间配套提升等</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9000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9000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9000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w:t>
            </w:r>
            <w:r>
              <w:rPr>
                <w:rFonts w:ascii="方正兰亭纤黑简体" w:hAnsi="仿宋" w:eastAsia="方正兰亭纤黑简体" w:cs="仿宋"/>
                <w:kern w:val="0"/>
                <w:sz w:val="21"/>
                <w:szCs w:val="21"/>
                <w:lang w:bidi="ar"/>
              </w:rPr>
              <w:t>3</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老旧楼房沿街面立面改造及文化植入</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老旧楼房沿街面形象提升改造。</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w:t>
            </w:r>
            <w:r>
              <w:rPr>
                <w:rFonts w:ascii="方正兰亭纤黑简体" w:hAnsi="仿宋" w:eastAsia="方正兰亭纤黑简体" w:cs="仿宋"/>
                <w:kern w:val="0"/>
                <w:sz w:val="21"/>
                <w:szCs w:val="21"/>
                <w:lang w:bidi="ar"/>
              </w:rPr>
              <w:t>4</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龙岗城市更新项目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在五星大道与二环南路节点新建一座圆形钢箱梁人行天桥。改造老旧小区29个，涉及建筑面积47.55万平方米，住宅110栋，居民3636户。建设串联红星生态公园—南山郊野公园—南山石刻—龙景路约5.2公里步道及自行车道。</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17937</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17937</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17937</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r>
      <w:tr>
        <w:tblPrEx>
          <w:tblLayout w:type="fixed"/>
          <w:tblCellMar>
            <w:top w:w="0" w:type="dxa"/>
            <w:left w:w="108" w:type="dxa"/>
            <w:bottom w:w="0" w:type="dxa"/>
            <w:right w:w="108" w:type="dxa"/>
          </w:tblCellMar>
        </w:tblPrEx>
        <w:trPr>
          <w:trHeight w:val="630" w:hRule="atLeast"/>
        </w:trPr>
        <w:tc>
          <w:tcPr>
            <w:tcW w:w="14122" w:type="dxa"/>
            <w:gridSpan w:val="12"/>
            <w:tcBorders>
              <w:top w:val="single" w:color="auto" w:sz="4" w:space="0"/>
              <w:left w:val="single" w:color="auto" w:sz="4" w:space="0"/>
              <w:bottom w:val="single" w:color="auto" w:sz="4" w:space="0"/>
              <w:right w:val="single" w:color="auto" w:sz="4" w:space="0"/>
            </w:tcBorders>
            <w:shd w:val="clear" w:color="auto" w:fill="FFFFFF"/>
            <w:vAlign w:val="center"/>
          </w:tcPr>
          <w:p>
            <w:pPr>
              <w:ind w:firstLine="420"/>
              <w:jc w:val="center"/>
              <w:rPr>
                <w:sz w:val="18"/>
                <w:szCs w:val="18"/>
              </w:rPr>
            </w:pPr>
            <w:r>
              <w:rPr>
                <w:rFonts w:hint="eastAsia" w:ascii="方正兰亭纤黑简体" w:hAnsi="仿宋" w:eastAsia="方正兰亭纤黑简体" w:cs="仿宋"/>
                <w:kern w:val="0"/>
                <w:sz w:val="21"/>
                <w:szCs w:val="21"/>
                <w:lang w:bidi="ar"/>
              </w:rPr>
              <w:t>2.3棚户区</w:t>
            </w:r>
            <w:r>
              <w:rPr>
                <w:rFonts w:ascii="方正兰亭纤黑简体" w:hAnsi="仿宋" w:eastAsia="方正兰亭纤黑简体" w:cs="仿宋"/>
                <w:kern w:val="0"/>
                <w:sz w:val="21"/>
                <w:szCs w:val="21"/>
                <w:lang w:bidi="ar"/>
              </w:rPr>
              <w:t>改造</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水峰片区城中村改造及配套基础设施项目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发展集团</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总用地面积为13103.56平方米（约19.6亩），新新建总建筑面积29807.16平方米，其中居住建筑面积18657.12平方米（共提供安置房209套），商业建筑面积3293.10平方米，配套用房建筑面积265.67平方米，架空建筑面积233.64平方米，地下车库及设备用房建筑面积7357.63平方米.共设置209个停车位，其中地上停车位12个、地下停车位197个（含21个充电桩停车位）。主要建设内容包括土建、装饰装修、安装、室外综合管网、道路及硬质铺装、绿化、照明等基础设施的建设。</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16998</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16998</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16998</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三合、金星片区城中村改造及配套基础设施项目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发展集团</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新建安置房、配套商业、功能用房等约18万平方米。</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100668</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100668</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15570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85098</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东关市场棚户区改造</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城投集团</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该地块位于海棠大桥北桥头东侧，项目总用地面积3.2万平方米，建筑面积11.9万平方米。</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62000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62000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62000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覃家院子棚户区改造</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城投集团</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项目总用地面积1.25万平方米，建筑面积3.6万平方米。</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27000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27000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27000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烈士陵园片区棚户区改造</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城投集团</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位于龙岗翠屏社区（烈士陵园南侧、二环南路北侧），规划用地总面积65.04亩，其中：A地块33.99亩，B地块24.51亩，配套市政道路6.54亩，安置人口1290人。</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46000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46000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46000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龙岗片区城中村改造及配套基础设施项目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发展集团</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新建安置房、配套商业、功能用房等约11.2万平方米。</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62720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62720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62720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田坝、茅里堡片区城中村改造及配套基础设施项目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发展集团</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新建安置房、配套商业、功能用房等约14.8万平方米。</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82880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82880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82880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龙岗城市更新项目（西禅-翠屏片区）</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实施二环南路西段以南棚户区改造，实施范围占地面积63.64万</w:t>
            </w:r>
            <w:r>
              <w:rPr>
                <w:rFonts w:hint="eastAsia" w:ascii="Batang" w:hAnsi="Batang" w:eastAsia="Batang" w:cs="Batang"/>
                <w:kern w:val="0"/>
                <w:sz w:val="21"/>
                <w:szCs w:val="21"/>
                <w:lang w:bidi="ar"/>
              </w:rPr>
              <w:t>㎡</w:t>
            </w:r>
            <w:r>
              <w:rPr>
                <w:rFonts w:hint="eastAsia" w:ascii="方正兰亭纤黑简体" w:hAnsi="方正兰亭纤黑简体" w:eastAsia="方正兰亭纤黑简体" w:cs="方正兰亭纤黑简体"/>
                <w:kern w:val="0"/>
                <w:sz w:val="21"/>
                <w:szCs w:val="21"/>
                <w:lang w:bidi="ar"/>
              </w:rPr>
              <w:t>，项目涉及拆除危旧房</w:t>
            </w:r>
            <w:r>
              <w:rPr>
                <w:rFonts w:hint="eastAsia" w:ascii="方正兰亭纤黑简体" w:hAnsi="仿宋" w:eastAsia="方正兰亭纤黑简体" w:cs="仿宋"/>
                <w:kern w:val="0"/>
                <w:sz w:val="21"/>
                <w:szCs w:val="21"/>
                <w:lang w:bidi="ar"/>
              </w:rPr>
              <w:t>4.84万</w:t>
            </w:r>
            <w:r>
              <w:rPr>
                <w:rFonts w:hint="eastAsia" w:ascii="Batang" w:hAnsi="Batang" w:eastAsia="Batang" w:cs="Batang"/>
                <w:kern w:val="0"/>
                <w:sz w:val="21"/>
                <w:szCs w:val="21"/>
                <w:lang w:bidi="ar"/>
              </w:rPr>
              <w:t>㎡</w:t>
            </w:r>
            <w:r>
              <w:rPr>
                <w:rFonts w:hint="eastAsia" w:ascii="方正兰亭纤黑简体" w:hAnsi="方正兰亭纤黑简体" w:eastAsia="方正兰亭纤黑简体" w:cs="方正兰亭纤黑简体"/>
                <w:kern w:val="0"/>
                <w:sz w:val="21"/>
                <w:szCs w:val="21"/>
                <w:lang w:bidi="ar"/>
              </w:rPr>
              <w:t>，完善公共服务配套设施，城市街角用地。</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37000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37000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37000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9</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大足区龙水镇原东方机械厂棚户区抢险排危建设项目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发展集团</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本项目总建筑面积约105000平方米，建筑主要功能为住宅、商业、农贸市场、地下车库。住宅建筑面积67500平方米，商业建筑面积约7500平方米，农贸市场建筑面积约3000平方米。主要建设内容包括建筑工程、结构工程、室内装饰工程、给排水工程、电气工程等。</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34746</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34746</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34746</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r>
      <w:tr>
        <w:tblPrEx>
          <w:tblLayout w:type="fixed"/>
          <w:tblCellMar>
            <w:top w:w="0" w:type="dxa"/>
            <w:left w:w="108" w:type="dxa"/>
            <w:bottom w:w="0" w:type="dxa"/>
            <w:right w:w="108" w:type="dxa"/>
          </w:tblCellMar>
        </w:tblPrEx>
        <w:trPr>
          <w:trHeight w:val="630" w:hRule="atLeast"/>
        </w:trPr>
        <w:tc>
          <w:tcPr>
            <w:tcW w:w="14122" w:type="dxa"/>
            <w:gridSpan w:val="1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2.4公共</w:t>
            </w:r>
            <w:r>
              <w:rPr>
                <w:rFonts w:ascii="方正兰亭纤黑简体" w:hAnsi="仿宋" w:eastAsia="方正兰亭纤黑简体" w:cs="仿宋"/>
                <w:kern w:val="0"/>
                <w:sz w:val="21"/>
                <w:szCs w:val="21"/>
                <w:lang w:bidi="ar"/>
              </w:rPr>
              <w:t>服务设施建设——教育</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龙岗中学扩建工程</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龙岗中学</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新征地约6.3亩，新建教学楼、学生宿舍、地下车库及设备用房11855平方米，运动场及附属工程、设备设施。</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8102</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8102</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16970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8102</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2021</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龙水二小扩建工程</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龙水二小</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新征地约24亩，新建教学楼、地下车库、设备用房等总建筑面积约8000平方米，运动场及附属工程、设备设施。</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9149</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9149</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9149</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2021</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昌州小学运动场馆建设工程</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昌州小学</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新征用地18亩，用于建设运动场馆，新建体育馆2200平方米，及附属工程、设备设施。</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3224</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3224</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3224</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2021</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大围小学扩建工程</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大围小学</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新征地7.2亩，新建教学楼2100平方米，运动场，及附属工程、设备设施。</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2519</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2519</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2519</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2021</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海棠新城职业教育城④号项目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海棠新城管委会</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教学楼、食堂、宿舍、行政办公楼等建筑及管网设备，以及人防工程建设。</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80682</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80682</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80682</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2021</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大足中学实验教学楼及运动场建设工程</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区教委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总建筑面积约3860平方米，运动场面积约24000平方米，以及设备设施</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3500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3500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3500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荷棠幼儿园建设工程</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区教委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规划建设18个班540人，新征地20亩，新建园舍10000平方米，及运动场、附属设施和设备设施</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9500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9500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9500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重庆健康职业学院二期工程</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国资集团</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占地面积约350亩，建筑面积约22 万平方米，主要建设内容为：行政办公楼、教学楼、实训楼、图书馆、师生宿舍、室内体育馆、后勤用房、师生活动用房、食堂、门卫室及地下车库等。</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88359</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88359</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29679</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9</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海棠中学学生宿舍建设工程</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区教委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建设学生宿舍6600平方米和篮球场，以及设备设施</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4500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4500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4500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荷棠小学建设工程</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区教委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规划</w:t>
            </w:r>
            <w:r>
              <w:rPr>
                <w:rFonts w:hint="eastAsia" w:ascii="方正兰亭纤黑简体" w:hAnsi="仿宋" w:eastAsia="方正兰亭纤黑简体" w:cs="仿宋"/>
                <w:color w:val="FF0000"/>
                <w:kern w:val="0"/>
                <w:sz w:val="21"/>
                <w:szCs w:val="21"/>
                <w:lang w:bidi="ar"/>
              </w:rPr>
              <w:t>4</w:t>
            </w:r>
            <w:r>
              <w:rPr>
                <w:rFonts w:ascii="方正兰亭纤黑简体" w:hAnsi="仿宋" w:eastAsia="方正兰亭纤黑简体" w:cs="仿宋"/>
                <w:color w:val="FF0000"/>
                <w:kern w:val="0"/>
                <w:sz w:val="21"/>
                <w:szCs w:val="21"/>
                <w:lang w:bidi="ar"/>
              </w:rPr>
              <w:t>8</w:t>
            </w:r>
            <w:r>
              <w:rPr>
                <w:rFonts w:hint="eastAsia" w:ascii="方正兰亭纤黑简体" w:hAnsi="仿宋" w:eastAsia="方正兰亭纤黑简体" w:cs="仿宋"/>
                <w:color w:val="FF0000"/>
                <w:kern w:val="0"/>
                <w:sz w:val="21"/>
                <w:szCs w:val="21"/>
                <w:lang w:bidi="ar"/>
              </w:rPr>
              <w:t>个班</w:t>
            </w:r>
            <w:r>
              <w:rPr>
                <w:rFonts w:hint="eastAsia" w:ascii="方正兰亭纤黑简体" w:hAnsi="仿宋" w:eastAsia="方正兰亭纤黑简体" w:cs="仿宋"/>
                <w:kern w:val="0"/>
                <w:sz w:val="21"/>
                <w:szCs w:val="21"/>
                <w:lang w:bidi="ar"/>
              </w:rPr>
              <w:t>2000人，新征地71亩，总建筑面积约24200平方米，以及设备设施</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25000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25000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18000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11</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荷棠中学建设工程（大足三中迁建工程）</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区教委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规划48个班2400人，新征地约120亩，总建筑面积约50000平方米，以及设备设施</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35000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35000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28000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12</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龙水一小学生食堂和运动场建设工程</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区教委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新征地约10亩，建设食堂1000平方米和运动场，以及设备设施</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4800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4800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4800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13</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西禅小学扩建工程</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区教委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规划42个班1890人，新征地约25亩，总建筑面积约11986平方米，设备设施</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13683</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13683</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ascii="方正兰亭纤黑简体" w:hAnsi="仿宋" w:eastAsia="方正兰亭纤黑简体" w:cs="仿宋"/>
                <w:kern w:val="0"/>
                <w:sz w:val="21"/>
                <w:szCs w:val="21"/>
                <w:lang w:bidi="ar"/>
              </w:rPr>
              <w:t>13</w:t>
            </w:r>
            <w:r>
              <w:rPr>
                <w:rFonts w:hint="eastAsia" w:ascii="方正兰亭纤黑简体" w:hAnsi="仿宋" w:eastAsia="方正兰亭纤黑简体" w:cs="仿宋"/>
                <w:kern w:val="0"/>
                <w:sz w:val="21"/>
                <w:szCs w:val="21"/>
                <w:lang w:bidi="ar"/>
              </w:rPr>
              <w:t>683</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14</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田家炳中学第三教学楼及体育馆建设工程</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color w:val="FF0000"/>
                <w:kern w:val="0"/>
                <w:sz w:val="21"/>
                <w:szCs w:val="21"/>
                <w:lang w:bidi="ar"/>
              </w:rPr>
              <w:t>海棠</w:t>
            </w:r>
            <w:r>
              <w:rPr>
                <w:rFonts w:ascii="方正兰亭纤黑简体" w:hAnsi="仿宋" w:eastAsia="方正兰亭纤黑简体" w:cs="仿宋"/>
                <w:color w:val="FF0000"/>
                <w:kern w:val="0"/>
                <w:sz w:val="21"/>
                <w:szCs w:val="21"/>
                <w:lang w:bidi="ar"/>
              </w:rPr>
              <w:t>新城开发区</w:t>
            </w:r>
            <w:r>
              <w:rPr>
                <w:rFonts w:hint="eastAsia" w:ascii="方正兰亭纤黑简体" w:hAnsi="仿宋" w:eastAsia="方正兰亭纤黑简体" w:cs="仿宋"/>
                <w:color w:val="FF0000"/>
                <w:kern w:val="0"/>
                <w:sz w:val="21"/>
                <w:szCs w:val="21"/>
                <w:lang w:bidi="ar"/>
              </w:rPr>
              <w:t>/区教委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新建教学楼及体育馆约9180平方米，及附属工程及设备设施</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ascii="方正兰亭纤黑简体" w:hAnsi="仿宋" w:eastAsia="方正兰亭纤黑简体" w:cs="仿宋"/>
                <w:kern w:val="0"/>
                <w:sz w:val="21"/>
                <w:szCs w:val="21"/>
                <w:lang w:bidi="ar"/>
              </w:rPr>
              <w:t>6</w:t>
            </w:r>
            <w:r>
              <w:rPr>
                <w:rFonts w:hint="eastAsia" w:ascii="方正兰亭纤黑简体" w:hAnsi="仿宋" w:eastAsia="方正兰亭纤黑简体" w:cs="仿宋"/>
                <w:kern w:val="0"/>
                <w:sz w:val="21"/>
                <w:szCs w:val="21"/>
                <w:lang w:bidi="ar"/>
              </w:rPr>
              <w:t>000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15</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rPr>
                <w:rFonts w:ascii="方正兰亭纤黑简体" w:hAnsi="仿宋" w:eastAsia="方正兰亭纤黑简体" w:cs="仿宋"/>
                <w:kern w:val="0"/>
                <w:sz w:val="21"/>
                <w:szCs w:val="21"/>
                <w:lang w:bidi="ar"/>
              </w:rPr>
            </w:pPr>
            <w:r>
              <w:rPr>
                <w:rFonts w:ascii="方正兰亭纤黑简体" w:hAnsi="仿宋" w:eastAsia="方正兰亭纤黑简体" w:cs="仿宋"/>
                <w:kern w:val="0"/>
                <w:sz w:val="21"/>
                <w:szCs w:val="21"/>
                <w:lang w:bidi="ar"/>
              </w:rPr>
              <w:pict>
                <v:shape id="AutoShape 1" o:spid="_x0000_s3086" o:spt="75" type="#_x0000_t75" style="position:absolute;left:0pt;margin-left:0pt;margin-top:0pt;height:43.5pt;width:24pt;z-index:251661312;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087" o:spid="_x0000_s3087" o:spt="75" type="#_x0000_t75" style="position:absolute;left:0pt;margin-left:0pt;margin-top:0pt;height:43.5pt;width:24pt;z-index:251662336;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088" o:spid="_x0000_s3088" o:spt="75" type="#_x0000_t75" style="position:absolute;left:0pt;margin-left:0pt;margin-top:0pt;height:43.5pt;width:24pt;z-index:251663360;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089" o:spid="_x0000_s3089" o:spt="75" type="#_x0000_t75" style="position:absolute;left:0pt;margin-left:0pt;margin-top:0pt;height:43.5pt;width:24pt;z-index:251664384;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090" o:spid="_x0000_s3090" o:spt="75" type="#_x0000_t75" style="position:absolute;left:0pt;margin-left:0pt;margin-top:0pt;height:43.5pt;width:24pt;z-index:251665408;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091" o:spid="_x0000_s3091" o:spt="75" type="#_x0000_t75" style="position:absolute;left:0pt;margin-left:0pt;margin-top:0pt;height:43.5pt;width:24pt;z-index:251666432;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092" o:spid="_x0000_s3092" o:spt="75" type="#_x0000_t75" style="position:absolute;left:0pt;margin-left:0pt;margin-top:0pt;height:43.5pt;width:24pt;z-index:251667456;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093" o:spid="_x0000_s3093" o:spt="75" type="#_x0000_t75" style="position:absolute;left:0pt;margin-left:0pt;margin-top:0pt;height:43.5pt;width:24pt;z-index:251668480;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094" o:spid="_x0000_s3094" o:spt="75" type="#_x0000_t75" style="position:absolute;left:0pt;margin-left:0pt;margin-top:0pt;height:43.5pt;width:24pt;z-index:251669504;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095" o:spid="_x0000_s3095" o:spt="75" type="#_x0000_t75" style="position:absolute;left:0pt;margin-left:0pt;margin-top:0pt;height:43.5pt;width:24pt;z-index:251670528;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096" o:spid="_x0000_s3096" o:spt="75" type="#_x0000_t75" style="position:absolute;left:0pt;margin-left:0pt;margin-top:0pt;height:43.5pt;width:24pt;z-index:251671552;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097" o:spid="_x0000_s3097" o:spt="75" type="#_x0000_t75" style="position:absolute;left:0pt;margin-left:0pt;margin-top:0pt;height:43.5pt;width:24pt;z-index:251672576;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098" o:spid="_x0000_s3098" o:spt="75" type="#_x0000_t75" style="position:absolute;left:0pt;margin-left:0pt;margin-top:0pt;height:43.5pt;width:24pt;z-index:251673600;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099" o:spid="_x0000_s3099" o:spt="75" type="#_x0000_t75" style="position:absolute;left:0pt;margin-left:0pt;margin-top:0pt;height:43.5pt;width:24pt;z-index:251674624;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100" o:spid="_x0000_s3100" o:spt="75" type="#_x0000_t75" style="position:absolute;left:0pt;margin-left:0pt;margin-top:0pt;height:43.5pt;width:24pt;z-index:251675648;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101" o:spid="_x0000_s3101" o:spt="75" type="#_x0000_t75" style="position:absolute;left:0pt;margin-left:0pt;margin-top:0pt;height:43.5pt;width:24pt;z-index:251676672;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102" o:spid="_x0000_s3102" o:spt="75" type="#_x0000_t75" style="position:absolute;left:0pt;margin-left:0pt;margin-top:0pt;height:43.5pt;width:24pt;z-index:251677696;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103" o:spid="_x0000_s3103" o:spt="75" type="#_x0000_t75" style="position:absolute;left:0pt;margin-left:0pt;margin-top:0pt;height:43.5pt;width:24pt;z-index:251678720;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104" o:spid="_x0000_s3104" o:spt="75" type="#_x0000_t75" style="position:absolute;left:0pt;margin-left:0pt;margin-top:0pt;height:43.5pt;width:24pt;z-index:251679744;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105" o:spid="_x0000_s3105" o:spt="75" type="#_x0000_t75" style="position:absolute;left:0pt;margin-left:0pt;margin-top:0pt;height:43.5pt;width:24pt;z-index:251680768;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106" o:spid="_x0000_s3106" o:spt="75" type="#_x0000_t75" style="position:absolute;left:0pt;margin-left:0pt;margin-top:0pt;height:43.5pt;width:24pt;z-index:251681792;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107" o:spid="_x0000_s3107" o:spt="75" type="#_x0000_t75" style="position:absolute;left:0pt;margin-left:0pt;margin-top:0pt;height:43.5pt;width:24pt;z-index:251682816;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108" o:spid="_x0000_s3108" o:spt="75" type="#_x0000_t75" style="position:absolute;left:0pt;margin-left:0pt;margin-top:0pt;height:43.5pt;width:24pt;z-index:251683840;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109" o:spid="_x0000_s3109" o:spt="75" type="#_x0000_t75" style="position:absolute;left:0pt;margin-left:0pt;margin-top:0pt;height:43.5pt;width:24pt;z-index:251684864;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110" o:spid="_x0000_s3110" o:spt="75" type="#_x0000_t75" style="position:absolute;left:0pt;margin-left:0pt;margin-top:0pt;height:43.5pt;width:24pt;z-index:251685888;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111" o:spid="_x0000_s3111" o:spt="75" type="#_x0000_t75" style="position:absolute;left:0pt;margin-left:0pt;margin-top:0pt;height:42pt;width:24pt;z-index:251686912;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">
                  <v:path/>
                  <v:fill on="f" focussize="0,0"/>
                  <v:stroke on="f" joinstyle="miter"/>
                  <v:imagedata r:id="rId29" o:title=""/>
                  <o:lock v:ext="edit" aspectratio="t"/>
                </v:shape>
              </w:pict>
            </w:r>
            <w:r>
              <w:rPr>
                <w:rFonts w:ascii="方正兰亭纤黑简体" w:hAnsi="仿宋" w:eastAsia="方正兰亭纤黑简体" w:cs="仿宋"/>
                <w:kern w:val="0"/>
                <w:sz w:val="21"/>
                <w:szCs w:val="21"/>
                <w:lang w:bidi="ar"/>
              </w:rPr>
              <w:pict>
                <v:shape id="_x0000_s3112" o:spid="_x0000_s3112" o:spt="75" type="#_x0000_t75" style="position:absolute;left:0pt;margin-left:0pt;margin-top:0pt;height:43.5pt;width:24pt;z-index:251687936;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113" o:spid="_x0000_s3113" o:spt="75" type="#_x0000_t75" style="position:absolute;left:0pt;margin-left:0pt;margin-top:0pt;height:43.5pt;width:24pt;z-index:251688960;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114" o:spid="_x0000_s3114" o:spt="75" type="#_x0000_t75" style="position:absolute;left:0pt;margin-left:0pt;margin-top:0pt;height:43.5pt;width:24pt;z-index:251689984;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115" o:spid="_x0000_s3115" o:spt="75" type="#_x0000_t75" style="position:absolute;left:0pt;margin-left:0pt;margin-top:0pt;height:43.5pt;width:24pt;z-index:251691008;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116" o:spid="_x0000_s3116" o:spt="75" type="#_x0000_t75" style="position:absolute;left:0pt;margin-left:0pt;margin-top:0pt;height:43.5pt;width:24pt;z-index:251692032;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117" o:spid="_x0000_s3117" o:spt="75" type="#_x0000_t75" style="position:absolute;left:0pt;margin-left:0pt;margin-top:0pt;height:43.5pt;width:24pt;z-index:251693056;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118" o:spid="_x0000_s3118" o:spt="75" type="#_x0000_t75" style="position:absolute;left:0pt;margin-left:0pt;margin-top:0pt;height:43.5pt;width:24pt;z-index:251694080;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119" o:spid="_x0000_s3119" o:spt="75" type="#_x0000_t75" style="position:absolute;left:0pt;margin-left:0pt;margin-top:0pt;height:43.5pt;width:24pt;z-index:251695104;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120" o:spid="_x0000_s3120" o:spt="75" type="#_x0000_t75" style="position:absolute;left:0pt;margin-left:0pt;margin-top:0pt;height:43.5pt;width:24pt;z-index:251696128;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121" o:spid="_x0000_s3121" o:spt="75" type="#_x0000_t75" style="position:absolute;left:0pt;margin-left:0pt;margin-top:0pt;height:43.5pt;width:24pt;z-index:251697152;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122" o:spid="_x0000_s3122" o:spt="75" type="#_x0000_t75" style="position:absolute;left:0pt;margin-left:0pt;margin-top:0pt;height:43.5pt;width:24pt;z-index:251698176;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123" o:spid="_x0000_s3123" o:spt="75" type="#_x0000_t75" style="position:absolute;left:0pt;margin-left:0pt;margin-top:0pt;height:43.5pt;width:24pt;z-index:251699200;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124" o:spid="_x0000_s3124" o:spt="75" type="#_x0000_t75" style="position:absolute;left:0pt;margin-left:0pt;margin-top:0pt;height:43.5pt;width:24pt;z-index:251700224;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125" o:spid="_x0000_s3125" o:spt="75" type="#_x0000_t75" style="position:absolute;left:0pt;margin-left:0pt;margin-top:0pt;height:43.5pt;width:24pt;z-index:251701248;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126" o:spid="_x0000_s3126" o:spt="75" type="#_x0000_t75" style="position:absolute;left:0pt;margin-left:0pt;margin-top:0pt;height:43.5pt;width:24pt;z-index:251702272;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127" o:spid="_x0000_s3127" o:spt="75" type="#_x0000_t75" style="position:absolute;left:0pt;margin-left:0pt;margin-top:0pt;height:43.5pt;width:24pt;z-index:251703296;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128" o:spid="_x0000_s3128" o:spt="75" type="#_x0000_t75" style="position:absolute;left:0pt;margin-left:0pt;margin-top:0pt;height:43.5pt;width:24pt;z-index:251704320;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129" o:spid="_x0000_s3129" o:spt="75" type="#_x0000_t75" style="position:absolute;left:0pt;margin-left:0pt;margin-top:0pt;height:43.5pt;width:24pt;z-index:251705344;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130" o:spid="_x0000_s3130" o:spt="75" type="#_x0000_t75" style="position:absolute;left:0pt;margin-left:0pt;margin-top:0pt;height:43.5pt;width:24pt;z-index:251706368;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131" o:spid="_x0000_s3131" o:spt="75" type="#_x0000_t75" style="position:absolute;left:0pt;margin-left:0pt;margin-top:0pt;height:43.5pt;width:24pt;z-index:251707392;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132" o:spid="_x0000_s3132" o:spt="75" type="#_x0000_t75" style="position:absolute;left:0pt;margin-left:0pt;margin-top:0pt;height:43.5pt;width:24pt;z-index:251708416;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133" o:spid="_x0000_s3133" o:spt="75" type="#_x0000_t75" style="position:absolute;left:0pt;margin-left:0pt;margin-top:0pt;height:43.5pt;width:24pt;z-index:251709440;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134" o:spid="_x0000_s3134" o:spt="75" type="#_x0000_t75" style="position:absolute;left:0pt;margin-left:0pt;margin-top:0pt;height:43.5pt;width:24pt;z-index:251710464;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">
                  <v:path/>
                  <v:fill on="f" focussize="0,0"/>
                  <v:stroke on="f" joinstyle="miter"/>
                  <v:imagedata r:id="rId28" o:title=""/>
                  <o:lock v:ext="edit" aspectratio="t"/>
                </v:shape>
              </w:pict>
            </w:r>
            <w:r>
              <w:rPr>
                <w:rFonts w:ascii="方正兰亭纤黑简体" w:hAnsi="仿宋" w:eastAsia="方正兰亭纤黑简体" w:cs="仿宋"/>
                <w:kern w:val="0"/>
                <w:sz w:val="21"/>
                <w:szCs w:val="21"/>
                <w:lang w:bidi="ar"/>
              </w:rPr>
              <w:pict>
                <v:shape id="_x0000_s3135" o:spid="_x0000_s3135" o:spt="75" type="#_x0000_t75" style="position:absolute;left:0pt;margin-left:0pt;margin-top:0pt;height:43.5pt;width:24pt;z-index:251711488;mso-width-relative:page;mso-height-relative:page;" filled="f" o:preferrelative="t" stroked="f" o:insetmode="auto" coordsize="21600,21600" o:gfxdata="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">
                  <v:path/>
                  <v:fill on="f" focussize="0,0"/>
                  <v:stroke on="f" joinstyle="miter"/>
                  <v:imagedata r:id="rId28" o:title=""/>
                  <o:lock v:ext="edit" aspectratio="t"/>
                </v:shape>
              </w:pict>
            </w:r>
            <w:r>
              <w:rPr>
                <w:rFonts w:hint="eastAsia" w:ascii="方正兰亭纤黑简体" w:hAnsi="仿宋" w:eastAsia="方正兰亭纤黑简体" w:cs="仿宋"/>
                <w:kern w:val="0"/>
                <w:sz w:val="21"/>
                <w:szCs w:val="21"/>
                <w:lang w:bidi="ar"/>
              </w:rPr>
              <w:t>职教中心实训楼及体育馆建设工程</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color w:val="FF0000"/>
                <w:kern w:val="0"/>
                <w:sz w:val="21"/>
                <w:szCs w:val="21"/>
                <w:lang w:bidi="ar"/>
              </w:rPr>
              <w:t>海棠</w:t>
            </w:r>
            <w:r>
              <w:rPr>
                <w:rFonts w:ascii="方正兰亭纤黑简体" w:hAnsi="仿宋" w:eastAsia="方正兰亭纤黑简体" w:cs="仿宋"/>
                <w:color w:val="FF0000"/>
                <w:kern w:val="0"/>
                <w:sz w:val="21"/>
                <w:szCs w:val="21"/>
                <w:lang w:bidi="ar"/>
              </w:rPr>
              <w:t>新城开发区</w:t>
            </w:r>
            <w:r>
              <w:rPr>
                <w:rFonts w:hint="eastAsia" w:ascii="方正兰亭纤黑简体" w:hAnsi="仿宋" w:eastAsia="方正兰亭纤黑简体" w:cs="仿宋"/>
                <w:color w:val="FF0000"/>
                <w:kern w:val="0"/>
                <w:sz w:val="21"/>
                <w:szCs w:val="21"/>
                <w:lang w:bidi="ar"/>
              </w:rPr>
              <w:t>/区教委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总建筑面积1.5万平方米，以及设备设施</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7500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7500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ascii="方正兰亭纤黑简体" w:hAnsi="仿宋" w:eastAsia="方正兰亭纤黑简体" w:cs="仿宋"/>
                <w:kern w:val="0"/>
                <w:sz w:val="21"/>
                <w:szCs w:val="21"/>
                <w:lang w:bidi="ar"/>
              </w:rPr>
              <w:t>7</w:t>
            </w:r>
            <w:r>
              <w:rPr>
                <w:rFonts w:hint="eastAsia" w:ascii="方正兰亭纤黑简体" w:hAnsi="仿宋" w:eastAsia="方正兰亭纤黑简体" w:cs="仿宋"/>
                <w:kern w:val="0"/>
                <w:sz w:val="21"/>
                <w:szCs w:val="21"/>
                <w:lang w:bidi="ar"/>
              </w:rPr>
              <w:t>500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16</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义务教育薄弱环节改善与能力提升工程（食堂及功能室等建设）</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区教委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纳入了全区“义务教育薄弱环节改善与能力提升工程”规划中的学校食堂和功能室、运动场等建设项目，及设备设施配置</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17</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中小学幼儿园校舍维修工程</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区教委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根据校舍维修长效保障机制，对全区中小学幼儿园校舍进行维修，对新移交谢的小区配套幼儿园进行装修。</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7500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7500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7500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18</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五星学校</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海棠新城开发区/区教委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规划54个班2500人，新征地85亩，总建筑面积约3.25万平方米，以及设备设施</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32000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32000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32000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19</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宝顶镇希望小学扩建</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海棠新城开发区/区教委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新征地15亩，新建校舍面积6000平方米，运动场及附属工程，设备设施。</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6000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棠香小学建设工程</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区教委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新开工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规划48个班2160人，新征地70亩，总建筑面积约24200平方米，以及设备设施</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25000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25000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25000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21</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棠香中学建设工程</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区教委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新开工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规划48个班2400人，新征地约120亩，总建筑面积约50000平方米，以及设备设施</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33000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33000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33000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22</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大足一中扩建工程</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区教委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新开工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新征地20亩，新建学生宿舍2500平方米，新建体育馆2000平方米，及游泳池、附属工程及设备设施</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4000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23</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大足石刻学院建设工程</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区教委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新征地500亩，新建校舍面积20000平方米，及附属工程、设备设施</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2027</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24</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小区配套幼儿园装修工程</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相关幼儿园</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装修吾悦广场、棠荣府移交小区配套幼儿园约8000平方米，及附属工程和设备设施。</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2027</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25</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沙桥小学扩建二期工程</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区教委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新征地5亩，新建校舍2000平方米，及附属工程、设备设施。</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630" w:hRule="atLeast"/>
        </w:trPr>
        <w:tc>
          <w:tcPr>
            <w:tcW w:w="14122" w:type="dxa"/>
            <w:gridSpan w:val="1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2.5 公共服务设施建设——医疗</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龙岗中心卫生院业务综合楼改建项目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龙岗中心卫生院</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完成设施设备配套。</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3983</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3983</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983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2021</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大足区人民医院业务综合楼</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区人民医院</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总建筑面积28500平方米，包含业务楼建筑面积23500平方米、学员宿舍楼5000平方米及医院西北侧市政道路工程和一二期地下连接通道。</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15187</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15187</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13000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2187</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人民医院业务综合楼工程医疗服务配套设施项目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区人民医院</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2.8万平方米建筑的配套设施设备、家具用具，医疗污水治理等。</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8000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第二人民医院迁建项目一期</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区第二人民医院</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总建筑面积47458平方米，门诊急诊部、医技用房、保障用房、住院用房。</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27485</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7485</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4485</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2018</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第二人民医院迁建工程医疗服务配套设施项目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区第二人民医院</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医疗信息化软件，手术室、ICU、供应室等特殊科室装修，购办公家具，医疗设备。</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11300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11300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8000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3300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优抚医院建设项目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区退役军人事务局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项目用地面积6944平方米，总建筑面积2.5万平方米，建设床位规模500张。</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7500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7500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6000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1500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2021</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cs="仿宋"/>
                <w:color w:val="FF0000"/>
                <w:kern w:val="0"/>
                <w:sz w:val="21"/>
                <w:szCs w:val="21"/>
                <w:lang w:bidi="ar"/>
              </w:rPr>
            </w:pPr>
            <w:r>
              <w:rPr>
                <w:rFonts w:ascii="方正兰亭纤黑简体" w:hAnsi="仿宋" w:eastAsia="方正兰亭纤黑简体" w:cs="仿宋"/>
                <w:color w:val="FF0000"/>
                <w:kern w:val="0"/>
                <w:sz w:val="21"/>
                <w:szCs w:val="21"/>
                <w:lang w:bidi="ar"/>
              </w:rPr>
              <w:t>7</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left"/>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中医院</w:t>
            </w:r>
            <w:r>
              <w:rPr>
                <w:rFonts w:ascii="方正兰亭纤黑简体" w:hAnsi="仿宋" w:eastAsia="方正兰亭纤黑简体" w:cs="仿宋"/>
                <w:color w:val="FF0000"/>
                <w:kern w:val="0"/>
                <w:sz w:val="21"/>
                <w:szCs w:val="21"/>
                <w:lang w:bidi="ar"/>
              </w:rPr>
              <w:t>特色重点医院</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海棠新城开发区/区卫生健康委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占地面积约7.7亩，建筑面积约3.6万平方米，主要建设内容为一号楼（</w:t>
            </w:r>
            <w:r>
              <w:rPr>
                <w:rFonts w:hint="eastAsia" w:ascii="方正兰亭纤黑简体" w:hAnsi="仿宋" w:eastAsia="方正兰亭纤黑简体" w:cs="仿宋"/>
                <w:color w:val="FF0000"/>
                <w:kern w:val="0"/>
                <w:sz w:val="21"/>
                <w:szCs w:val="21"/>
                <w:lang w:eastAsia="zh-CN" w:bidi="ar"/>
              </w:rPr>
              <w:t>老干部局</w:t>
            </w:r>
            <w:r>
              <w:rPr>
                <w:rFonts w:hint="eastAsia" w:ascii="方正兰亭纤黑简体" w:hAnsi="仿宋" w:eastAsia="方正兰亭纤黑简体" w:cs="仿宋"/>
                <w:color w:val="FF0000"/>
                <w:kern w:val="0"/>
                <w:sz w:val="21"/>
                <w:szCs w:val="21"/>
                <w:lang w:bidi="ar"/>
              </w:rPr>
              <w:t>），负一、二层为设备用房，及部分医用设备采购。</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33900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left"/>
              <w:rPr>
                <w:rFonts w:hint="eastAsia" w:ascii="方正兰亭纤黑简体" w:hAnsi="仿宋" w:eastAsia="方正兰亭纤黑简体" w:cs="仿宋"/>
                <w:color w:val="FF0000"/>
                <w:kern w:val="0"/>
                <w:sz w:val="21"/>
                <w:szCs w:val="21"/>
                <w:lang w:bidi="ar"/>
              </w:rPr>
            </w:pP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color w:val="FF0000"/>
                <w:kern w:val="0"/>
                <w:sz w:val="21"/>
                <w:szCs w:val="21"/>
                <w:lang w:bidi="ar"/>
              </w:rPr>
            </w:pP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2023</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ascii="方正兰亭纤黑简体" w:hAnsi="仿宋" w:eastAsia="方正兰亭纤黑简体" w:cs="仿宋"/>
                <w:kern w:val="0"/>
                <w:sz w:val="21"/>
                <w:szCs w:val="21"/>
                <w:lang w:bidi="ar"/>
              </w:rPr>
              <w:t>8</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疾病预防控制中心实验室能力提升</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区卫生健康委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购置相应检验设备约21台（套）</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1344</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1344</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645</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161</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9</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w:t>
            </w:r>
            <w:r>
              <w:rPr>
                <w:rFonts w:ascii="方正兰亭纤黑简体" w:hAnsi="仿宋" w:eastAsia="方正兰亭纤黑简体" w:cs="仿宋"/>
                <w:kern w:val="0"/>
                <w:sz w:val="21"/>
                <w:szCs w:val="21"/>
                <w:lang w:bidi="ar"/>
              </w:rPr>
              <w:t>0</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left"/>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疾病预防控制中心实验室能力提升项目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w:t>
            </w:r>
            <w:r>
              <w:rPr>
                <w:rFonts w:ascii="方正兰亭纤黑简体" w:hAnsi="仿宋" w:eastAsia="方正兰亭纤黑简体" w:cs="仿宋"/>
                <w:kern w:val="0"/>
                <w:sz w:val="21"/>
                <w:szCs w:val="21"/>
                <w:lang w:bidi="ar"/>
              </w:rPr>
              <w:t>疾控中心</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购置相应检验设备约21台（套），搬迁原设备后室内改建及外墙排危等。</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1344</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1344</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1075</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269</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w:t>
            </w:r>
            <w:r>
              <w:rPr>
                <w:rFonts w:ascii="方正兰亭纤黑简体" w:hAnsi="仿宋" w:eastAsia="方正兰亭纤黑简体" w:cs="仿宋"/>
                <w:kern w:val="0"/>
                <w:sz w:val="21"/>
                <w:szCs w:val="21"/>
                <w:lang w:bidi="ar"/>
              </w:rPr>
              <w:t>1</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区域医疗康养中心（医疗中心）</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海棠新城开发区/区卫生健康委/区中医院</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建设地点位于高铁新城，占地面积约114亩，建筑面积约6万平方米，主要承接体检、医疗、培训、康养等服务。</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56000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56000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56000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w:t>
            </w:r>
            <w:r>
              <w:rPr>
                <w:rFonts w:ascii="方正兰亭纤黑简体" w:hAnsi="仿宋" w:eastAsia="方正兰亭纤黑简体" w:cs="仿宋"/>
                <w:kern w:val="0"/>
                <w:sz w:val="21"/>
                <w:szCs w:val="21"/>
                <w:lang w:bidi="ar"/>
              </w:rPr>
              <w:t>2</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医学影像临床检验中心</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区人民医院</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新建设2万平方米的大足区医学影像临床检验中心，包括检验实验室、CT室、DR室等。</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12000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12000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9600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2400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w:t>
            </w:r>
            <w:r>
              <w:rPr>
                <w:rFonts w:ascii="方正兰亭纤黑简体" w:hAnsi="仿宋" w:eastAsia="方正兰亭纤黑简体" w:cs="仿宋"/>
                <w:kern w:val="0"/>
                <w:sz w:val="21"/>
                <w:szCs w:val="21"/>
                <w:lang w:bidi="ar"/>
              </w:rPr>
              <w:t>3</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人民医院医共体信息平台及配套设备</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区卫生健康委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17家医共体信息交换平台及业务管理系统、区域远程医疗、相关网络安全及硬件设施</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2400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2400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2400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w:t>
            </w:r>
            <w:r>
              <w:rPr>
                <w:rFonts w:ascii="方正兰亭纤黑简体" w:hAnsi="仿宋" w:eastAsia="方正兰亭纤黑简体" w:cs="仿宋"/>
                <w:kern w:val="0"/>
                <w:sz w:val="21"/>
                <w:szCs w:val="21"/>
                <w:lang w:bidi="ar"/>
              </w:rPr>
              <w:t>4</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大足区人民医院科教楼建设项目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区卫生健康委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本项目由科教、实训基地和中心实验室组成，总建筑面积约9400平方米，其中地上建筑面积6600平方米，地下建筑面积2800平方米。主要建设内容包括土建工程、安装工程、装饰工程，园林景观和相应附属配套工程及购置相关科教、实训、实验室设施设备等。</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12035</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12035</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9035</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w:t>
            </w:r>
            <w:r>
              <w:rPr>
                <w:rFonts w:ascii="方正兰亭纤黑简体" w:hAnsi="仿宋" w:eastAsia="方正兰亭纤黑简体" w:cs="仿宋"/>
                <w:kern w:val="0"/>
                <w:sz w:val="21"/>
                <w:szCs w:val="21"/>
                <w:lang w:bidi="ar"/>
              </w:rPr>
              <w:t>5</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棠香中心卫生院迁建项目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区卫生健康委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政府划拨建设用地30亩，按照标准化卫生院（社区卫生服务中心）设计、建设规范新建12000平方米的业务综合用房</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12000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12000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12000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w:t>
            </w:r>
            <w:r>
              <w:rPr>
                <w:rFonts w:ascii="方正兰亭纤黑简体" w:hAnsi="仿宋" w:eastAsia="方正兰亭纤黑简体" w:cs="仿宋"/>
                <w:kern w:val="0"/>
                <w:sz w:val="21"/>
                <w:szCs w:val="21"/>
                <w:lang w:bidi="ar"/>
              </w:rPr>
              <w:t>6</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重庆市大足区中医院优势病种研究应用中心</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区卫生健康委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主要建设内容为学术报告厅、理论课教室、图书室、电子阅览室；急救、外科、内科等专业性技能实训中心、内科、外科等专业性教研室；石学敏院士“国医大师”传承工作室、唐祖宣“国医大师”传承工作室、张英泽院士骨科创新成果应用基地、方邦江岐黄学者名医工作室；李玲辉全国基层名老中医药专家工作室、陈昌仁重庆市名老中医药工作室、刘臣华重庆市名老中医药工作室等。拟改建面积7879</w:t>
            </w:r>
            <w:r>
              <w:rPr>
                <w:rFonts w:hint="eastAsia" w:ascii="Batang" w:hAnsi="Batang" w:eastAsia="Batang" w:cs="Batang"/>
                <w:kern w:val="0"/>
                <w:sz w:val="21"/>
                <w:szCs w:val="21"/>
                <w:lang w:bidi="ar"/>
              </w:rPr>
              <w:t>㎡</w:t>
            </w:r>
            <w:r>
              <w:rPr>
                <w:rFonts w:hint="eastAsia" w:ascii="方正兰亭纤黑简体" w:hAnsi="方正兰亭纤黑简体" w:eastAsia="方正兰亭纤黑简体" w:cs="方正兰亭纤黑简体"/>
                <w:kern w:val="0"/>
                <w:sz w:val="21"/>
                <w:szCs w:val="21"/>
                <w:lang w:bidi="ar"/>
              </w:rPr>
              <w:t>，包括但不限于装修工程、给排水工程、电气工程、灯饰工程、暖</w:t>
            </w:r>
            <w:r>
              <w:rPr>
                <w:rFonts w:hint="eastAsia" w:ascii="方正兰亭纤黑简体" w:hAnsi="仿宋" w:eastAsia="方正兰亭纤黑简体" w:cs="仿宋"/>
                <w:kern w:val="0"/>
                <w:sz w:val="21"/>
                <w:szCs w:val="21"/>
                <w:lang w:bidi="ar"/>
              </w:rPr>
              <w:t>通、空调工程、消防工程、节能工程、综合管网、智能化工程、外市电工程、绿化景观工程、电梯、教学教研设备等配套附属设施。</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6700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6700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6700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w:t>
            </w:r>
            <w:r>
              <w:rPr>
                <w:rFonts w:ascii="方正兰亭纤黑简体" w:hAnsi="仿宋" w:eastAsia="方正兰亭纤黑简体" w:cs="仿宋"/>
                <w:kern w:val="0"/>
                <w:sz w:val="21"/>
                <w:szCs w:val="21"/>
                <w:lang w:bidi="ar"/>
              </w:rPr>
              <w:t>7</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大足区急诊急救医疗中心建设项目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区卫生健康委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总建筑面积13085平方米，其中地上8585平方米，地下4500平方米；。建设内容包括土建工程、安装工程和相应附属配套工程及购置相关办公、医疗设施设备等。</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14685</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14685</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11685</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w:t>
            </w:r>
            <w:r>
              <w:rPr>
                <w:rFonts w:ascii="方正兰亭纤黑简体" w:hAnsi="仿宋" w:eastAsia="方正兰亭纤黑简体" w:cs="仿宋"/>
                <w:kern w:val="0"/>
                <w:sz w:val="21"/>
                <w:szCs w:val="21"/>
                <w:lang w:bidi="ar"/>
              </w:rPr>
              <w:t>8</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大足区公共卫生医疗救治中心</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区卫生健康委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计划征地50亩，建设3.6万平方米的公共卫生医疗救治中心，设置床位300张，购置相应设备装备</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24000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6000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ascii="方正兰亭纤黑简体" w:hAnsi="仿宋" w:eastAsia="方正兰亭纤黑简体" w:cs="仿宋"/>
                <w:kern w:val="0"/>
                <w:sz w:val="21"/>
                <w:szCs w:val="21"/>
                <w:lang w:bidi="ar"/>
              </w:rPr>
              <w:t>19</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第二人民医院医养中心建设工程</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区卫生健康委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利用35亩存量建设用地，建设5万平方米，设置床位1600张的医养中心</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6000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24000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w:t>
            </w:r>
            <w:r>
              <w:rPr>
                <w:rFonts w:ascii="方正兰亭纤黑简体" w:hAnsi="仿宋" w:eastAsia="方正兰亭纤黑简体" w:cs="仿宋"/>
                <w:kern w:val="0"/>
                <w:sz w:val="21"/>
                <w:szCs w:val="21"/>
                <w:lang w:bidi="ar"/>
              </w:rPr>
              <w:t>0</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妇幼保健院附属设施改造项目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区卫生健康委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住院部投用后需扩建提升污水处理能力；门诊综合楼外墙瓷砖大面积脱落，拟进行整体改造为外墙漆。</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250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250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250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r>
      <w:tr>
        <w:tblPrEx>
          <w:tblLayout w:type="fixed"/>
          <w:tblCellMar>
            <w:top w:w="0" w:type="dxa"/>
            <w:left w:w="108" w:type="dxa"/>
            <w:bottom w:w="0" w:type="dxa"/>
            <w:right w:w="108" w:type="dxa"/>
          </w:tblCellMar>
        </w:tblPrEx>
        <w:trPr>
          <w:trHeight w:val="630" w:hRule="atLeast"/>
        </w:trPr>
        <w:tc>
          <w:tcPr>
            <w:tcW w:w="14122" w:type="dxa"/>
            <w:gridSpan w:val="1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三</w:t>
            </w:r>
            <w:r>
              <w:rPr>
                <w:rFonts w:ascii="方正兰亭纤黑简体" w:hAnsi="仿宋" w:eastAsia="方正兰亭纤黑简体" w:cs="仿宋"/>
                <w:kern w:val="0"/>
                <w:sz w:val="21"/>
                <w:szCs w:val="21"/>
                <w:lang w:bidi="ar"/>
              </w:rPr>
              <w:t>、园林绿化</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城区闲置地口袋公园建设</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区园林管理所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城区闲置地建口袋公园（约10000平方米）约200万元；</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法治文化主题公园</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司法局、区城市管理局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以现代信息技术与传统方式相结合，在现有圣迹公园或海棠湖公园植入法治文化元素，充分展现和深入诠释习近平法治思想和宪法、民法典、刑法等主要法律精神，为申报市级和全国法治宣传教育示范基地、创建法治政府示范区奠定坚实基础。</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城区园林绿化工程</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区园林所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城区园林绿化补缺提质（含树圈改造2560个、交通岛提质改造4800平方米）；城区闲置地约11300平方米）建景观绿化带、游园、口袋公园等；城区游园、绿化带的市政基础设施维修维护；城区坡坎崖绿化美化。</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1200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1200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1200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大足区高速路下道口生态品质提升</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区园林所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对大足区各个高速路下道口进行绿化基础设施品质提升。</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450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450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450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天宫河片区开发环境建设项目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海棠新城管委会</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建设面积约400亩，主体为湿地公园，包括周边地面铺装、水域、景观小品、植物配置（湿地植物专项配置）、运动设施、停车场、户外设施、绿化工程、给排水及景观照明、标识标牌和相关经营设施。</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37100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37100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37100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城市公园维修维护</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区公园管理所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包括对城区人民公园等老旧公园进行景观及设施提档升级，坡坎崖绿化、美化，围绕各公园文化主题进行景观升级改造以及植物文化创新等。</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1800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1800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1800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大足南山公园改造项目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区城市管理局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新建南山公园入口牌坊3个；2.新建景观道路约1.5km（消防通道）及沿线环境整治；3.新建公厕2座、景观亭4个；4.对约4km步行道采用彩色透水砖和彩色透水混凝土改造建设及景观节点铺装建设；5.完善步行道沿线消防设施、垃圾桶、座椅、标识牌等配套设施；6.新增主次干道、步行道、景观节点照明设施，修复因建设路灯线路损坏的绿化景观及其他设施；7.山顶回车场道路过窄，增设护栏和堡坎。</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1894</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1894</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1894</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重庆市大足区化龙溪流域综合整治项目（河道整治及绿化）</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color w:val="FF0000"/>
                <w:kern w:val="0"/>
                <w:sz w:val="21"/>
                <w:szCs w:val="21"/>
                <w:lang w:bidi="ar"/>
              </w:rPr>
              <w:t>海棠新城开发区/区水利局/区城管局/区住房城乡建委/区规资局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建设地点位于宝顶镇、棠香街道，占地面积约1620亩，河道长度7.8公里，项目以化龙溪为主线，对流域、绿化、管网、照明、河道整治、周边绿化环境等综合整治提升开发。</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239000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239000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239000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9</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天宫河片区景城融合项目一期（海棠公园二期）</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海棠新城开发区</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建设地点位于智凤镇茅里堡社区、智凤镇田坝社区，占地面积约249亩，建设内容包括土石方工程、景观工程、建筑工程、桥梁工程、绿化工程、安装工程、拦河堰工程、水体范围防渗处理工程等。</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31000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31000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31000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大足区大南山片区综合提升项目（西下道口至东厅绿廊）</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海棠新城开发区</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连接南山至海棠公园的城市绿廊，位于三环南路三合片区。</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14000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14000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14000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11</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文创园大内高速三驱下道口生态品质提升工程</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大足石科文创园/高科集团</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约1万平方米绿化及约50亩五彩田园建设及养护，公共艺术、管网及基础设施配套建设。</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800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800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800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2023</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12</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智凤街道健身步道、文化体育公园</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区文化旅游委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新建城区至智凤段濑溪河畔健身步道10公里和文化体育公园</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13</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高铁文化公园</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待定</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14</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鉴湖文化公园</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待定</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15</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湖湾社区公园带</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待定</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15</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香国公园增扩建工程</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待定</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16</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西禅公园增扩建工程</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待定</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17</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城南中央大道公园</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待定</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城南中央大道两侧新增4.16公顷公园。</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1248</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18</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三角山公园</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待定</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东城路以西新增13.73公顷。</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4119</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19</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龙棠路两侧街旁绿地</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待定</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龙棠路两侧新增5.31公顷。</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1593</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G12—01绿化工程</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待定</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南环二路与城西路交汇处新增5.64公顷。</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1692</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21</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G13—02绿化工程</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待定</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圣迹公园以东新增6.28公顷。</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1884</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22</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附属绿地提升</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区城管局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中心城区绿化新增387.94公顷。</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29095.5</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23</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防护绿地建设</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区城管局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中心城区绿化新增331.02公顷。</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16551</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24</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屋顶、垂直绿化</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区住房城乡建委、区城管局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中心城区绿化新增5公顷。</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25</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香国公园4A级景区提升工程</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区文化旅游委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开展闲置物盘活，土地出让，实施片区土地整治约240亩，对香国公园片区部分功能进行完善，保障香国公园片区有效运转。</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26</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大足石刻雕塑公园</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石刻文化雕塑公园</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63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27</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城区闲置地口袋公园建设</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区园林管理所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城区闲置地建口袋公园（约10000平方米）约200万元；</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r>
      <w:tr>
        <w:tblPrEx>
          <w:tblLayout w:type="fixed"/>
          <w:tblCellMar>
            <w:top w:w="0" w:type="dxa"/>
            <w:left w:w="108" w:type="dxa"/>
            <w:bottom w:w="0" w:type="dxa"/>
            <w:right w:w="108" w:type="dxa"/>
          </w:tblCellMar>
        </w:tblPrEx>
        <w:trPr>
          <w:trHeight w:val="285" w:hRule="atLeast"/>
        </w:trPr>
        <w:tc>
          <w:tcPr>
            <w:tcW w:w="14122" w:type="dxa"/>
            <w:gridSpan w:val="1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四</w:t>
            </w:r>
            <w:r>
              <w:rPr>
                <w:rFonts w:ascii="方正兰亭纤黑简体" w:hAnsi="仿宋" w:eastAsia="方正兰亭纤黑简体" w:cs="仿宋"/>
                <w:kern w:val="0"/>
                <w:sz w:val="21"/>
                <w:szCs w:val="21"/>
                <w:lang w:bidi="ar"/>
              </w:rPr>
              <w:t>、</w:t>
            </w:r>
            <w:r>
              <w:rPr>
                <w:rFonts w:hint="eastAsia" w:ascii="方正兰亭纤黑简体" w:hAnsi="仿宋" w:eastAsia="方正兰亭纤黑简体" w:cs="仿宋"/>
                <w:kern w:val="0"/>
                <w:sz w:val="21"/>
                <w:szCs w:val="21"/>
                <w:lang w:bidi="ar"/>
              </w:rPr>
              <w:t>人行品质提升</w:t>
            </w:r>
          </w:p>
        </w:tc>
      </w:tr>
      <w:tr>
        <w:tblPrEx>
          <w:tblLayout w:type="fixed"/>
          <w:tblCellMar>
            <w:top w:w="0" w:type="dxa"/>
            <w:left w:w="108" w:type="dxa"/>
            <w:bottom w:w="0" w:type="dxa"/>
            <w:right w:w="108" w:type="dxa"/>
          </w:tblCellMar>
        </w:tblPrEx>
        <w:trPr>
          <w:trHeight w:val="92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都市游步道改造提升</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区城管局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龙岗、棠香街道、城区各大公园游步道改造</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220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90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90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2019</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2021</w:t>
            </w:r>
          </w:p>
        </w:tc>
      </w:tr>
      <w:tr>
        <w:tblPrEx>
          <w:tblLayout w:type="fixed"/>
          <w:tblCellMar>
            <w:top w:w="0" w:type="dxa"/>
            <w:left w:w="108" w:type="dxa"/>
            <w:bottom w:w="0" w:type="dxa"/>
            <w:right w:w="108" w:type="dxa"/>
          </w:tblCellMar>
        </w:tblPrEx>
        <w:trPr>
          <w:trHeight w:val="675"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龙水镇龙湖路（龙水二小-西湖大道）人行道工程</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龙水镇</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left"/>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新建人行道长250米，宽3米*2边，铺设花岗石路板，土石方工程、排水工程、照明工程、停车位划线等。</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r>
      <w:tr>
        <w:tblPrEx>
          <w:tblLayout w:type="fixed"/>
          <w:tblCellMar>
            <w:top w:w="0" w:type="dxa"/>
            <w:left w:w="108" w:type="dxa"/>
            <w:bottom w:w="0" w:type="dxa"/>
            <w:right w:w="108" w:type="dxa"/>
          </w:tblCellMar>
        </w:tblPrEx>
        <w:trPr>
          <w:trHeight w:val="1575"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市政设施日常零星维修维护工程</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区城管局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对城区人行道4万余平方米（青石3万、花岗石1万），车行道2万平方米，人行护栏约850米，路沿石1000米等市政基础设施进行维修维护，公厕改造，广告招牌零星维修</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r>
      <w:tr>
        <w:tblPrEx>
          <w:tblLayout w:type="fixed"/>
          <w:tblCellMar>
            <w:top w:w="0" w:type="dxa"/>
            <w:left w:w="108" w:type="dxa"/>
            <w:bottom w:w="0" w:type="dxa"/>
            <w:right w:w="108" w:type="dxa"/>
          </w:tblCellMar>
        </w:tblPrEx>
        <w:trPr>
          <w:trHeight w:val="1125"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龙棠大道大足工业园区段缺陷治理工程</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大足工业园区、高科集团</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实施龙棠大道大足工业园区段雨污水管网改造6.4公里，人行道及绿化修复约5.4万平方米。</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r>
      <w:tr>
        <w:tblPrEx>
          <w:tblLayout w:type="fixed"/>
          <w:tblCellMar>
            <w:top w:w="0" w:type="dxa"/>
            <w:left w:w="108" w:type="dxa"/>
            <w:bottom w:w="0" w:type="dxa"/>
            <w:right w:w="108" w:type="dxa"/>
          </w:tblCellMar>
        </w:tblPrEx>
        <w:trPr>
          <w:trHeight w:val="1125"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大足老城区老旧市政设施改造工程</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区城管局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color w:val="FF0000"/>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将老城区36万平方米老旧青石人行道分三期更换为仿石透水砖或花岗石，每年更换约12万平方米。花岗石（仿石透水砖）单价为：275元/平方米。（2023年预计实施五星大道（和平新村-老行政大厅）1.8万</w:t>
            </w:r>
            <w:r>
              <w:rPr>
                <w:rFonts w:hint="eastAsia" w:ascii="Batang" w:hAnsi="Batang" w:eastAsia="Batang" w:cs="Batang"/>
                <w:kern w:val="0"/>
                <w:sz w:val="21"/>
                <w:szCs w:val="21"/>
                <w:lang w:bidi="ar"/>
              </w:rPr>
              <w:t>㎡</w:t>
            </w:r>
            <w:r>
              <w:rPr>
                <w:rFonts w:hint="eastAsia" w:ascii="方正兰亭纤黑简体" w:hAnsi="方正兰亭纤黑简体" w:eastAsia="方正兰亭纤黑简体" w:cs="方正兰亭纤黑简体"/>
                <w:kern w:val="0"/>
                <w:sz w:val="21"/>
                <w:szCs w:val="21"/>
                <w:lang w:bidi="ar"/>
              </w:rPr>
              <w:t>、一环南路（公安局</w:t>
            </w:r>
            <w:r>
              <w:rPr>
                <w:rFonts w:hint="eastAsia" w:ascii="方正兰亭纤黑简体" w:hAnsi="仿宋" w:eastAsia="方正兰亭纤黑简体" w:cs="仿宋"/>
                <w:kern w:val="0"/>
                <w:sz w:val="21"/>
                <w:szCs w:val="21"/>
                <w:lang w:bidi="ar"/>
              </w:rPr>
              <w:t>-老车站）1.5万</w:t>
            </w:r>
            <w:r>
              <w:rPr>
                <w:rFonts w:hint="eastAsia" w:ascii="Batang" w:hAnsi="Batang" w:eastAsia="Batang" w:cs="Batang"/>
                <w:kern w:val="0"/>
                <w:sz w:val="21"/>
                <w:szCs w:val="21"/>
                <w:lang w:bidi="ar"/>
              </w:rPr>
              <w:t>㎡</w:t>
            </w:r>
            <w:r>
              <w:rPr>
                <w:rFonts w:hint="eastAsia" w:ascii="方正兰亭纤黑简体" w:hAnsi="方正兰亭纤黑简体" w:eastAsia="方正兰亭纤黑简体" w:cs="方正兰亭纤黑简体"/>
                <w:kern w:val="0"/>
                <w:sz w:val="21"/>
                <w:szCs w:val="21"/>
                <w:lang w:bidi="ar"/>
              </w:rPr>
              <w:t>、一环北路及沿线支路</w:t>
            </w:r>
            <w:r>
              <w:rPr>
                <w:rFonts w:hint="eastAsia" w:ascii="方正兰亭纤黑简体" w:hAnsi="仿宋" w:eastAsia="方正兰亭纤黑简体" w:cs="仿宋"/>
                <w:kern w:val="0"/>
                <w:sz w:val="21"/>
                <w:szCs w:val="21"/>
                <w:lang w:bidi="ar"/>
              </w:rPr>
              <w:t>4.9万</w:t>
            </w:r>
            <w:r>
              <w:rPr>
                <w:rFonts w:hint="eastAsia" w:ascii="Batang" w:hAnsi="Batang" w:eastAsia="Batang" w:cs="Batang"/>
                <w:kern w:val="0"/>
                <w:sz w:val="21"/>
                <w:szCs w:val="21"/>
                <w:lang w:bidi="ar"/>
              </w:rPr>
              <w:t>㎡</w:t>
            </w:r>
            <w:r>
              <w:rPr>
                <w:rFonts w:hint="eastAsia" w:ascii="方正兰亭纤黑简体" w:hAnsi="方正兰亭纤黑简体" w:eastAsia="方正兰亭纤黑简体" w:cs="方正兰亭纤黑简体"/>
                <w:kern w:val="0"/>
                <w:sz w:val="21"/>
                <w:szCs w:val="21"/>
                <w:lang w:bidi="ar"/>
              </w:rPr>
              <w:t>、二环北路（集美天辰</w:t>
            </w:r>
            <w:r>
              <w:rPr>
                <w:rFonts w:hint="eastAsia" w:ascii="方正兰亭纤黑简体" w:hAnsi="仿宋" w:eastAsia="方正兰亭纤黑简体" w:cs="仿宋"/>
                <w:kern w:val="0"/>
                <w:sz w:val="21"/>
                <w:szCs w:val="21"/>
                <w:lang w:bidi="ar"/>
              </w:rPr>
              <w:t>-书香世家）1.5万</w:t>
            </w:r>
            <w:r>
              <w:rPr>
                <w:rFonts w:hint="eastAsia" w:ascii="Batang" w:hAnsi="Batang" w:eastAsia="Batang" w:cs="Batang"/>
                <w:kern w:val="0"/>
                <w:sz w:val="21"/>
                <w:szCs w:val="21"/>
                <w:lang w:bidi="ar"/>
              </w:rPr>
              <w:t>㎡</w:t>
            </w:r>
            <w:r>
              <w:rPr>
                <w:rFonts w:hint="eastAsia" w:ascii="方正兰亭纤黑简体" w:hAnsi="方正兰亭纤黑简体" w:eastAsia="方正兰亭纤黑简体" w:cs="方正兰亭纤黑简体"/>
                <w:kern w:val="0"/>
                <w:sz w:val="21"/>
                <w:szCs w:val="21"/>
                <w:lang w:bidi="ar"/>
              </w:rPr>
              <w:t>、棠凤路</w:t>
            </w:r>
            <w:r>
              <w:rPr>
                <w:rFonts w:hint="eastAsia" w:ascii="方正兰亭纤黑简体" w:hAnsi="仿宋" w:eastAsia="方正兰亭纤黑简体" w:cs="仿宋"/>
                <w:kern w:val="0"/>
                <w:sz w:val="21"/>
                <w:szCs w:val="21"/>
                <w:lang w:bidi="ar"/>
              </w:rPr>
              <w:t>1.7万</w:t>
            </w:r>
            <w:r>
              <w:rPr>
                <w:rFonts w:hint="eastAsia" w:ascii="Batang" w:hAnsi="Batang" w:eastAsia="Batang" w:cs="Batang"/>
                <w:kern w:val="0"/>
                <w:sz w:val="21"/>
                <w:szCs w:val="21"/>
                <w:lang w:bidi="ar"/>
              </w:rPr>
              <w:t>㎡</w:t>
            </w:r>
            <w:r>
              <w:rPr>
                <w:rFonts w:hint="eastAsia" w:ascii="方正兰亭纤黑简体" w:hAnsi="方正兰亭纤黑简体" w:eastAsia="方正兰亭纤黑简体" w:cs="方正兰亭纤黑简体"/>
                <w:kern w:val="0"/>
                <w:sz w:val="21"/>
                <w:szCs w:val="21"/>
                <w:lang w:bidi="ar"/>
              </w:rPr>
              <w:t>、双塔路</w:t>
            </w:r>
            <w:r>
              <w:rPr>
                <w:rFonts w:hint="eastAsia" w:ascii="方正兰亭纤黑简体" w:hAnsi="仿宋" w:eastAsia="方正兰亭纤黑简体" w:cs="仿宋"/>
                <w:kern w:val="0"/>
                <w:sz w:val="21"/>
                <w:szCs w:val="21"/>
                <w:lang w:bidi="ar"/>
              </w:rPr>
              <w:t>0.6万</w:t>
            </w:r>
            <w:r>
              <w:rPr>
                <w:rFonts w:hint="eastAsia" w:ascii="Batang" w:hAnsi="Batang" w:eastAsia="Batang" w:cs="Batang"/>
                <w:kern w:val="0"/>
                <w:sz w:val="21"/>
                <w:szCs w:val="21"/>
                <w:lang w:bidi="ar"/>
              </w:rPr>
              <w:t>㎡</w:t>
            </w:r>
            <w:r>
              <w:rPr>
                <w:rFonts w:hint="eastAsia" w:ascii="方正兰亭纤黑简体" w:hAnsi="方正兰亭纤黑简体" w:eastAsia="方正兰亭纤黑简体" w:cs="方正兰亭纤黑简体"/>
                <w:kern w:val="0"/>
                <w:sz w:val="21"/>
                <w:szCs w:val="21"/>
                <w:lang w:bidi="ar"/>
              </w:rPr>
              <w:t>，共计</w:t>
            </w:r>
            <w:r>
              <w:rPr>
                <w:rFonts w:hint="eastAsia" w:ascii="方正兰亭纤黑简体" w:hAnsi="仿宋" w:eastAsia="方正兰亭纤黑简体" w:cs="仿宋"/>
                <w:kern w:val="0"/>
                <w:sz w:val="21"/>
                <w:szCs w:val="21"/>
                <w:lang w:bidi="ar"/>
              </w:rPr>
              <w:t>12万</w:t>
            </w:r>
            <w:r>
              <w:rPr>
                <w:rFonts w:hint="eastAsia" w:ascii="Batang" w:hAnsi="Batang" w:eastAsia="Batang" w:cs="Batang"/>
                <w:kern w:val="0"/>
                <w:sz w:val="21"/>
                <w:szCs w:val="21"/>
                <w:lang w:bidi="ar"/>
              </w:rPr>
              <w:t>㎡</w:t>
            </w:r>
            <w:r>
              <w:rPr>
                <w:rFonts w:hint="eastAsia" w:ascii="方正兰亭纤黑简体" w:hAnsi="方正兰亭纤黑简体" w:eastAsia="方正兰亭纤黑简体" w:cs="方正兰亭纤黑简体"/>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调整责任单位、建设性质</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调整责任单位、建设性质</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9900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color w:val="FF0000"/>
                <w:kern w:val="0"/>
                <w:sz w:val="21"/>
                <w:szCs w:val="21"/>
                <w:lang w:bidi="ar"/>
              </w:rPr>
            </w:pPr>
            <w:r>
              <w:rPr>
                <w:rFonts w:ascii="方正兰亭纤黑简体" w:hAnsi="仿宋" w:eastAsia="方正兰亭纤黑简体" w:cs="仿宋"/>
                <w:color w:val="FF0000"/>
                <w:kern w:val="0"/>
                <w:sz w:val="21"/>
                <w:szCs w:val="21"/>
                <w:lang w:bidi="ar"/>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color w:val="FF0000"/>
                <w:kern w:val="0"/>
                <w:sz w:val="21"/>
                <w:szCs w:val="21"/>
                <w:lang w:bidi="ar"/>
              </w:rPr>
            </w:pPr>
            <w:r>
              <w:rPr>
                <w:rFonts w:hint="eastAsia" w:ascii="方正兰亭纤黑简体" w:hAnsi="仿宋" w:eastAsia="方正兰亭纤黑简体" w:cs="仿宋"/>
                <w:color w:val="FF0000"/>
                <w:kern w:val="0"/>
                <w:sz w:val="21"/>
                <w:szCs w:val="21"/>
                <w:lang w:bidi="ar"/>
              </w:rPr>
              <w:t>202</w:t>
            </w:r>
            <w:r>
              <w:rPr>
                <w:rFonts w:ascii="方正兰亭纤黑简体" w:hAnsi="仿宋" w:eastAsia="方正兰亭纤黑简体" w:cs="仿宋"/>
                <w:color w:val="FF0000"/>
                <w:kern w:val="0"/>
                <w:sz w:val="21"/>
                <w:szCs w:val="21"/>
                <w:lang w:bidi="ar"/>
              </w:rPr>
              <w:t>6</w:t>
            </w:r>
          </w:p>
        </w:tc>
      </w:tr>
      <w:tr>
        <w:tblPrEx>
          <w:tblLayout w:type="fixed"/>
          <w:tblCellMar>
            <w:top w:w="0" w:type="dxa"/>
            <w:left w:w="108" w:type="dxa"/>
            <w:bottom w:w="0" w:type="dxa"/>
            <w:right w:w="108" w:type="dxa"/>
          </w:tblCellMar>
        </w:tblPrEx>
        <w:trPr>
          <w:trHeight w:val="1125"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濑溪河滨河步道提质改造</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区城管局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濑溪河两岸共约4.4公里滨河步道增加监控、直饮水、城市小品等设施提升步行品质。</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4400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4400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4400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Layout w:type="fixed"/>
          <w:tblCellMar>
            <w:top w:w="0" w:type="dxa"/>
            <w:left w:w="108" w:type="dxa"/>
            <w:bottom w:w="0" w:type="dxa"/>
            <w:right w:w="108" w:type="dxa"/>
          </w:tblCellMar>
        </w:tblPrEx>
        <w:trPr>
          <w:trHeight w:val="285" w:hRule="atLeast"/>
        </w:trPr>
        <w:tc>
          <w:tcPr>
            <w:tcW w:w="14122" w:type="dxa"/>
            <w:gridSpan w:val="1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五</w:t>
            </w:r>
            <w:r>
              <w:rPr>
                <w:rFonts w:ascii="方正兰亭纤黑简体" w:hAnsi="仿宋" w:eastAsia="方正兰亭纤黑简体" w:cs="仿宋"/>
                <w:kern w:val="0"/>
                <w:sz w:val="21"/>
                <w:szCs w:val="21"/>
                <w:lang w:bidi="ar"/>
              </w:rPr>
              <w:t>、</w:t>
            </w:r>
            <w:r>
              <w:rPr>
                <w:rFonts w:hint="eastAsia" w:ascii="方正兰亭纤黑简体" w:hAnsi="仿宋" w:eastAsia="方正兰亭纤黑简体" w:cs="仿宋"/>
                <w:kern w:val="0"/>
                <w:sz w:val="21"/>
                <w:szCs w:val="21"/>
                <w:lang w:bidi="ar"/>
              </w:rPr>
              <w:t>无障碍设施</w:t>
            </w:r>
          </w:p>
        </w:tc>
      </w:tr>
      <w:tr>
        <w:tblPrEx>
          <w:tblLayout w:type="fixed"/>
          <w:tblCellMar>
            <w:top w:w="0" w:type="dxa"/>
            <w:left w:w="108" w:type="dxa"/>
            <w:bottom w:w="0" w:type="dxa"/>
            <w:right w:w="108" w:type="dxa"/>
          </w:tblCellMar>
        </w:tblPrEx>
        <w:trPr>
          <w:trHeight w:val="45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1</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人民医院过街天桥改造</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区城管局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天桥两端增设垂梯。</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100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100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100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202</w:t>
            </w:r>
            <w:r>
              <w:rPr>
                <w:rFonts w:ascii="方正兰亭纤黑简体" w:hAnsi="仿宋" w:eastAsia="方正兰亭纤黑简体" w:cs="仿宋"/>
                <w:kern w:val="0"/>
                <w:sz w:val="21"/>
                <w:szCs w:val="21"/>
                <w:lang w:bidi="ar"/>
              </w:rPr>
              <w:t>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sz w:val="21"/>
                <w:szCs w:val="21"/>
              </w:rPr>
            </w:pPr>
            <w:r>
              <w:rPr>
                <w:rFonts w:hint="eastAsia" w:ascii="方正兰亭纤黑简体" w:hAnsi="仿宋" w:eastAsia="方正兰亭纤黑简体" w:cs="仿宋"/>
                <w:kern w:val="0"/>
                <w:sz w:val="21"/>
                <w:szCs w:val="21"/>
                <w:lang w:bidi="ar"/>
              </w:rPr>
              <w:t>202</w:t>
            </w:r>
            <w:r>
              <w:rPr>
                <w:rFonts w:ascii="方正兰亭纤黑简体" w:hAnsi="仿宋" w:eastAsia="方正兰亭纤黑简体" w:cs="仿宋"/>
                <w:kern w:val="0"/>
                <w:sz w:val="21"/>
                <w:szCs w:val="21"/>
                <w:lang w:bidi="ar"/>
              </w:rPr>
              <w:t>8</w:t>
            </w:r>
          </w:p>
        </w:tc>
      </w:tr>
      <w:tr>
        <w:tblPrEx>
          <w:tblLayout w:type="fixed"/>
          <w:tblCellMar>
            <w:top w:w="0" w:type="dxa"/>
            <w:left w:w="108" w:type="dxa"/>
            <w:bottom w:w="0" w:type="dxa"/>
            <w:right w:w="108" w:type="dxa"/>
          </w:tblCellMar>
        </w:tblPrEx>
        <w:trPr>
          <w:trHeight w:val="45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人行天街无障碍设施建设（一期）</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东关小广场人行天桥和龙岗一小南山校区人行天桥等2座天桥配套建设垂梯，完善无障碍过街设施</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已计入慢行板块各天桥投资</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45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人行天街无障碍设施建设（二期）</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配套5座天桥配套建设垂梯，完善无障碍过街设施</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已计入慢行板块各天桥投资</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2029</w:t>
            </w:r>
          </w:p>
        </w:tc>
      </w:tr>
      <w:tr>
        <w:tblPrEx>
          <w:tblLayout w:type="fixed"/>
          <w:tblCellMar>
            <w:top w:w="0" w:type="dxa"/>
            <w:left w:w="108" w:type="dxa"/>
            <w:bottom w:w="0" w:type="dxa"/>
            <w:right w:w="108" w:type="dxa"/>
          </w:tblCellMar>
        </w:tblPrEx>
        <w:trPr>
          <w:trHeight w:val="450" w:hRule="atLeast"/>
        </w:trPr>
        <w:tc>
          <w:tcPr>
            <w:tcW w:w="14122" w:type="dxa"/>
            <w:gridSpan w:val="1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六</w:t>
            </w:r>
            <w:r>
              <w:rPr>
                <w:rFonts w:ascii="方正兰亭纤黑简体" w:hAnsi="仿宋" w:eastAsia="方正兰亭纤黑简体" w:cs="仿宋"/>
                <w:kern w:val="0"/>
                <w:sz w:val="21"/>
                <w:szCs w:val="21"/>
                <w:lang w:bidi="ar"/>
              </w:rPr>
              <w:t>、</w:t>
            </w:r>
            <w:r>
              <w:rPr>
                <w:rFonts w:hint="eastAsia" w:ascii="方正兰亭纤黑简体" w:hAnsi="仿宋" w:eastAsia="方正兰亭纤黑简体" w:cs="仿宋"/>
                <w:kern w:val="0"/>
                <w:sz w:val="21"/>
                <w:szCs w:val="21"/>
                <w:lang w:bidi="ar"/>
              </w:rPr>
              <w:t>养老托育</w:t>
            </w:r>
            <w:r>
              <w:rPr>
                <w:rFonts w:ascii="方正兰亭纤黑简体" w:hAnsi="仿宋" w:eastAsia="方正兰亭纤黑简体" w:cs="仿宋"/>
                <w:kern w:val="0"/>
                <w:sz w:val="21"/>
                <w:szCs w:val="21"/>
                <w:lang w:bidi="ar"/>
              </w:rPr>
              <w:t>服务</w:t>
            </w:r>
            <w:r>
              <w:rPr>
                <w:rFonts w:hint="eastAsia" w:ascii="方正兰亭纤黑简体" w:hAnsi="仿宋" w:eastAsia="方正兰亭纤黑简体" w:cs="仿宋"/>
                <w:kern w:val="0"/>
                <w:sz w:val="21"/>
                <w:szCs w:val="21"/>
                <w:lang w:bidi="ar"/>
              </w:rPr>
              <w:t>设施</w:t>
            </w:r>
          </w:p>
        </w:tc>
      </w:tr>
      <w:tr>
        <w:tblPrEx>
          <w:tblLayout w:type="fixed"/>
          <w:tblCellMar>
            <w:top w:w="0" w:type="dxa"/>
            <w:left w:w="108" w:type="dxa"/>
            <w:bottom w:w="0" w:type="dxa"/>
            <w:right w:w="108" w:type="dxa"/>
          </w:tblCellMar>
        </w:tblPrEx>
        <w:trPr>
          <w:trHeight w:val="165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leftChars="-4" w:hanging="12" w:hangingChars="6"/>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大足区人民医院医养中心建设工程（与社会资本合作）</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区人民医院</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建筑面积49000平方米，设置床位1500张</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22500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22500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18000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4500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2022</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2025</w:t>
            </w:r>
          </w:p>
        </w:tc>
      </w:tr>
      <w:tr>
        <w:tblPrEx>
          <w:tblLayout w:type="fixed"/>
          <w:tblCellMar>
            <w:top w:w="0" w:type="dxa"/>
            <w:left w:w="108" w:type="dxa"/>
            <w:bottom w:w="0" w:type="dxa"/>
            <w:right w:w="108" w:type="dxa"/>
          </w:tblCellMar>
        </w:tblPrEx>
        <w:trPr>
          <w:trHeight w:val="45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leftChars="-4" w:hanging="12" w:hangingChars="6"/>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第二人民医院医养中心建设工程</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区卫生健康委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利用35亩存量建设用地，建设5万平方米，设置床位1600张的医养中心。</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30000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30000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6000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24000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2024</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2025</w:t>
            </w:r>
          </w:p>
        </w:tc>
      </w:tr>
      <w:tr>
        <w:tblPrEx>
          <w:tblLayout w:type="fixed"/>
          <w:tblCellMar>
            <w:top w:w="0" w:type="dxa"/>
            <w:left w:w="108" w:type="dxa"/>
            <w:bottom w:w="0" w:type="dxa"/>
            <w:right w:w="108" w:type="dxa"/>
          </w:tblCellMar>
        </w:tblPrEx>
        <w:trPr>
          <w:trHeight w:val="45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leftChars="-4" w:hanging="12" w:hangingChars="6"/>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大足区人民医院失能老人养护中心建设工程</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区第二人民医院</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利用区第二人民医院搬迁后的业主用房10000平方米，改建设300张床位的失能老人养护中心。</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2025</w:t>
            </w:r>
          </w:p>
        </w:tc>
      </w:tr>
      <w:tr>
        <w:tblPrEx>
          <w:tblLayout w:type="fixed"/>
          <w:tblCellMar>
            <w:top w:w="0" w:type="dxa"/>
            <w:left w:w="108" w:type="dxa"/>
            <w:bottom w:w="0" w:type="dxa"/>
            <w:right w:w="108" w:type="dxa"/>
          </w:tblCellMar>
        </w:tblPrEx>
        <w:trPr>
          <w:trHeight w:val="45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leftChars="-4" w:hanging="12" w:hangingChars="6"/>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长者照护之家</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区民政局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在全区打造10个长者照护之家，成为老人短期托养中心</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2021</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2025</w:t>
            </w:r>
          </w:p>
        </w:tc>
      </w:tr>
      <w:tr>
        <w:tblPrEx>
          <w:tblLayout w:type="fixed"/>
          <w:tblCellMar>
            <w:top w:w="0" w:type="dxa"/>
            <w:left w:w="108" w:type="dxa"/>
            <w:bottom w:w="0" w:type="dxa"/>
            <w:right w:w="108" w:type="dxa"/>
          </w:tblCellMar>
        </w:tblPrEx>
        <w:trPr>
          <w:trHeight w:val="45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leftChars="-4" w:hanging="12" w:hangingChars="6"/>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西北片区老年养护中心</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区民政局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老年人用房及附属用房；老年人理疗护理中心，包括老年人理疗室及护理人员办公室共计3180平方米；餐厅、老年人活动中心，共1800平方米；室外活动公园1740平方米；绿化1000平方米；停车场2700平方米</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5500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5500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5500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2021</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2025</w:t>
            </w:r>
          </w:p>
        </w:tc>
      </w:tr>
      <w:tr>
        <w:tblPrEx>
          <w:tblLayout w:type="fixed"/>
          <w:tblCellMar>
            <w:top w:w="0" w:type="dxa"/>
            <w:left w:w="108" w:type="dxa"/>
            <w:bottom w:w="0" w:type="dxa"/>
            <w:right w:w="108" w:type="dxa"/>
          </w:tblCellMar>
        </w:tblPrEx>
        <w:trPr>
          <w:trHeight w:val="45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leftChars="-4" w:hanging="12" w:hangingChars="6"/>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东北片区老年养护中心</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区民政局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老年人用房及附属用房；老年人理疗护理中心，包括老年人理疗室及护理人员办公室共计3180平方米；餐厅、老年人活动中心，共1800平方米；室外活动公园1740平方米；绿化1000平方米；停车场2700平方米</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5500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5500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5500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2021</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2025</w:t>
            </w:r>
          </w:p>
        </w:tc>
      </w:tr>
      <w:tr>
        <w:tblPrEx>
          <w:tblLayout w:type="fixed"/>
          <w:tblCellMar>
            <w:top w:w="0" w:type="dxa"/>
            <w:left w:w="108" w:type="dxa"/>
            <w:bottom w:w="0" w:type="dxa"/>
            <w:right w:w="108" w:type="dxa"/>
          </w:tblCellMar>
        </w:tblPrEx>
        <w:trPr>
          <w:trHeight w:val="45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leftChars="-4" w:hanging="12" w:hangingChars="6"/>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中南片区老年养护中心</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区民政局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老年人用房及附属用房；老年人理疗护理中心，包括老年人理疗室及护理人员办公室共计3180平方米；餐厅、老年人活动中心，共1800平方米；室外活动公园1740平方米；绿化1000平方米；停车场2700平方米</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5500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5500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5500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2021</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2025</w:t>
            </w:r>
          </w:p>
        </w:tc>
      </w:tr>
      <w:tr>
        <w:tblPrEx>
          <w:tblLayout w:type="fixed"/>
          <w:tblCellMar>
            <w:top w:w="0" w:type="dxa"/>
            <w:left w:w="108" w:type="dxa"/>
            <w:bottom w:w="0" w:type="dxa"/>
            <w:right w:w="108" w:type="dxa"/>
          </w:tblCellMar>
        </w:tblPrEx>
        <w:trPr>
          <w:trHeight w:val="45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leftChars="-4" w:hanging="12" w:hangingChars="6"/>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大足区护理型养老院建设项目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区民政局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占地面积约40亩，以农村特困失能、残疾老年人专业照护为主的特困人员供养服务设施</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12000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12000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12000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2021</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2025</w:t>
            </w:r>
          </w:p>
        </w:tc>
      </w:tr>
      <w:tr>
        <w:tblPrEx>
          <w:tblLayout w:type="fixed"/>
          <w:tblCellMar>
            <w:top w:w="0" w:type="dxa"/>
            <w:left w:w="108" w:type="dxa"/>
            <w:bottom w:w="0" w:type="dxa"/>
            <w:right w:w="108" w:type="dxa"/>
          </w:tblCellMar>
        </w:tblPrEx>
        <w:trPr>
          <w:trHeight w:val="45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leftChars="-4" w:hanging="12" w:hangingChars="6"/>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9</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ppp模式建设3个养老机构</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区民政局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社会投资方负责筹集养老机构项目建设至今和营运流动资金，拥有项目完整产权。政府给与项目建设资金补助、贷款贴息营运补助等扶持政策。</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400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400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400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2021</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2025</w:t>
            </w:r>
          </w:p>
        </w:tc>
      </w:tr>
      <w:tr>
        <w:tblPrEx>
          <w:tblLayout w:type="fixed"/>
          <w:tblCellMar>
            <w:top w:w="0" w:type="dxa"/>
            <w:left w:w="108" w:type="dxa"/>
            <w:bottom w:w="0" w:type="dxa"/>
            <w:right w:w="108" w:type="dxa"/>
          </w:tblCellMar>
        </w:tblPrEx>
        <w:trPr>
          <w:trHeight w:val="45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leftChars="-4" w:hanging="12" w:hangingChars="6"/>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养老机构新增床位补贴项目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区民政局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对符合条件利用自有产权或租赁产权举办养老机构的进行补贴</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10000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2021</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2025</w:t>
            </w:r>
          </w:p>
        </w:tc>
      </w:tr>
      <w:tr>
        <w:tblPrEx>
          <w:tblLayout w:type="fixed"/>
          <w:tblCellMar>
            <w:top w:w="0" w:type="dxa"/>
            <w:left w:w="108" w:type="dxa"/>
            <w:bottom w:w="0" w:type="dxa"/>
            <w:right w:w="108" w:type="dxa"/>
          </w:tblCellMar>
        </w:tblPrEx>
        <w:trPr>
          <w:trHeight w:val="45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leftChars="-4" w:hanging="12" w:hangingChars="6"/>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11</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大足区特困供养服务机构</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区民政局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用地28亩，建筑面积约1.7万平方米，拟建设床位400张，设置老人房、生活用房、保健用房等</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6800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6800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3500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1964</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2024</w:t>
            </w:r>
          </w:p>
        </w:tc>
      </w:tr>
      <w:tr>
        <w:tblPrEx>
          <w:tblLayout w:type="fixed"/>
          <w:tblCellMar>
            <w:top w:w="0" w:type="dxa"/>
            <w:left w:w="108" w:type="dxa"/>
            <w:bottom w:w="0" w:type="dxa"/>
            <w:right w:w="108" w:type="dxa"/>
          </w:tblCellMar>
        </w:tblPrEx>
        <w:trPr>
          <w:trHeight w:val="45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leftChars="-4" w:hanging="12" w:hangingChars="6"/>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12</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高萍、珠溪、金山、龙石、玉龙敬老院养老院消防安全改造提升项目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相关镇街</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对高萍、珠溪、金山、龙石、玉龙5个公办养老服务机构（敬老院）进行消防安全改造，改造总建筑面积约10800平方米，床位400张，床均面积27平方米。</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648</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648</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648</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2022</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2023</w:t>
            </w:r>
          </w:p>
        </w:tc>
      </w:tr>
      <w:tr>
        <w:tblPrEx>
          <w:tblLayout w:type="fixed"/>
          <w:tblCellMar>
            <w:top w:w="0" w:type="dxa"/>
            <w:left w:w="108" w:type="dxa"/>
            <w:bottom w:w="0" w:type="dxa"/>
            <w:right w:w="108" w:type="dxa"/>
          </w:tblCellMar>
        </w:tblPrEx>
        <w:trPr>
          <w:trHeight w:val="45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leftChars="-4" w:hanging="12" w:hangingChars="6"/>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13</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大足区农村养老服务全覆盖工程</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相关镇街</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在宝顶、珠溪、中敖、三驱、石马、雍溪、玉龙、国梁、高坪9个镇建设镇级养老服务中心和村级养老互助点，总建筑面积约9000平方米。</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900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900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648</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2021</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2022</w:t>
            </w:r>
          </w:p>
        </w:tc>
      </w:tr>
      <w:tr>
        <w:tblPrEx>
          <w:tblLayout w:type="fixed"/>
          <w:tblCellMar>
            <w:top w:w="0" w:type="dxa"/>
            <w:left w:w="108" w:type="dxa"/>
            <w:bottom w:w="0" w:type="dxa"/>
            <w:right w:w="108" w:type="dxa"/>
          </w:tblCellMar>
        </w:tblPrEx>
        <w:trPr>
          <w:trHeight w:val="45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leftChars="-4" w:hanging="12" w:hangingChars="6"/>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14</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大足区全域智慧养老项目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区民政局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全区养老服务机构全部实现智能养老服务。</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已计入新城建板块投资</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2028</w:t>
            </w:r>
          </w:p>
        </w:tc>
      </w:tr>
      <w:tr>
        <w:tblPrEx>
          <w:tblLayout w:type="fixed"/>
          <w:tblCellMar>
            <w:top w:w="0" w:type="dxa"/>
            <w:left w:w="108" w:type="dxa"/>
            <w:bottom w:w="0" w:type="dxa"/>
            <w:right w:w="108" w:type="dxa"/>
          </w:tblCellMar>
        </w:tblPrEx>
        <w:trPr>
          <w:trHeight w:val="45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leftChars="-4" w:hanging="12" w:hangingChars="6"/>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15</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老旧小区适老化改造</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区民政局/区建委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结合老旧街区改造，重点对现状老旧小区坡道、楼梯、电梯、扶手等进行改造，楼梯房增设电梯，公共区域增设适宜的健身器材等</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600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600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600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2025</w:t>
            </w:r>
          </w:p>
        </w:tc>
      </w:tr>
      <w:tr>
        <w:tblPrEx>
          <w:tblLayout w:type="fixed"/>
          <w:tblCellMar>
            <w:top w:w="0" w:type="dxa"/>
            <w:left w:w="108" w:type="dxa"/>
            <w:bottom w:w="0" w:type="dxa"/>
            <w:right w:w="108" w:type="dxa"/>
          </w:tblCellMar>
        </w:tblPrEx>
        <w:trPr>
          <w:trHeight w:val="45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leftChars="-4" w:hanging="12" w:hangingChars="6"/>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16</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人民医院过街天桥改造</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区城管局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天桥两端增设垂梯。</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已计入无障碍设施投资</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2028</w:t>
            </w:r>
          </w:p>
        </w:tc>
      </w:tr>
      <w:tr>
        <w:tblPrEx>
          <w:tblLayout w:type="fixed"/>
          <w:tblCellMar>
            <w:top w:w="0" w:type="dxa"/>
            <w:left w:w="108" w:type="dxa"/>
            <w:bottom w:w="0" w:type="dxa"/>
            <w:right w:w="108" w:type="dxa"/>
          </w:tblCellMar>
        </w:tblPrEx>
        <w:trPr>
          <w:trHeight w:val="45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leftChars="-4" w:hanging="12" w:hangingChars="6"/>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17</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人行天街无障碍设施建设（一期）</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区住房城乡建委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东关小广场人行天桥和龙岗一小南山校区人行天桥等2座天桥配套建设垂梯，完善无障碍过街设施</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已计入无障碍设施投资</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2024</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2025</w:t>
            </w:r>
          </w:p>
        </w:tc>
      </w:tr>
      <w:tr>
        <w:tblPrEx>
          <w:tblLayout w:type="fixed"/>
          <w:tblCellMar>
            <w:top w:w="0" w:type="dxa"/>
            <w:left w:w="108" w:type="dxa"/>
            <w:bottom w:w="0" w:type="dxa"/>
            <w:right w:w="108" w:type="dxa"/>
          </w:tblCellMar>
        </w:tblPrEx>
        <w:trPr>
          <w:trHeight w:val="45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leftChars="-4" w:hanging="12" w:hangingChars="6"/>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18</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重庆市大足区金星托育中心</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重庆贝优托育服务有限公司</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建筑面积1846平方米，设置托位49个</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98</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98</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98</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2021</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2023</w:t>
            </w:r>
          </w:p>
        </w:tc>
      </w:tr>
      <w:tr>
        <w:tblPrEx>
          <w:tblLayout w:type="fixed"/>
          <w:tblCellMar>
            <w:top w:w="0" w:type="dxa"/>
            <w:left w:w="108" w:type="dxa"/>
            <w:bottom w:w="0" w:type="dxa"/>
            <w:right w:w="108" w:type="dxa"/>
          </w:tblCellMar>
        </w:tblPrEx>
        <w:trPr>
          <w:trHeight w:val="45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leftChars="-4" w:hanging="12" w:hangingChars="6"/>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19</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人行天街无障碍设施建设（二期）</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区住房城乡建委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配套5座天桥配套建设垂梯，完善无障碍过街设施</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已计入慢行板块各天桥投资</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2029</w:t>
            </w:r>
          </w:p>
        </w:tc>
      </w:tr>
      <w:tr>
        <w:tblPrEx>
          <w:tblLayout w:type="fixed"/>
          <w:tblCellMar>
            <w:top w:w="0" w:type="dxa"/>
            <w:left w:w="108" w:type="dxa"/>
            <w:bottom w:w="0" w:type="dxa"/>
            <w:right w:w="108" w:type="dxa"/>
          </w:tblCellMar>
        </w:tblPrEx>
        <w:trPr>
          <w:trHeight w:val="45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leftChars="-4" w:hanging="12" w:hangingChars="6"/>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渝西老年养护中心</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区卫生健康委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建筑面积49000平方米，设置床位1500张。</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28000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28000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6000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22000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2024</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2025</w:t>
            </w:r>
          </w:p>
        </w:tc>
      </w:tr>
      <w:tr>
        <w:tblPrEx>
          <w:tblLayout w:type="fixed"/>
          <w:tblCellMar>
            <w:top w:w="0" w:type="dxa"/>
            <w:left w:w="108" w:type="dxa"/>
            <w:bottom w:w="0" w:type="dxa"/>
            <w:right w:w="108" w:type="dxa"/>
          </w:tblCellMar>
        </w:tblPrEx>
        <w:trPr>
          <w:trHeight w:val="45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leftChars="-4" w:hanging="12" w:hangingChars="6"/>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21</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长者运动健康之家</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区民政局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依托现状社区卫生服务中心，进行提升和改造，增设“长者运动健康之家”，为老年人提供健身辅导、身体机能训练、慢病运动干预等体养结合服务，</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500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500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500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2025</w:t>
            </w:r>
          </w:p>
        </w:tc>
      </w:tr>
      <w:tr>
        <w:tblPrEx>
          <w:tblLayout w:type="fixed"/>
          <w:tblCellMar>
            <w:top w:w="0" w:type="dxa"/>
            <w:left w:w="108" w:type="dxa"/>
            <w:bottom w:w="0" w:type="dxa"/>
            <w:right w:w="108" w:type="dxa"/>
          </w:tblCellMar>
        </w:tblPrEx>
        <w:trPr>
          <w:trHeight w:val="45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leftChars="-4" w:hanging="12" w:hangingChars="6"/>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22</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社区长者食堂·学堂建设</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区民政局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依托现状社区养老服务站，进行提升和改造，增设长者食堂·学堂的建设，到长者食堂“约饭”、到长者学堂“共学”。</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700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700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700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2025</w:t>
            </w:r>
          </w:p>
        </w:tc>
      </w:tr>
      <w:tr>
        <w:tblPrEx>
          <w:tblLayout w:type="fixed"/>
          <w:tblCellMar>
            <w:top w:w="0" w:type="dxa"/>
            <w:left w:w="108" w:type="dxa"/>
            <w:bottom w:w="0" w:type="dxa"/>
            <w:right w:w="108" w:type="dxa"/>
          </w:tblCellMar>
        </w:tblPrEx>
        <w:trPr>
          <w:trHeight w:val="45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leftChars="-4" w:hanging="12" w:hangingChars="6"/>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23</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公共空间（广场、公园、景区等）适老化改造</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区民政局/区城管局/区文旅局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对广场、公园、景区等与老年人日常生活密切相关的公共设施进行无障碍改造，增加老年人交流、锻炼和娱乐的户外活动场所和健身器材，引导标识提升改造，</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600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600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600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2028</w:t>
            </w:r>
          </w:p>
        </w:tc>
      </w:tr>
      <w:tr>
        <w:tblPrEx>
          <w:tblLayout w:type="fixed"/>
          <w:tblCellMar>
            <w:top w:w="0" w:type="dxa"/>
            <w:left w:w="108" w:type="dxa"/>
            <w:bottom w:w="0" w:type="dxa"/>
            <w:right w:w="108" w:type="dxa"/>
          </w:tblCellMar>
        </w:tblPrEx>
        <w:trPr>
          <w:trHeight w:val="45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leftChars="-4" w:hanging="12" w:hangingChars="6"/>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24</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龙水湖医疗康养中心</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文旅集团</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利用龙水湖周边土地，建设医疗康养中心。</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10000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10000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10000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2027</w:t>
            </w:r>
          </w:p>
        </w:tc>
      </w:tr>
      <w:tr>
        <w:tblPrEx>
          <w:tblLayout w:type="fixed"/>
          <w:tblCellMar>
            <w:top w:w="0" w:type="dxa"/>
            <w:left w:w="108" w:type="dxa"/>
            <w:bottom w:w="0" w:type="dxa"/>
            <w:right w:w="108" w:type="dxa"/>
          </w:tblCellMar>
        </w:tblPrEx>
        <w:trPr>
          <w:trHeight w:val="45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leftChars="-4" w:hanging="12" w:hangingChars="6"/>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25</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重庆市大足区未成年人保护中心</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区民政局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投资300万元，改造装修4486平方米，设置床位80张.</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300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300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2024</w:t>
            </w:r>
          </w:p>
        </w:tc>
      </w:tr>
      <w:tr>
        <w:tblPrEx>
          <w:tblLayout w:type="fixed"/>
          <w:tblCellMar>
            <w:top w:w="0" w:type="dxa"/>
            <w:left w:w="108" w:type="dxa"/>
            <w:bottom w:w="0" w:type="dxa"/>
            <w:right w:w="108" w:type="dxa"/>
          </w:tblCellMar>
        </w:tblPrEx>
        <w:trPr>
          <w:trHeight w:val="45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leftChars="-4" w:hanging="12" w:hangingChars="6"/>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26</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大足区早期教育中心建设工程</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区教委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新征地10亩，新建教学及辅助用房3000平方米，活动场地，设备设施</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2500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2500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2500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2024</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2025</w:t>
            </w:r>
          </w:p>
        </w:tc>
      </w:tr>
      <w:tr>
        <w:tblPrEx>
          <w:tblLayout w:type="fixed"/>
          <w:tblCellMar>
            <w:top w:w="0" w:type="dxa"/>
            <w:left w:w="108" w:type="dxa"/>
            <w:bottom w:w="0" w:type="dxa"/>
            <w:right w:w="108" w:type="dxa"/>
          </w:tblCellMar>
        </w:tblPrEx>
        <w:trPr>
          <w:trHeight w:val="45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leftChars="-4" w:hanging="12" w:hangingChars="6"/>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27</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大足区托育服务中心示范机构建设项目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区卫生健康委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划拨建设用地50亩，建设大足区托育服务中心示范机构，设立托位数500个，并建设配套用房、活动场所等，总建筑面积约12000平方米。</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10000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10000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6000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4000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2024</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2025</w:t>
            </w:r>
          </w:p>
        </w:tc>
      </w:tr>
      <w:tr>
        <w:tblPrEx>
          <w:tblLayout w:type="fixed"/>
          <w:tblCellMar>
            <w:top w:w="0" w:type="dxa"/>
            <w:left w:w="108" w:type="dxa"/>
            <w:bottom w:w="0" w:type="dxa"/>
            <w:right w:w="108" w:type="dxa"/>
          </w:tblCellMar>
        </w:tblPrEx>
        <w:trPr>
          <w:trHeight w:val="45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leftChars="-4" w:hanging="12" w:hangingChars="6"/>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28</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渝西川东救助及托养一体化管理服务中心</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区民政局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建筑面积3.5万平方米，新增1000张床位。</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12000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12000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9600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2400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2028</w:t>
            </w:r>
          </w:p>
        </w:tc>
      </w:tr>
      <w:tr>
        <w:tblPrEx>
          <w:tblLayout w:type="fixed"/>
          <w:tblCellMar>
            <w:top w:w="0" w:type="dxa"/>
            <w:left w:w="108" w:type="dxa"/>
            <w:bottom w:w="0" w:type="dxa"/>
            <w:right w:w="108" w:type="dxa"/>
          </w:tblCellMar>
        </w:tblPrEx>
        <w:trPr>
          <w:trHeight w:val="45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leftChars="-4" w:hanging="12" w:hangingChars="6"/>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29</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南山片区环境提升及康养基地项目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大足发展集团</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南山片区及永定河周边环境提升、生态修复及康养基地建设，其中康养基地总用地面积约 763.50 亩，包括永定河度假区 671.85 亩、康养基地 60.74 亩、永定河河道治理 30.91 亩</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98000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98000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98000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2025</w:t>
            </w:r>
          </w:p>
        </w:tc>
      </w:tr>
      <w:tr>
        <w:tblPrEx>
          <w:tblLayout w:type="fixed"/>
          <w:tblCellMar>
            <w:top w:w="0" w:type="dxa"/>
            <w:left w:w="108" w:type="dxa"/>
            <w:bottom w:w="0" w:type="dxa"/>
            <w:right w:w="108" w:type="dxa"/>
          </w:tblCellMar>
        </w:tblPrEx>
        <w:trPr>
          <w:trHeight w:val="1836"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leftChars="-4" w:hanging="12" w:hangingChars="6"/>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大足区永定河康养旅游一体化项目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大足发展集团</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本项目总用地面积约 763.50 亩，包括永定河度假区 671.85 亩、康养基地 60.74 亩、永定河河道治理 30.91 亩</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90752</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90752</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90752</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2025</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2028</w:t>
            </w:r>
          </w:p>
        </w:tc>
      </w:tr>
      <w:tr>
        <w:tblPrEx>
          <w:tblLayout w:type="fixed"/>
          <w:tblCellMar>
            <w:top w:w="0" w:type="dxa"/>
            <w:left w:w="108" w:type="dxa"/>
            <w:bottom w:w="0" w:type="dxa"/>
            <w:right w:w="108" w:type="dxa"/>
          </w:tblCellMar>
        </w:tblPrEx>
        <w:trPr>
          <w:trHeight w:val="1792"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leftChars="-4" w:hanging="12" w:hangingChars="6"/>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31</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成渝地区优抚对象康养中心项目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区退役军人事务局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项目用地面积12亩，建筑面积2.5万平方米，建设床位500张。</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15000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15000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12000</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3000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2024</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2025</w:t>
            </w:r>
          </w:p>
        </w:tc>
      </w:tr>
      <w:tr>
        <w:tblPrEx>
          <w:tblLayout w:type="fixed"/>
          <w:tblCellMar>
            <w:top w:w="0" w:type="dxa"/>
            <w:left w:w="108" w:type="dxa"/>
            <w:bottom w:w="0" w:type="dxa"/>
            <w:right w:w="108" w:type="dxa"/>
          </w:tblCellMar>
        </w:tblPrEx>
        <w:trPr>
          <w:trHeight w:val="450" w:hRule="atLeast"/>
        </w:trPr>
        <w:tc>
          <w:tcPr>
            <w:tcW w:w="14122" w:type="dxa"/>
            <w:gridSpan w:val="1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18"/>
              </w:rPr>
            </w:pPr>
            <w:r>
              <w:rPr>
                <w:rFonts w:hint="eastAsia" w:ascii="方正兰亭纤黑简体" w:eastAsia="方正兰亭纤黑简体"/>
                <w:sz w:val="21"/>
                <w:szCs w:val="18"/>
              </w:rPr>
              <w:t>七</w:t>
            </w:r>
            <w:r>
              <w:rPr>
                <w:rFonts w:ascii="方正兰亭纤黑简体" w:eastAsia="方正兰亭纤黑简体"/>
                <w:sz w:val="21"/>
                <w:szCs w:val="18"/>
              </w:rPr>
              <w:t>、综合管廊</w:t>
            </w:r>
          </w:p>
        </w:tc>
      </w:tr>
      <w:tr>
        <w:tblPrEx>
          <w:tblLayout w:type="fixed"/>
          <w:tblCellMar>
            <w:top w:w="0" w:type="dxa"/>
            <w:left w:w="108" w:type="dxa"/>
            <w:bottom w:w="0" w:type="dxa"/>
            <w:right w:w="108" w:type="dxa"/>
          </w:tblCellMar>
        </w:tblPrEx>
        <w:trPr>
          <w:trHeight w:val="1617"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龙水新城综合管网建设工程（一期）</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color w:val="FF0000"/>
                <w:sz w:val="21"/>
                <w:szCs w:val="21"/>
              </w:rPr>
              <w:t>大足工业园区、高科集团</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color w:val="FF0000"/>
                <w:sz w:val="21"/>
                <w:szCs w:val="21"/>
              </w:rPr>
              <w:t>配套东部片区开发市政道路做好地下综合管网建设，总里程约</w:t>
            </w:r>
            <w:r>
              <w:rPr>
                <w:rFonts w:ascii="方正兰亭纤黑简体" w:hAnsi="仿宋" w:eastAsia="方正兰亭纤黑简体"/>
                <w:color w:val="FF0000"/>
                <w:sz w:val="21"/>
                <w:szCs w:val="21"/>
              </w:rPr>
              <w:t>5</w:t>
            </w:r>
            <w:r>
              <w:rPr>
                <w:rFonts w:hint="eastAsia" w:ascii="方正兰亭纤黑简体" w:hAnsi="仿宋" w:eastAsia="方正兰亭纤黑简体"/>
                <w:color w:val="FF0000"/>
                <w:sz w:val="21"/>
                <w:szCs w:val="21"/>
              </w:rPr>
              <w:t>公里</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6000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6000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6000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2021</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2023</w:t>
            </w:r>
          </w:p>
        </w:tc>
      </w:tr>
      <w:tr>
        <w:tblPrEx>
          <w:tblLayout w:type="fixed"/>
          <w:tblCellMar>
            <w:top w:w="0" w:type="dxa"/>
            <w:left w:w="108" w:type="dxa"/>
            <w:bottom w:w="0" w:type="dxa"/>
            <w:right w:w="108" w:type="dxa"/>
          </w:tblCellMar>
        </w:tblPrEx>
        <w:trPr>
          <w:trHeight w:val="1161"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综合管廊配建</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区住房城乡建委</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配合新建、改建道路项目，建设约25.9公里缆线管廊。</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已纳入先关项目</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2022</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2025</w:t>
            </w:r>
          </w:p>
        </w:tc>
      </w:tr>
      <w:tr>
        <w:tblPrEx>
          <w:tblLayout w:type="fixed"/>
          <w:tblCellMar>
            <w:top w:w="0" w:type="dxa"/>
            <w:left w:w="108" w:type="dxa"/>
            <w:bottom w:w="0" w:type="dxa"/>
            <w:right w:w="108" w:type="dxa"/>
          </w:tblCellMar>
        </w:tblPrEx>
        <w:trPr>
          <w:trHeight w:val="450"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3</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龙水新城综合管网建设（二期）</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重庆市龙水五金产业投资有限公司</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大足工业园区东部片区工业干道以南园区综合管网建设</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6000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6000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6000</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2026</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202</w:t>
            </w:r>
            <w:r>
              <w:rPr>
                <w:rFonts w:ascii="方正兰亭纤黑简体" w:hAnsi="仿宋" w:eastAsia="方正兰亭纤黑简体"/>
                <w:color w:val="FF0000"/>
                <w:sz w:val="21"/>
                <w:szCs w:val="21"/>
              </w:rPr>
              <w:t>9</w:t>
            </w:r>
          </w:p>
        </w:tc>
      </w:tr>
      <w:tr>
        <w:tblPrEx>
          <w:tblLayout w:type="fixed"/>
          <w:tblCellMar>
            <w:top w:w="0" w:type="dxa"/>
            <w:left w:w="108" w:type="dxa"/>
            <w:bottom w:w="0" w:type="dxa"/>
            <w:right w:w="108" w:type="dxa"/>
          </w:tblCellMar>
        </w:tblPrEx>
        <w:trPr>
          <w:trHeight w:val="556" w:hRule="atLeast"/>
        </w:trPr>
        <w:tc>
          <w:tcPr>
            <w:tcW w:w="14122" w:type="dxa"/>
            <w:gridSpan w:val="1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八</w:t>
            </w:r>
            <w:r>
              <w:rPr>
                <w:rFonts w:ascii="方正兰亭纤黑简体" w:hAnsi="仿宋" w:eastAsia="方正兰亭纤黑简体" w:cs="仿宋"/>
                <w:kern w:val="0"/>
                <w:sz w:val="21"/>
                <w:szCs w:val="21"/>
                <w:lang w:bidi="ar"/>
              </w:rPr>
              <w:t>、</w:t>
            </w:r>
            <w:r>
              <w:rPr>
                <w:rFonts w:hint="eastAsia" w:ascii="方正兰亭纤黑简体" w:hAnsi="仿宋" w:eastAsia="方正兰亭纤黑简体" w:cs="仿宋"/>
                <w:kern w:val="0"/>
                <w:sz w:val="21"/>
                <w:szCs w:val="21"/>
                <w:lang w:bidi="ar"/>
              </w:rPr>
              <w:t>提升城市照明品质</w:t>
            </w:r>
          </w:p>
        </w:tc>
      </w:tr>
      <w:tr>
        <w:tblPrEx>
          <w:tblLayout w:type="fixed"/>
          <w:tblCellMar>
            <w:top w:w="0" w:type="dxa"/>
            <w:left w:w="108" w:type="dxa"/>
            <w:bottom w:w="0" w:type="dxa"/>
            <w:right w:w="108" w:type="dxa"/>
          </w:tblCellMar>
        </w:tblPrEx>
        <w:trPr>
          <w:trHeight w:val="3111"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城区灯饰建设及维护</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区城管局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城区至龙岗下道口约3k</w:t>
            </w:r>
            <w:r>
              <w:rPr>
                <w:rFonts w:ascii="方正兰亭纤黑简体" w:hAnsi="仿宋" w:eastAsia="方正兰亭纤黑简体"/>
                <w:sz w:val="21"/>
                <w:szCs w:val="21"/>
              </w:rPr>
              <w:t>m</w:t>
            </w:r>
            <w:r>
              <w:rPr>
                <w:rFonts w:hint="eastAsia" w:ascii="方正兰亭纤黑简体" w:hAnsi="仿宋" w:eastAsia="方正兰亭纤黑简体"/>
                <w:sz w:val="21"/>
                <w:szCs w:val="21"/>
              </w:rPr>
              <w:t>安装单背路灯100盏；城区北环路3400米、双塔路1000米、报恩路600米共5公里管网建设及改造两侧路灯332盏；城区480栋楼宇灯饰维护维修及升级；宏声广场、石刻大道等重要路段年底灯饰改造。</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2150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2150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2150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2022</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2022</w:t>
            </w:r>
          </w:p>
        </w:tc>
      </w:tr>
      <w:tr>
        <w:tblPrEx>
          <w:tblLayout w:type="fixed"/>
          <w:tblCellMar>
            <w:top w:w="0" w:type="dxa"/>
            <w:left w:w="108" w:type="dxa"/>
            <w:bottom w:w="0" w:type="dxa"/>
            <w:right w:w="108" w:type="dxa"/>
          </w:tblCellMar>
        </w:tblPrEx>
        <w:trPr>
          <w:trHeight w:val="1125"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2023年城区道路节点亮化安装</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区城管局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2023年城区道路节点亮化安装</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300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300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300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2023</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2023</w:t>
            </w:r>
          </w:p>
        </w:tc>
      </w:tr>
      <w:tr>
        <w:tblPrEx>
          <w:tblLayout w:type="fixed"/>
          <w:tblCellMar>
            <w:top w:w="0" w:type="dxa"/>
            <w:left w:w="108" w:type="dxa"/>
            <w:bottom w:w="0" w:type="dxa"/>
            <w:right w:w="108" w:type="dxa"/>
          </w:tblCellMar>
        </w:tblPrEx>
        <w:trPr>
          <w:trHeight w:val="419" w:hRule="atLeast"/>
        </w:trPr>
        <w:tc>
          <w:tcPr>
            <w:tcW w:w="5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3</w:t>
            </w:r>
          </w:p>
        </w:tc>
        <w:tc>
          <w:tcPr>
            <w:tcW w:w="1274"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大足区城市照明改造项目</w:t>
            </w:r>
          </w:p>
        </w:tc>
        <w:tc>
          <w:tcPr>
            <w:tcW w:w="11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区城市管理局</w:t>
            </w:r>
          </w:p>
        </w:tc>
        <w:tc>
          <w:tcPr>
            <w:tcW w:w="7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储备</w:t>
            </w:r>
          </w:p>
        </w:tc>
        <w:tc>
          <w:tcPr>
            <w:tcW w:w="40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对大足城区高能耗、技术老旧路灯进行更新换代，采用新型节能LED路灯，加装智慧控制系统，达到节能减排</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10000</w:t>
            </w:r>
          </w:p>
        </w:tc>
        <w:tc>
          <w:tcPr>
            <w:tcW w:w="99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10000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00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10000</w:t>
            </w:r>
          </w:p>
        </w:tc>
        <w:tc>
          <w:tcPr>
            <w:tcW w:w="99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2024</w:t>
            </w:r>
          </w:p>
        </w:tc>
        <w:tc>
          <w:tcPr>
            <w:tcW w:w="76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2024</w:t>
            </w:r>
          </w:p>
        </w:tc>
      </w:tr>
    </w:tbl>
    <w:p>
      <w:pPr>
        <w:ind w:firstLine="640"/>
      </w:pPr>
      <w:r>
        <w:br w:type="page"/>
      </w:r>
    </w:p>
    <w:tbl>
      <w:tblPr>
        <w:tblStyle w:val="24"/>
        <w:tblW w:w="14124" w:type="dxa"/>
        <w:tblInd w:w="24" w:type="dxa"/>
        <w:tblLayout w:type="fixed"/>
        <w:tblCellMar>
          <w:top w:w="0" w:type="dxa"/>
          <w:left w:w="108" w:type="dxa"/>
          <w:bottom w:w="0" w:type="dxa"/>
          <w:right w:w="108" w:type="dxa"/>
        </w:tblCellMar>
      </w:tblPr>
      <w:tblGrid>
        <w:gridCol w:w="574"/>
        <w:gridCol w:w="1520"/>
        <w:gridCol w:w="839"/>
        <w:gridCol w:w="825"/>
        <w:gridCol w:w="1833"/>
        <w:gridCol w:w="1421"/>
        <w:gridCol w:w="1796"/>
        <w:gridCol w:w="1211"/>
        <w:gridCol w:w="1221"/>
        <w:gridCol w:w="1161"/>
        <w:gridCol w:w="867"/>
        <w:gridCol w:w="856"/>
      </w:tblGrid>
      <w:tr>
        <w:tblPrEx>
          <w:tblLayout w:type="fixed"/>
          <w:tblCellMar>
            <w:top w:w="0" w:type="dxa"/>
            <w:left w:w="108" w:type="dxa"/>
            <w:bottom w:w="0" w:type="dxa"/>
            <w:right w:w="108" w:type="dxa"/>
          </w:tblCellMar>
        </w:tblPrEx>
        <w:trPr>
          <w:trHeight w:val="375" w:hRule="atLeast"/>
        </w:trPr>
        <w:tc>
          <w:tcPr>
            <w:tcW w:w="14124" w:type="dxa"/>
            <w:gridSpan w:val="12"/>
            <w:tcBorders>
              <w:top w:val="nil"/>
              <w:left w:val="nil"/>
              <w:bottom w:val="single" w:color="auto" w:sz="4" w:space="0"/>
              <w:right w:val="nil"/>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8"/>
                <w:szCs w:val="28"/>
              </w:rPr>
            </w:pPr>
            <w:r>
              <w:rPr>
                <w:rFonts w:hint="eastAsia" w:ascii="方正兰亭纤黑简体" w:hAnsi="仿宋" w:eastAsia="方正兰亭纤黑简体" w:cs="仿宋"/>
                <w:b/>
                <w:bCs/>
                <w:sz w:val="21"/>
                <w:szCs w:val="21"/>
              </w:rPr>
              <w:br w:type="page"/>
            </w:r>
            <w:r>
              <w:rPr>
                <w:rFonts w:hint="eastAsia" w:ascii="方正兰亭纤黑简体" w:hAnsi="仿宋" w:eastAsia="方正兰亭纤黑简体" w:cs="仿宋"/>
                <w:b/>
                <w:bCs/>
                <w:kern w:val="0"/>
                <w:sz w:val="28"/>
                <w:szCs w:val="28"/>
                <w:lang w:bidi="ar"/>
              </w:rPr>
              <w:t>供水项目</w:t>
            </w:r>
          </w:p>
        </w:tc>
      </w:tr>
      <w:tr>
        <w:tblPrEx>
          <w:tblLayout w:type="fixed"/>
          <w:tblCellMar>
            <w:top w:w="0" w:type="dxa"/>
            <w:left w:w="108" w:type="dxa"/>
            <w:bottom w:w="0" w:type="dxa"/>
            <w:right w:w="108" w:type="dxa"/>
          </w:tblCellMar>
        </w:tblPrEx>
        <w:trPr>
          <w:trHeight w:val="315" w:hRule="atLeast"/>
        </w:trPr>
        <w:tc>
          <w:tcPr>
            <w:tcW w:w="574"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序号</w:t>
            </w:r>
          </w:p>
        </w:tc>
        <w:tc>
          <w:tcPr>
            <w:tcW w:w="1520"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项目名字</w:t>
            </w:r>
          </w:p>
        </w:tc>
        <w:tc>
          <w:tcPr>
            <w:tcW w:w="839"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责任单位</w:t>
            </w:r>
          </w:p>
        </w:tc>
        <w:tc>
          <w:tcPr>
            <w:tcW w:w="825"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建设性质</w:t>
            </w:r>
          </w:p>
        </w:tc>
        <w:tc>
          <w:tcPr>
            <w:tcW w:w="1833"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建设内容</w:t>
            </w:r>
          </w:p>
        </w:tc>
        <w:tc>
          <w:tcPr>
            <w:tcW w:w="1421"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项目总投资（万元）</w:t>
            </w:r>
          </w:p>
        </w:tc>
        <w:tc>
          <w:tcPr>
            <w:tcW w:w="1796"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eastAsia="zh-CN" w:bidi="ar"/>
              </w:rPr>
              <w:t>“十四五”</w:t>
            </w:r>
            <w:r>
              <w:rPr>
                <w:rFonts w:hint="eastAsia" w:ascii="方正兰亭纤黑简体" w:hAnsi="仿宋" w:eastAsia="方正兰亭纤黑简体" w:cs="仿宋"/>
                <w:b/>
                <w:bCs/>
                <w:kern w:val="0"/>
                <w:sz w:val="21"/>
                <w:szCs w:val="21"/>
                <w:lang w:bidi="ar"/>
              </w:rPr>
              <w:t>计划投资（万元）</w:t>
            </w:r>
          </w:p>
        </w:tc>
        <w:tc>
          <w:tcPr>
            <w:tcW w:w="3593" w:type="dxa"/>
            <w:gridSpan w:val="3"/>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eastAsia="zh-CN" w:bidi="ar"/>
              </w:rPr>
              <w:t>“十四五”</w:t>
            </w:r>
            <w:r>
              <w:rPr>
                <w:rFonts w:hint="eastAsia" w:ascii="方正兰亭纤黑简体" w:hAnsi="仿宋" w:eastAsia="方正兰亭纤黑简体" w:cs="仿宋"/>
                <w:b/>
                <w:bCs/>
                <w:kern w:val="0"/>
                <w:sz w:val="21"/>
                <w:szCs w:val="21"/>
                <w:lang w:bidi="ar"/>
              </w:rPr>
              <w:t>计划投资分类（万元）</w:t>
            </w:r>
          </w:p>
        </w:tc>
        <w:tc>
          <w:tcPr>
            <w:tcW w:w="867"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开工时间</w:t>
            </w:r>
          </w:p>
        </w:tc>
        <w:tc>
          <w:tcPr>
            <w:tcW w:w="856"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竣工时间</w:t>
            </w:r>
          </w:p>
        </w:tc>
      </w:tr>
      <w:tr>
        <w:tblPrEx>
          <w:tblLayout w:type="fixed"/>
          <w:tblCellMar>
            <w:top w:w="0" w:type="dxa"/>
            <w:left w:w="108" w:type="dxa"/>
            <w:bottom w:w="0" w:type="dxa"/>
            <w:right w:w="108" w:type="dxa"/>
          </w:tblCellMar>
        </w:tblPrEx>
        <w:trPr>
          <w:trHeight w:val="810" w:hRule="atLeast"/>
        </w:trPr>
        <w:tc>
          <w:tcPr>
            <w:tcW w:w="574"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520"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839"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825"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833"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421"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796"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211"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中央</w:t>
            </w:r>
            <w:r>
              <w:rPr>
                <w:rFonts w:ascii="方正兰亭纤黑简体" w:hAnsi="仿宋" w:eastAsia="方正兰亭纤黑简体" w:cs="仿宋"/>
                <w:b/>
                <w:bCs/>
                <w:kern w:val="0"/>
                <w:sz w:val="21"/>
                <w:szCs w:val="21"/>
                <w:lang w:bidi="ar"/>
              </w:rPr>
              <w:t>及</w:t>
            </w:r>
            <w:r>
              <w:rPr>
                <w:rFonts w:hint="eastAsia" w:ascii="方正兰亭纤黑简体" w:hAnsi="仿宋" w:eastAsia="方正兰亭纤黑简体" w:cs="仿宋"/>
                <w:b/>
                <w:bCs/>
                <w:kern w:val="0"/>
                <w:sz w:val="21"/>
                <w:szCs w:val="21"/>
                <w:lang w:bidi="ar"/>
              </w:rPr>
              <w:t>市级投资</w:t>
            </w:r>
          </w:p>
        </w:tc>
        <w:tc>
          <w:tcPr>
            <w:tcW w:w="1221"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区级投资</w:t>
            </w:r>
          </w:p>
        </w:tc>
        <w:tc>
          <w:tcPr>
            <w:tcW w:w="1161"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其它</w:t>
            </w:r>
          </w:p>
        </w:tc>
        <w:tc>
          <w:tcPr>
            <w:tcW w:w="867"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856"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r>
      <w:tr>
        <w:tblPrEx>
          <w:tblLayout w:type="fixed"/>
          <w:tblCellMar>
            <w:top w:w="0" w:type="dxa"/>
            <w:left w:w="108" w:type="dxa"/>
            <w:bottom w:w="0" w:type="dxa"/>
            <w:right w:w="108" w:type="dxa"/>
          </w:tblCellMar>
        </w:tblPrEx>
        <w:trPr>
          <w:trHeight w:val="2269" w:hRule="atLeast"/>
        </w:trPr>
        <w:tc>
          <w:tcPr>
            <w:tcW w:w="574"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w:t>
            </w:r>
          </w:p>
        </w:tc>
        <w:tc>
          <w:tcPr>
            <w:tcW w:w="15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大足城区水厂搬迁工程</w:t>
            </w:r>
          </w:p>
        </w:tc>
        <w:tc>
          <w:tcPr>
            <w:tcW w:w="83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区城市管理局</w:t>
            </w:r>
          </w:p>
        </w:tc>
        <w:tc>
          <w:tcPr>
            <w:tcW w:w="82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1833" w:type="dxa"/>
            <w:tcBorders>
              <w:top w:val="single" w:color="auto" w:sz="4" w:space="0"/>
              <w:left w:val="single" w:color="auto" w:sz="4" w:space="0"/>
              <w:bottom w:val="single" w:color="auto" w:sz="4" w:space="0"/>
              <w:right w:val="single" w:color="auto" w:sz="4" w:space="0"/>
            </w:tcBorders>
            <w:shd w:val="clear" w:color="auto" w:fill="FFFFFF"/>
            <w:vAlign w:val="center"/>
          </w:tcPr>
          <w:p>
            <w:pPr>
              <w:spacing w:line="336" w:lineRule="auto"/>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将大足城区清明桥水厂和西门水厂进行整体搬迁，迁建水厂规模为10万吨/天（一期）</w:t>
            </w:r>
          </w:p>
        </w:tc>
        <w:tc>
          <w:tcPr>
            <w:tcW w:w="142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66430</w:t>
            </w:r>
          </w:p>
        </w:tc>
        <w:tc>
          <w:tcPr>
            <w:tcW w:w="1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66430</w:t>
            </w:r>
          </w:p>
        </w:tc>
        <w:tc>
          <w:tcPr>
            <w:tcW w:w="121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22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16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66430</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2023</w:t>
            </w:r>
          </w:p>
        </w:tc>
        <w:tc>
          <w:tcPr>
            <w:tcW w:w="85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2025</w:t>
            </w:r>
          </w:p>
        </w:tc>
      </w:tr>
      <w:tr>
        <w:tblPrEx>
          <w:tblLayout w:type="fixed"/>
          <w:tblCellMar>
            <w:top w:w="0" w:type="dxa"/>
            <w:left w:w="108" w:type="dxa"/>
            <w:bottom w:w="0" w:type="dxa"/>
            <w:right w:w="108" w:type="dxa"/>
          </w:tblCellMar>
        </w:tblPrEx>
        <w:trPr>
          <w:trHeight w:val="2269" w:hRule="atLeast"/>
        </w:trPr>
        <w:tc>
          <w:tcPr>
            <w:tcW w:w="5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2</w:t>
            </w:r>
          </w:p>
        </w:tc>
        <w:tc>
          <w:tcPr>
            <w:tcW w:w="15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三驱自来水厂扩建工程</w:t>
            </w:r>
          </w:p>
        </w:tc>
        <w:tc>
          <w:tcPr>
            <w:tcW w:w="83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海棠新城开发区、区水利局</w:t>
            </w:r>
          </w:p>
        </w:tc>
        <w:tc>
          <w:tcPr>
            <w:tcW w:w="82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完工</w:t>
            </w:r>
          </w:p>
        </w:tc>
        <w:tc>
          <w:tcPr>
            <w:tcW w:w="183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新建1万m</w:t>
            </w:r>
            <w:r>
              <w:rPr>
                <w:rFonts w:ascii="Calibri" w:hAnsi="Calibri" w:eastAsia="方正兰亭纤黑简体" w:cs="Calibri"/>
                <w:color w:val="FF0000"/>
                <w:sz w:val="21"/>
                <w:szCs w:val="21"/>
              </w:rPr>
              <w:t>³</w:t>
            </w:r>
            <w:r>
              <w:rPr>
                <w:rFonts w:hint="eastAsia" w:ascii="方正兰亭纤黑简体" w:hAnsi="仿宋" w:eastAsia="方正兰亭纤黑简体"/>
                <w:color w:val="FF0000"/>
                <w:sz w:val="21"/>
                <w:szCs w:val="21"/>
              </w:rPr>
              <w:t>/d的净水处理工艺，1万m</w:t>
            </w:r>
            <w:r>
              <w:rPr>
                <w:rFonts w:ascii="Calibri" w:hAnsi="Calibri" w:eastAsia="方正兰亭纤黑简体" w:cs="Calibri"/>
                <w:color w:val="FF0000"/>
                <w:sz w:val="21"/>
                <w:szCs w:val="21"/>
              </w:rPr>
              <w:t>³</w:t>
            </w:r>
            <w:r>
              <w:rPr>
                <w:rFonts w:hint="eastAsia" w:ascii="方正兰亭纤黑简体" w:hAnsi="仿宋" w:eastAsia="方正兰亭纤黑简体"/>
                <w:color w:val="FF0000"/>
                <w:sz w:val="21"/>
                <w:szCs w:val="21"/>
              </w:rPr>
              <w:t>/d后臭氧氧化+活性炭滤池，1万m</w:t>
            </w:r>
            <w:r>
              <w:rPr>
                <w:rFonts w:ascii="Calibri" w:hAnsi="Calibri" w:eastAsia="方正兰亭纤黑简体" w:cs="Calibri"/>
                <w:color w:val="FF0000"/>
                <w:sz w:val="21"/>
                <w:szCs w:val="21"/>
              </w:rPr>
              <w:t>³</w:t>
            </w:r>
            <w:r>
              <w:rPr>
                <w:rFonts w:hint="eastAsia" w:ascii="方正兰亭纤黑简体" w:hAnsi="仿宋" w:eastAsia="方正兰亭纤黑简体"/>
                <w:color w:val="FF0000"/>
                <w:sz w:val="21"/>
                <w:szCs w:val="21"/>
              </w:rPr>
              <w:t>/d的污泥处理系统，取水水泵站规模为2.5万m</w:t>
            </w:r>
            <w:r>
              <w:rPr>
                <w:rFonts w:ascii="Calibri" w:hAnsi="Calibri" w:eastAsia="方正兰亭纤黑简体" w:cs="Calibri"/>
                <w:color w:val="FF0000"/>
                <w:sz w:val="21"/>
                <w:szCs w:val="21"/>
              </w:rPr>
              <w:t>³</w:t>
            </w:r>
            <w:r>
              <w:rPr>
                <w:rFonts w:hint="eastAsia" w:ascii="方正兰亭纤黑简体" w:hAnsi="仿宋" w:eastAsia="方正兰亭纤黑简体"/>
                <w:color w:val="FF0000"/>
                <w:sz w:val="21"/>
                <w:szCs w:val="21"/>
              </w:rPr>
              <w:t>/d，取水输水管线规模为2.5万m</w:t>
            </w:r>
            <w:r>
              <w:rPr>
                <w:rFonts w:ascii="Calibri" w:hAnsi="Calibri" w:eastAsia="方正兰亭纤黑简体" w:cs="Calibri"/>
                <w:color w:val="FF0000"/>
                <w:sz w:val="21"/>
                <w:szCs w:val="21"/>
              </w:rPr>
              <w:t>³</w:t>
            </w:r>
            <w:r>
              <w:rPr>
                <w:rFonts w:hint="eastAsia" w:ascii="方正兰亭纤黑简体" w:hAnsi="仿宋" w:eastAsia="方正兰亭纤黑简体"/>
                <w:color w:val="FF0000"/>
                <w:sz w:val="21"/>
                <w:szCs w:val="21"/>
              </w:rPr>
              <w:t>/d。新建14公里内径500mm的管道。预计总征地 16.36亩。</w:t>
            </w:r>
          </w:p>
        </w:tc>
        <w:tc>
          <w:tcPr>
            <w:tcW w:w="142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20000</w:t>
            </w:r>
          </w:p>
        </w:tc>
        <w:tc>
          <w:tcPr>
            <w:tcW w:w="1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20000</w:t>
            </w:r>
          </w:p>
        </w:tc>
        <w:tc>
          <w:tcPr>
            <w:tcW w:w="121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w:t>
            </w:r>
          </w:p>
        </w:tc>
        <w:tc>
          <w:tcPr>
            <w:tcW w:w="122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w:t>
            </w:r>
          </w:p>
        </w:tc>
        <w:tc>
          <w:tcPr>
            <w:tcW w:w="116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20000</w:t>
            </w:r>
          </w:p>
        </w:tc>
        <w:tc>
          <w:tcPr>
            <w:tcW w:w="86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2023</w:t>
            </w:r>
          </w:p>
        </w:tc>
        <w:tc>
          <w:tcPr>
            <w:tcW w:w="85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2025</w:t>
            </w:r>
          </w:p>
        </w:tc>
      </w:tr>
    </w:tbl>
    <w:p>
      <w:pPr>
        <w:ind w:firstLine="640"/>
      </w:pPr>
      <w:r>
        <w:br w:type="page"/>
      </w:r>
    </w:p>
    <w:tbl>
      <w:tblPr>
        <w:tblStyle w:val="24"/>
        <w:tblW w:w="14174" w:type="dxa"/>
        <w:tblInd w:w="0" w:type="dxa"/>
        <w:tblLayout w:type="fixed"/>
        <w:tblCellMar>
          <w:top w:w="0" w:type="dxa"/>
          <w:left w:w="108" w:type="dxa"/>
          <w:bottom w:w="0" w:type="dxa"/>
          <w:right w:w="108" w:type="dxa"/>
        </w:tblCellMar>
      </w:tblPr>
      <w:tblGrid>
        <w:gridCol w:w="420"/>
        <w:gridCol w:w="1874"/>
        <w:gridCol w:w="799"/>
        <w:gridCol w:w="837"/>
        <w:gridCol w:w="2546"/>
        <w:gridCol w:w="1275"/>
        <w:gridCol w:w="1590"/>
        <w:gridCol w:w="870"/>
        <w:gridCol w:w="1219"/>
        <w:gridCol w:w="1109"/>
        <w:gridCol w:w="839"/>
        <w:gridCol w:w="796"/>
      </w:tblGrid>
      <w:tr>
        <w:tblPrEx>
          <w:tblLayout w:type="fixed"/>
          <w:tblCellMar>
            <w:top w:w="0" w:type="dxa"/>
            <w:left w:w="108" w:type="dxa"/>
            <w:bottom w:w="0" w:type="dxa"/>
            <w:right w:w="108" w:type="dxa"/>
          </w:tblCellMar>
        </w:tblPrEx>
        <w:trPr>
          <w:trHeight w:val="375" w:hRule="atLeast"/>
        </w:trPr>
        <w:tc>
          <w:tcPr>
            <w:tcW w:w="14174" w:type="dxa"/>
            <w:gridSpan w:val="12"/>
            <w:tcBorders>
              <w:top w:val="nil"/>
              <w:left w:val="nil"/>
              <w:bottom w:val="single" w:color="auto" w:sz="4" w:space="0"/>
              <w:right w:val="nil"/>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8"/>
                <w:szCs w:val="28"/>
              </w:rPr>
            </w:pPr>
            <w:r>
              <w:rPr>
                <w:rFonts w:hint="eastAsia" w:ascii="方正兰亭纤黑简体" w:hAnsi="仿宋" w:eastAsia="方正兰亭纤黑简体" w:cs="仿宋"/>
                <w:b/>
                <w:bCs/>
                <w:sz w:val="21"/>
                <w:szCs w:val="21"/>
              </w:rPr>
              <w:br w:type="page"/>
            </w:r>
            <w:r>
              <w:rPr>
                <w:rFonts w:hint="eastAsia" w:ascii="方正兰亭纤黑简体" w:hAnsi="仿宋" w:eastAsia="方正兰亭纤黑简体" w:cs="仿宋"/>
                <w:b/>
                <w:bCs/>
                <w:kern w:val="0"/>
                <w:sz w:val="28"/>
                <w:szCs w:val="28"/>
                <w:lang w:bidi="ar"/>
              </w:rPr>
              <w:t>电力</w:t>
            </w:r>
            <w:r>
              <w:rPr>
                <w:rFonts w:hint="eastAsia" w:ascii="方正兰亭纤黑简体" w:hAnsi="仿宋" w:eastAsia="方正兰亭纤黑简体" w:cs="方正仿宋_GBK"/>
                <w:b/>
                <w:bCs/>
                <w:kern w:val="0"/>
                <w:sz w:val="28"/>
                <w:szCs w:val="28"/>
              </w:rPr>
              <w:t>项目</w:t>
            </w:r>
          </w:p>
        </w:tc>
      </w:tr>
      <w:tr>
        <w:tblPrEx>
          <w:tblLayout w:type="fixed"/>
          <w:tblCellMar>
            <w:top w:w="0" w:type="dxa"/>
            <w:left w:w="108" w:type="dxa"/>
            <w:bottom w:w="0" w:type="dxa"/>
            <w:right w:w="108" w:type="dxa"/>
          </w:tblCellMar>
        </w:tblPrEx>
        <w:trPr>
          <w:trHeight w:val="315" w:hRule="atLeast"/>
        </w:trPr>
        <w:tc>
          <w:tcPr>
            <w:tcW w:w="420"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序号</w:t>
            </w:r>
          </w:p>
        </w:tc>
        <w:tc>
          <w:tcPr>
            <w:tcW w:w="1874"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项目名字</w:t>
            </w:r>
          </w:p>
        </w:tc>
        <w:tc>
          <w:tcPr>
            <w:tcW w:w="799"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责任单位</w:t>
            </w:r>
          </w:p>
        </w:tc>
        <w:tc>
          <w:tcPr>
            <w:tcW w:w="837"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建设性质</w:t>
            </w:r>
          </w:p>
        </w:tc>
        <w:tc>
          <w:tcPr>
            <w:tcW w:w="2546"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建设内容</w:t>
            </w:r>
          </w:p>
        </w:tc>
        <w:tc>
          <w:tcPr>
            <w:tcW w:w="1275"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项目总投资（万元）</w:t>
            </w:r>
          </w:p>
        </w:tc>
        <w:tc>
          <w:tcPr>
            <w:tcW w:w="1590"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eastAsia="zh-CN" w:bidi="ar"/>
              </w:rPr>
              <w:t>“十四五”</w:t>
            </w:r>
            <w:r>
              <w:rPr>
                <w:rFonts w:hint="eastAsia" w:ascii="方正兰亭纤黑简体" w:hAnsi="仿宋" w:eastAsia="方正兰亭纤黑简体" w:cs="仿宋"/>
                <w:b/>
                <w:bCs/>
                <w:kern w:val="0"/>
                <w:sz w:val="21"/>
                <w:szCs w:val="21"/>
                <w:lang w:bidi="ar"/>
              </w:rPr>
              <w:t>计划投资（万元）</w:t>
            </w:r>
          </w:p>
        </w:tc>
        <w:tc>
          <w:tcPr>
            <w:tcW w:w="3198" w:type="dxa"/>
            <w:gridSpan w:val="3"/>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eastAsia="zh-CN" w:bidi="ar"/>
              </w:rPr>
              <w:t>“十四五”</w:t>
            </w:r>
            <w:r>
              <w:rPr>
                <w:rFonts w:hint="eastAsia" w:ascii="方正兰亭纤黑简体" w:hAnsi="仿宋" w:eastAsia="方正兰亭纤黑简体" w:cs="仿宋"/>
                <w:b/>
                <w:bCs/>
                <w:kern w:val="0"/>
                <w:sz w:val="21"/>
                <w:szCs w:val="21"/>
                <w:lang w:bidi="ar"/>
              </w:rPr>
              <w:t>计划投资分类（万元）</w:t>
            </w:r>
          </w:p>
        </w:tc>
        <w:tc>
          <w:tcPr>
            <w:tcW w:w="839"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开工时间</w:t>
            </w:r>
          </w:p>
        </w:tc>
        <w:tc>
          <w:tcPr>
            <w:tcW w:w="796"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竣工时间</w:t>
            </w:r>
          </w:p>
        </w:tc>
      </w:tr>
      <w:tr>
        <w:tblPrEx>
          <w:tblLayout w:type="fixed"/>
          <w:tblCellMar>
            <w:top w:w="0" w:type="dxa"/>
            <w:left w:w="108" w:type="dxa"/>
            <w:bottom w:w="0" w:type="dxa"/>
            <w:right w:w="108" w:type="dxa"/>
          </w:tblCellMar>
        </w:tblPrEx>
        <w:trPr>
          <w:trHeight w:val="630" w:hRule="atLeast"/>
        </w:trPr>
        <w:tc>
          <w:tcPr>
            <w:tcW w:w="420"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874"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799"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837"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2546"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275"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590"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中央</w:t>
            </w:r>
            <w:r>
              <w:rPr>
                <w:rFonts w:ascii="方正兰亭纤黑简体" w:hAnsi="仿宋" w:eastAsia="方正兰亭纤黑简体" w:cs="仿宋"/>
                <w:b/>
                <w:bCs/>
                <w:kern w:val="0"/>
                <w:sz w:val="21"/>
                <w:szCs w:val="21"/>
                <w:lang w:bidi="ar"/>
              </w:rPr>
              <w:t>及</w:t>
            </w:r>
            <w:r>
              <w:rPr>
                <w:rFonts w:hint="eastAsia" w:ascii="方正兰亭纤黑简体" w:hAnsi="仿宋" w:eastAsia="方正兰亭纤黑简体" w:cs="仿宋"/>
                <w:b/>
                <w:bCs/>
                <w:kern w:val="0"/>
                <w:sz w:val="21"/>
                <w:szCs w:val="21"/>
                <w:lang w:bidi="ar"/>
              </w:rPr>
              <w:t>市级投资</w:t>
            </w:r>
          </w:p>
        </w:tc>
        <w:tc>
          <w:tcPr>
            <w:tcW w:w="1219"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区级投资</w:t>
            </w:r>
          </w:p>
        </w:tc>
        <w:tc>
          <w:tcPr>
            <w:tcW w:w="1109"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其它</w:t>
            </w:r>
          </w:p>
        </w:tc>
        <w:tc>
          <w:tcPr>
            <w:tcW w:w="839"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796"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r>
      <w:tr>
        <w:tblPrEx>
          <w:tblLayout w:type="fixed"/>
          <w:tblCellMar>
            <w:top w:w="0" w:type="dxa"/>
            <w:left w:w="108" w:type="dxa"/>
            <w:bottom w:w="0" w:type="dxa"/>
            <w:right w:w="108" w:type="dxa"/>
          </w:tblCellMar>
        </w:tblPrEx>
        <w:trPr>
          <w:trHeight w:val="1800" w:hRule="atLeast"/>
        </w:trPr>
        <w:tc>
          <w:tcPr>
            <w:tcW w:w="4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w:t>
            </w:r>
          </w:p>
        </w:tc>
        <w:tc>
          <w:tcPr>
            <w:tcW w:w="18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重庆大足110kV马家坡变电站110kV变压器利旧改造</w:t>
            </w:r>
          </w:p>
        </w:tc>
        <w:tc>
          <w:tcPr>
            <w:tcW w:w="79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区经济信息委</w:t>
            </w:r>
          </w:p>
        </w:tc>
        <w:tc>
          <w:tcPr>
            <w:tcW w:w="83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254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1、扩建110kV配电装置线路-变压器组间隔一个,将库存变压器移装至马家坡3号主变压器位置;2、新建扩大110kV内桥接线一个;3、新建110kV III段母线PT间隔;4、新增及改造3号主变10kV开关柜;5、新增相应保护测控装置;6、完善防雷接地系统及相关一二次接线,完善配电照明系统。</w:t>
            </w:r>
          </w:p>
        </w:tc>
        <w:tc>
          <w:tcPr>
            <w:tcW w:w="12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847</w:t>
            </w:r>
          </w:p>
        </w:tc>
        <w:tc>
          <w:tcPr>
            <w:tcW w:w="159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847</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2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1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847</w:t>
            </w:r>
          </w:p>
        </w:tc>
        <w:tc>
          <w:tcPr>
            <w:tcW w:w="83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2022</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2023</w:t>
            </w:r>
          </w:p>
        </w:tc>
      </w:tr>
      <w:tr>
        <w:tblPrEx>
          <w:tblLayout w:type="fixed"/>
          <w:tblCellMar>
            <w:top w:w="0" w:type="dxa"/>
            <w:left w:w="108" w:type="dxa"/>
            <w:bottom w:w="0" w:type="dxa"/>
            <w:right w:w="108" w:type="dxa"/>
          </w:tblCellMar>
        </w:tblPrEx>
        <w:trPr>
          <w:trHeight w:val="900" w:hRule="atLeast"/>
        </w:trPr>
        <w:tc>
          <w:tcPr>
            <w:tcW w:w="4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w:t>
            </w:r>
          </w:p>
        </w:tc>
        <w:tc>
          <w:tcPr>
            <w:tcW w:w="18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十里110kV变电站35kV送出工程</w:t>
            </w:r>
          </w:p>
        </w:tc>
        <w:tc>
          <w:tcPr>
            <w:tcW w:w="79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区经济信息委</w:t>
            </w:r>
          </w:p>
        </w:tc>
        <w:tc>
          <w:tcPr>
            <w:tcW w:w="83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254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新建35千伏线路1.8公里，新立双回路杆塔5基</w:t>
            </w:r>
          </w:p>
        </w:tc>
        <w:tc>
          <w:tcPr>
            <w:tcW w:w="12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586</w:t>
            </w:r>
          </w:p>
        </w:tc>
        <w:tc>
          <w:tcPr>
            <w:tcW w:w="159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586</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2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1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586</w:t>
            </w:r>
          </w:p>
        </w:tc>
        <w:tc>
          <w:tcPr>
            <w:tcW w:w="83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2022</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2023</w:t>
            </w:r>
          </w:p>
        </w:tc>
      </w:tr>
      <w:tr>
        <w:tblPrEx>
          <w:tblLayout w:type="fixed"/>
          <w:tblCellMar>
            <w:top w:w="0" w:type="dxa"/>
            <w:left w:w="108" w:type="dxa"/>
            <w:bottom w:w="0" w:type="dxa"/>
            <w:right w:w="108" w:type="dxa"/>
          </w:tblCellMar>
        </w:tblPrEx>
        <w:trPr>
          <w:trHeight w:val="900" w:hRule="atLeast"/>
        </w:trPr>
        <w:tc>
          <w:tcPr>
            <w:tcW w:w="4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ascii="方正兰亭纤黑简体" w:hAnsi="仿宋" w:eastAsia="方正兰亭纤黑简体"/>
                <w:sz w:val="21"/>
                <w:szCs w:val="21"/>
              </w:rPr>
              <w:t>3</w:t>
            </w:r>
          </w:p>
        </w:tc>
        <w:tc>
          <w:tcPr>
            <w:tcW w:w="18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重庆大足大雄110kV输变电工程</w:t>
            </w:r>
          </w:p>
        </w:tc>
        <w:tc>
          <w:tcPr>
            <w:tcW w:w="79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区经济信息委</w:t>
            </w:r>
          </w:p>
        </w:tc>
        <w:tc>
          <w:tcPr>
            <w:tcW w:w="83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254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新建110千伏变电站1座，新建线路约30公里。</w:t>
            </w:r>
          </w:p>
        </w:tc>
        <w:tc>
          <w:tcPr>
            <w:tcW w:w="12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12000</w:t>
            </w:r>
          </w:p>
        </w:tc>
        <w:tc>
          <w:tcPr>
            <w:tcW w:w="159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12000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2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1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12000</w:t>
            </w:r>
          </w:p>
        </w:tc>
        <w:tc>
          <w:tcPr>
            <w:tcW w:w="83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2023</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2023</w:t>
            </w:r>
          </w:p>
        </w:tc>
      </w:tr>
      <w:tr>
        <w:tblPrEx>
          <w:tblLayout w:type="fixed"/>
          <w:tblCellMar>
            <w:top w:w="0" w:type="dxa"/>
            <w:left w:w="108" w:type="dxa"/>
            <w:bottom w:w="0" w:type="dxa"/>
            <w:right w:w="108" w:type="dxa"/>
          </w:tblCellMar>
        </w:tblPrEx>
        <w:trPr>
          <w:trHeight w:val="900" w:hRule="atLeast"/>
        </w:trPr>
        <w:tc>
          <w:tcPr>
            <w:tcW w:w="420"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4</w:t>
            </w:r>
          </w:p>
        </w:tc>
        <w:tc>
          <w:tcPr>
            <w:tcW w:w="18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sz w:val="21"/>
                <w:szCs w:val="21"/>
              </w:rPr>
            </w:pPr>
            <w:r>
              <w:rPr>
                <w:rFonts w:hint="eastAsia" w:ascii="方正兰亭纤黑简体" w:hAnsi="仿宋" w:eastAsia="方正兰亭纤黑简体"/>
                <w:sz w:val="21"/>
                <w:szCs w:val="21"/>
              </w:rPr>
              <w:t>重庆大足智凤220千伏输变电工程</w:t>
            </w:r>
          </w:p>
        </w:tc>
        <w:tc>
          <w:tcPr>
            <w:tcW w:w="79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sz w:val="21"/>
                <w:szCs w:val="21"/>
              </w:rPr>
            </w:pPr>
            <w:r>
              <w:rPr>
                <w:rFonts w:hint="eastAsia" w:ascii="方正兰亭纤黑简体" w:hAnsi="仿宋" w:eastAsia="方正兰亭纤黑简体"/>
                <w:sz w:val="21"/>
                <w:szCs w:val="21"/>
              </w:rPr>
              <w:t>区经济信息委</w:t>
            </w:r>
          </w:p>
        </w:tc>
        <w:tc>
          <w:tcPr>
            <w:tcW w:w="83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254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sz w:val="21"/>
                <w:szCs w:val="21"/>
              </w:rPr>
            </w:pPr>
            <w:r>
              <w:rPr>
                <w:rFonts w:hint="eastAsia" w:ascii="方正兰亭纤黑简体" w:hAnsi="仿宋" w:eastAsia="方正兰亭纤黑简体"/>
                <w:sz w:val="21"/>
                <w:szCs w:val="21"/>
              </w:rPr>
              <w:t>新建220千伏变电站1座，新建线路约60km。</w:t>
            </w:r>
          </w:p>
        </w:tc>
        <w:tc>
          <w:tcPr>
            <w:tcW w:w="12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sz w:val="21"/>
                <w:szCs w:val="21"/>
              </w:rPr>
            </w:pPr>
            <w:r>
              <w:rPr>
                <w:rFonts w:hint="eastAsia" w:ascii="方正兰亭纤黑简体" w:hAnsi="仿宋" w:eastAsia="方正兰亭纤黑简体"/>
                <w:sz w:val="21"/>
                <w:szCs w:val="21"/>
              </w:rPr>
              <w:t>42000</w:t>
            </w:r>
          </w:p>
        </w:tc>
        <w:tc>
          <w:tcPr>
            <w:tcW w:w="159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sz w:val="21"/>
                <w:szCs w:val="21"/>
              </w:rPr>
            </w:pPr>
            <w:r>
              <w:rPr>
                <w:rFonts w:hint="eastAsia" w:ascii="方正兰亭纤黑简体" w:hAnsi="仿宋" w:eastAsia="方正兰亭纤黑简体"/>
                <w:sz w:val="21"/>
                <w:szCs w:val="21"/>
              </w:rPr>
              <w:t>42000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2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1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sz w:val="21"/>
                <w:szCs w:val="21"/>
              </w:rPr>
            </w:pPr>
            <w:r>
              <w:rPr>
                <w:rFonts w:hint="eastAsia" w:ascii="方正兰亭纤黑简体" w:hAnsi="仿宋" w:eastAsia="方正兰亭纤黑简体"/>
                <w:sz w:val="21"/>
                <w:szCs w:val="21"/>
              </w:rPr>
              <w:t>42000</w:t>
            </w:r>
          </w:p>
        </w:tc>
        <w:tc>
          <w:tcPr>
            <w:tcW w:w="83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sz w:val="21"/>
                <w:szCs w:val="21"/>
              </w:rPr>
            </w:pPr>
            <w:r>
              <w:rPr>
                <w:rFonts w:hint="eastAsia" w:ascii="方正兰亭纤黑简体" w:hAnsi="仿宋" w:eastAsia="方正兰亭纤黑简体"/>
                <w:sz w:val="21"/>
                <w:szCs w:val="21"/>
              </w:rPr>
              <w:t>2023</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sz w:val="21"/>
                <w:szCs w:val="21"/>
              </w:rPr>
            </w:pPr>
            <w:r>
              <w:rPr>
                <w:rFonts w:hint="eastAsia" w:ascii="方正兰亭纤黑简体" w:hAnsi="仿宋" w:eastAsia="方正兰亭纤黑简体"/>
                <w:sz w:val="21"/>
                <w:szCs w:val="21"/>
              </w:rPr>
              <w:t>2025</w:t>
            </w:r>
          </w:p>
        </w:tc>
      </w:tr>
      <w:tr>
        <w:tblPrEx>
          <w:tblLayout w:type="fixed"/>
          <w:tblCellMar>
            <w:top w:w="0" w:type="dxa"/>
            <w:left w:w="108" w:type="dxa"/>
            <w:bottom w:w="0" w:type="dxa"/>
            <w:right w:w="108" w:type="dxa"/>
          </w:tblCellMar>
        </w:tblPrEx>
        <w:trPr>
          <w:trHeight w:val="900" w:hRule="atLeast"/>
        </w:trPr>
        <w:tc>
          <w:tcPr>
            <w:tcW w:w="4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sz w:val="21"/>
                <w:szCs w:val="21"/>
              </w:rPr>
            </w:pPr>
            <w:r>
              <w:rPr>
                <w:rFonts w:hint="eastAsia" w:ascii="方正兰亭纤黑简体" w:hAnsi="仿宋" w:eastAsia="方正兰亭纤黑简体"/>
                <w:sz w:val="21"/>
                <w:szCs w:val="21"/>
              </w:rPr>
              <w:t>5</w:t>
            </w:r>
          </w:p>
        </w:tc>
        <w:tc>
          <w:tcPr>
            <w:tcW w:w="18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sz w:val="21"/>
                <w:szCs w:val="21"/>
              </w:rPr>
            </w:pPr>
            <w:r>
              <w:rPr>
                <w:rFonts w:hint="eastAsia" w:ascii="方正兰亭纤黑简体" w:hAnsi="仿宋" w:eastAsia="方正兰亭纤黑简体"/>
                <w:sz w:val="21"/>
                <w:szCs w:val="21"/>
              </w:rPr>
              <w:t>重庆大足智凤220千伏变电站110千伏送出工程</w:t>
            </w:r>
          </w:p>
        </w:tc>
        <w:tc>
          <w:tcPr>
            <w:tcW w:w="79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sz w:val="21"/>
                <w:szCs w:val="21"/>
              </w:rPr>
            </w:pPr>
            <w:r>
              <w:rPr>
                <w:rFonts w:hint="eastAsia" w:ascii="方正兰亭纤黑简体" w:hAnsi="仿宋" w:eastAsia="方正兰亭纤黑简体"/>
                <w:sz w:val="21"/>
                <w:szCs w:val="21"/>
              </w:rPr>
              <w:t>区经济信息委</w:t>
            </w:r>
          </w:p>
        </w:tc>
        <w:tc>
          <w:tcPr>
            <w:tcW w:w="83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254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sz w:val="21"/>
                <w:szCs w:val="21"/>
              </w:rPr>
            </w:pPr>
            <w:r>
              <w:rPr>
                <w:rFonts w:hint="eastAsia" w:ascii="方正兰亭纤黑简体" w:hAnsi="仿宋" w:eastAsia="方正兰亭纤黑简体"/>
                <w:sz w:val="21"/>
                <w:szCs w:val="21"/>
              </w:rPr>
              <w:t>新建智凤站至马家坡站通道电缆排管，全长2.3公里</w:t>
            </w:r>
          </w:p>
        </w:tc>
        <w:tc>
          <w:tcPr>
            <w:tcW w:w="12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sz w:val="21"/>
                <w:szCs w:val="21"/>
              </w:rPr>
            </w:pPr>
            <w:r>
              <w:rPr>
                <w:rFonts w:hint="eastAsia" w:ascii="方正兰亭纤黑简体" w:hAnsi="仿宋" w:eastAsia="方正兰亭纤黑简体"/>
                <w:sz w:val="21"/>
                <w:szCs w:val="21"/>
              </w:rPr>
              <w:t>4000</w:t>
            </w:r>
          </w:p>
        </w:tc>
        <w:tc>
          <w:tcPr>
            <w:tcW w:w="159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sz w:val="21"/>
                <w:szCs w:val="21"/>
              </w:rPr>
            </w:pPr>
            <w:r>
              <w:rPr>
                <w:rFonts w:hint="eastAsia" w:ascii="方正兰亭纤黑简体" w:hAnsi="仿宋" w:eastAsia="方正兰亭纤黑简体"/>
                <w:sz w:val="21"/>
                <w:szCs w:val="21"/>
              </w:rPr>
              <w:t>4000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2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1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sz w:val="21"/>
                <w:szCs w:val="21"/>
              </w:rPr>
            </w:pPr>
            <w:r>
              <w:rPr>
                <w:rFonts w:hint="eastAsia" w:ascii="方正兰亭纤黑简体" w:hAnsi="仿宋" w:eastAsia="方正兰亭纤黑简体"/>
                <w:sz w:val="21"/>
                <w:szCs w:val="21"/>
              </w:rPr>
              <w:t>4000</w:t>
            </w:r>
          </w:p>
        </w:tc>
        <w:tc>
          <w:tcPr>
            <w:tcW w:w="83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sz w:val="21"/>
                <w:szCs w:val="21"/>
              </w:rPr>
            </w:pPr>
            <w:r>
              <w:rPr>
                <w:rFonts w:hint="eastAsia" w:ascii="方正兰亭纤黑简体" w:hAnsi="仿宋" w:eastAsia="方正兰亭纤黑简体"/>
                <w:sz w:val="21"/>
                <w:szCs w:val="21"/>
              </w:rPr>
              <w:t>2023</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sz w:val="21"/>
                <w:szCs w:val="21"/>
              </w:rPr>
            </w:pPr>
            <w:r>
              <w:rPr>
                <w:rFonts w:hint="eastAsia" w:ascii="方正兰亭纤黑简体" w:hAnsi="仿宋" w:eastAsia="方正兰亭纤黑简体"/>
                <w:sz w:val="21"/>
                <w:szCs w:val="21"/>
              </w:rPr>
              <w:t>2024</w:t>
            </w:r>
          </w:p>
        </w:tc>
      </w:tr>
      <w:tr>
        <w:tblPrEx>
          <w:tblLayout w:type="fixed"/>
          <w:tblCellMar>
            <w:top w:w="0" w:type="dxa"/>
            <w:left w:w="108" w:type="dxa"/>
            <w:bottom w:w="0" w:type="dxa"/>
            <w:right w:w="108" w:type="dxa"/>
          </w:tblCellMar>
        </w:tblPrEx>
        <w:trPr>
          <w:trHeight w:val="900" w:hRule="atLeast"/>
        </w:trPr>
        <w:tc>
          <w:tcPr>
            <w:tcW w:w="4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ascii="方正兰亭纤黑简体" w:hAnsi="仿宋" w:eastAsia="方正兰亭纤黑简体"/>
                <w:sz w:val="21"/>
                <w:szCs w:val="21"/>
              </w:rPr>
              <w:t>6</w:t>
            </w:r>
          </w:p>
        </w:tc>
        <w:tc>
          <w:tcPr>
            <w:tcW w:w="18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重庆大足大围35kV变电站1号主变改造工程</w:t>
            </w:r>
          </w:p>
        </w:tc>
        <w:tc>
          <w:tcPr>
            <w:tcW w:w="79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区经济信息委</w:t>
            </w:r>
          </w:p>
        </w:tc>
        <w:tc>
          <w:tcPr>
            <w:tcW w:w="83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254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将大围35kV变电站1号主变容量由5MVA 增容为10MVA，扩建间隔3个，完善各侧设备连线，新建线路0.55公里。</w:t>
            </w:r>
          </w:p>
        </w:tc>
        <w:tc>
          <w:tcPr>
            <w:tcW w:w="12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783</w:t>
            </w:r>
          </w:p>
        </w:tc>
        <w:tc>
          <w:tcPr>
            <w:tcW w:w="159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783</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783</w:t>
            </w:r>
          </w:p>
        </w:tc>
        <w:tc>
          <w:tcPr>
            <w:tcW w:w="12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1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83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2023</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2023</w:t>
            </w:r>
          </w:p>
        </w:tc>
      </w:tr>
      <w:tr>
        <w:tblPrEx>
          <w:tblLayout w:type="fixed"/>
          <w:tblCellMar>
            <w:top w:w="0" w:type="dxa"/>
            <w:left w:w="108" w:type="dxa"/>
            <w:bottom w:w="0" w:type="dxa"/>
            <w:right w:w="108" w:type="dxa"/>
          </w:tblCellMar>
        </w:tblPrEx>
        <w:trPr>
          <w:trHeight w:val="1140" w:hRule="atLeast"/>
        </w:trPr>
        <w:tc>
          <w:tcPr>
            <w:tcW w:w="4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ascii="方正兰亭纤黑简体" w:hAnsi="仿宋" w:eastAsia="方正兰亭纤黑简体"/>
                <w:sz w:val="21"/>
                <w:szCs w:val="21"/>
              </w:rPr>
              <w:t>7</w:t>
            </w:r>
          </w:p>
        </w:tc>
        <w:tc>
          <w:tcPr>
            <w:tcW w:w="18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重庆大足水丰110kV变电站35kV送出工程</w:t>
            </w:r>
          </w:p>
        </w:tc>
        <w:tc>
          <w:tcPr>
            <w:tcW w:w="79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区经济信息委</w:t>
            </w:r>
          </w:p>
        </w:tc>
        <w:tc>
          <w:tcPr>
            <w:tcW w:w="83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254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扩建35kV电缆出线开关柜3台。新建35千伏线路2.15公里，新建杆塔10基,新建电缆路径长度0.248公里</w:t>
            </w:r>
          </w:p>
        </w:tc>
        <w:tc>
          <w:tcPr>
            <w:tcW w:w="12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687</w:t>
            </w:r>
          </w:p>
        </w:tc>
        <w:tc>
          <w:tcPr>
            <w:tcW w:w="159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687</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687</w:t>
            </w:r>
          </w:p>
        </w:tc>
        <w:tc>
          <w:tcPr>
            <w:tcW w:w="12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1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83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2023</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2023</w:t>
            </w:r>
          </w:p>
        </w:tc>
      </w:tr>
      <w:tr>
        <w:tblPrEx>
          <w:tblLayout w:type="fixed"/>
          <w:tblCellMar>
            <w:top w:w="0" w:type="dxa"/>
            <w:left w:w="108" w:type="dxa"/>
            <w:bottom w:w="0" w:type="dxa"/>
            <w:right w:w="108" w:type="dxa"/>
          </w:tblCellMar>
        </w:tblPrEx>
        <w:trPr>
          <w:trHeight w:val="1140" w:hRule="atLeast"/>
        </w:trPr>
        <w:tc>
          <w:tcPr>
            <w:tcW w:w="420"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sz w:val="21"/>
                <w:szCs w:val="21"/>
              </w:rPr>
            </w:pPr>
            <w:r>
              <w:rPr>
                <w:rFonts w:ascii="方正兰亭纤黑简体" w:hAnsi="仿宋" w:eastAsia="方正兰亭纤黑简体"/>
                <w:sz w:val="21"/>
                <w:szCs w:val="21"/>
              </w:rPr>
              <w:t>8</w:t>
            </w:r>
          </w:p>
        </w:tc>
        <w:tc>
          <w:tcPr>
            <w:tcW w:w="18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大足智凤220kV输变电工程</w:t>
            </w:r>
          </w:p>
        </w:tc>
        <w:tc>
          <w:tcPr>
            <w:tcW w:w="79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区经济信息委</w:t>
            </w:r>
          </w:p>
        </w:tc>
        <w:tc>
          <w:tcPr>
            <w:tcW w:w="83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254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新建220千伏变电站1座，新建线路约60km。</w:t>
            </w:r>
          </w:p>
        </w:tc>
        <w:tc>
          <w:tcPr>
            <w:tcW w:w="12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42000</w:t>
            </w:r>
          </w:p>
        </w:tc>
        <w:tc>
          <w:tcPr>
            <w:tcW w:w="159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42000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42000</w:t>
            </w:r>
          </w:p>
        </w:tc>
        <w:tc>
          <w:tcPr>
            <w:tcW w:w="12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1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83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ascii="方正兰亭纤黑简体" w:hAnsi="仿宋" w:eastAsia="方正兰亭纤黑简体"/>
                <w:sz w:val="21"/>
                <w:szCs w:val="21"/>
              </w:rPr>
              <w:t>2023</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2023</w:t>
            </w:r>
          </w:p>
        </w:tc>
      </w:tr>
      <w:tr>
        <w:tblPrEx>
          <w:tblLayout w:type="fixed"/>
          <w:tblCellMar>
            <w:top w:w="0" w:type="dxa"/>
            <w:left w:w="108" w:type="dxa"/>
            <w:bottom w:w="0" w:type="dxa"/>
            <w:right w:w="108" w:type="dxa"/>
          </w:tblCellMar>
        </w:tblPrEx>
        <w:trPr>
          <w:trHeight w:val="1140" w:hRule="atLeast"/>
        </w:trPr>
        <w:tc>
          <w:tcPr>
            <w:tcW w:w="420"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9</w:t>
            </w:r>
          </w:p>
        </w:tc>
        <w:tc>
          <w:tcPr>
            <w:tcW w:w="18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重庆大足回龙35kV变电站2号主变改造工程</w:t>
            </w:r>
          </w:p>
        </w:tc>
        <w:tc>
          <w:tcPr>
            <w:tcW w:w="79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区经济信息委</w:t>
            </w:r>
          </w:p>
        </w:tc>
        <w:tc>
          <w:tcPr>
            <w:tcW w:w="83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完工</w:t>
            </w:r>
          </w:p>
        </w:tc>
        <w:tc>
          <w:tcPr>
            <w:tcW w:w="254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left"/>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将回龙35kV变电站2号主变容量由6.3MVA增容为10MVA，完善主变各侧连线。</w:t>
            </w:r>
          </w:p>
        </w:tc>
        <w:tc>
          <w:tcPr>
            <w:tcW w:w="12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190</w:t>
            </w:r>
          </w:p>
        </w:tc>
        <w:tc>
          <w:tcPr>
            <w:tcW w:w="159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190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190</w:t>
            </w:r>
          </w:p>
        </w:tc>
        <w:tc>
          <w:tcPr>
            <w:tcW w:w="12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w:t>
            </w:r>
          </w:p>
        </w:tc>
        <w:tc>
          <w:tcPr>
            <w:tcW w:w="11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w:t>
            </w:r>
          </w:p>
        </w:tc>
        <w:tc>
          <w:tcPr>
            <w:tcW w:w="83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2023</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2023</w:t>
            </w:r>
          </w:p>
        </w:tc>
      </w:tr>
      <w:tr>
        <w:tblPrEx>
          <w:tblLayout w:type="fixed"/>
          <w:tblCellMar>
            <w:top w:w="0" w:type="dxa"/>
            <w:left w:w="108" w:type="dxa"/>
            <w:bottom w:w="0" w:type="dxa"/>
            <w:right w:w="108" w:type="dxa"/>
          </w:tblCellMar>
        </w:tblPrEx>
        <w:trPr>
          <w:trHeight w:val="1140" w:hRule="atLeast"/>
        </w:trPr>
        <w:tc>
          <w:tcPr>
            <w:tcW w:w="4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10</w:t>
            </w:r>
          </w:p>
        </w:tc>
        <w:tc>
          <w:tcPr>
            <w:tcW w:w="18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重庆大足三驱110千伏输变电工程</w:t>
            </w:r>
          </w:p>
        </w:tc>
        <w:tc>
          <w:tcPr>
            <w:tcW w:w="79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区经济信息委</w:t>
            </w:r>
          </w:p>
        </w:tc>
        <w:tc>
          <w:tcPr>
            <w:tcW w:w="83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完工</w:t>
            </w:r>
          </w:p>
        </w:tc>
        <w:tc>
          <w:tcPr>
            <w:tcW w:w="254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新建110千伏变电站1座，新建线路约30km。</w:t>
            </w:r>
          </w:p>
        </w:tc>
        <w:tc>
          <w:tcPr>
            <w:tcW w:w="12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5600</w:t>
            </w:r>
          </w:p>
        </w:tc>
        <w:tc>
          <w:tcPr>
            <w:tcW w:w="159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5600</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w:t>
            </w:r>
          </w:p>
        </w:tc>
        <w:tc>
          <w:tcPr>
            <w:tcW w:w="12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w:t>
            </w:r>
          </w:p>
        </w:tc>
        <w:tc>
          <w:tcPr>
            <w:tcW w:w="11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5600</w:t>
            </w:r>
          </w:p>
        </w:tc>
        <w:tc>
          <w:tcPr>
            <w:tcW w:w="83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2024</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2025</w:t>
            </w:r>
          </w:p>
        </w:tc>
      </w:tr>
      <w:tr>
        <w:tblPrEx>
          <w:tblLayout w:type="fixed"/>
          <w:tblCellMar>
            <w:top w:w="0" w:type="dxa"/>
            <w:left w:w="108" w:type="dxa"/>
            <w:bottom w:w="0" w:type="dxa"/>
            <w:right w:w="108" w:type="dxa"/>
          </w:tblCellMar>
        </w:tblPrEx>
        <w:trPr>
          <w:trHeight w:val="1140" w:hRule="atLeast"/>
        </w:trPr>
        <w:tc>
          <w:tcPr>
            <w:tcW w:w="4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11</w:t>
            </w:r>
          </w:p>
        </w:tc>
        <w:tc>
          <w:tcPr>
            <w:tcW w:w="18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重庆大足田坝110千伏输变电工程</w:t>
            </w:r>
          </w:p>
        </w:tc>
        <w:tc>
          <w:tcPr>
            <w:tcW w:w="79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区经济信息委</w:t>
            </w:r>
          </w:p>
        </w:tc>
        <w:tc>
          <w:tcPr>
            <w:tcW w:w="83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储备</w:t>
            </w:r>
          </w:p>
        </w:tc>
        <w:tc>
          <w:tcPr>
            <w:tcW w:w="254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新建110千伏变电站1座，新建线路约30km。</w:t>
            </w:r>
          </w:p>
        </w:tc>
        <w:tc>
          <w:tcPr>
            <w:tcW w:w="12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w:t>
            </w:r>
          </w:p>
        </w:tc>
        <w:tc>
          <w:tcPr>
            <w:tcW w:w="159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w:t>
            </w:r>
          </w:p>
        </w:tc>
        <w:tc>
          <w:tcPr>
            <w:tcW w:w="12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w:t>
            </w:r>
          </w:p>
        </w:tc>
        <w:tc>
          <w:tcPr>
            <w:tcW w:w="11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w:t>
            </w:r>
          </w:p>
        </w:tc>
        <w:tc>
          <w:tcPr>
            <w:tcW w:w="83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2025</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2027</w:t>
            </w:r>
          </w:p>
        </w:tc>
      </w:tr>
      <w:tr>
        <w:tblPrEx>
          <w:tblLayout w:type="fixed"/>
          <w:tblCellMar>
            <w:top w:w="0" w:type="dxa"/>
            <w:left w:w="108" w:type="dxa"/>
            <w:bottom w:w="0" w:type="dxa"/>
            <w:right w:w="108" w:type="dxa"/>
          </w:tblCellMar>
        </w:tblPrEx>
        <w:trPr>
          <w:trHeight w:val="1140" w:hRule="atLeast"/>
        </w:trPr>
        <w:tc>
          <w:tcPr>
            <w:tcW w:w="4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12</w:t>
            </w:r>
          </w:p>
        </w:tc>
        <w:tc>
          <w:tcPr>
            <w:tcW w:w="18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重庆大足子店110千伏输变电工程</w:t>
            </w:r>
          </w:p>
        </w:tc>
        <w:tc>
          <w:tcPr>
            <w:tcW w:w="79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区经济信息委</w:t>
            </w:r>
          </w:p>
        </w:tc>
        <w:tc>
          <w:tcPr>
            <w:tcW w:w="83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储备</w:t>
            </w:r>
          </w:p>
        </w:tc>
        <w:tc>
          <w:tcPr>
            <w:tcW w:w="254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新建110千伏变电站1座，新建线路约30km。</w:t>
            </w:r>
          </w:p>
        </w:tc>
        <w:tc>
          <w:tcPr>
            <w:tcW w:w="12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w:t>
            </w:r>
          </w:p>
        </w:tc>
        <w:tc>
          <w:tcPr>
            <w:tcW w:w="159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w:t>
            </w:r>
          </w:p>
        </w:tc>
        <w:tc>
          <w:tcPr>
            <w:tcW w:w="12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w:t>
            </w:r>
          </w:p>
        </w:tc>
        <w:tc>
          <w:tcPr>
            <w:tcW w:w="11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w:t>
            </w:r>
          </w:p>
        </w:tc>
        <w:tc>
          <w:tcPr>
            <w:tcW w:w="83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2025</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olor w:val="FF0000"/>
                <w:sz w:val="21"/>
                <w:szCs w:val="21"/>
              </w:rPr>
            </w:pPr>
            <w:r>
              <w:rPr>
                <w:rFonts w:hint="eastAsia" w:ascii="方正兰亭纤黑简体" w:hAnsi="仿宋" w:eastAsia="方正兰亭纤黑简体"/>
                <w:color w:val="FF0000"/>
                <w:sz w:val="21"/>
                <w:szCs w:val="21"/>
              </w:rPr>
              <w:t>2027</w:t>
            </w:r>
          </w:p>
        </w:tc>
      </w:tr>
      <w:tr>
        <w:tblPrEx>
          <w:tblLayout w:type="fixed"/>
          <w:tblCellMar>
            <w:top w:w="0" w:type="dxa"/>
            <w:left w:w="108" w:type="dxa"/>
            <w:bottom w:w="0" w:type="dxa"/>
            <w:right w:w="108" w:type="dxa"/>
          </w:tblCellMar>
        </w:tblPrEx>
        <w:trPr>
          <w:trHeight w:val="1140" w:hRule="atLeast"/>
        </w:trPr>
        <w:tc>
          <w:tcPr>
            <w:tcW w:w="4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ascii="方正兰亭纤黑简体" w:hAnsi="仿宋" w:eastAsia="方正兰亭纤黑简体"/>
                <w:sz w:val="21"/>
                <w:szCs w:val="21"/>
              </w:rPr>
              <w:t>13</w:t>
            </w:r>
          </w:p>
        </w:tc>
        <w:tc>
          <w:tcPr>
            <w:tcW w:w="18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大足龙水黎明110KV输变电工程</w:t>
            </w:r>
          </w:p>
        </w:tc>
        <w:tc>
          <w:tcPr>
            <w:tcW w:w="79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sz w:val="21"/>
                <w:szCs w:val="21"/>
              </w:rPr>
            </w:pPr>
            <w:r>
              <w:rPr>
                <w:rFonts w:hint="eastAsia" w:ascii="方正兰亭纤黑简体" w:hAnsi="仿宋" w:eastAsia="方正兰亭纤黑简体"/>
                <w:color w:val="FF0000"/>
                <w:sz w:val="21"/>
                <w:szCs w:val="21"/>
              </w:rPr>
              <w:t>区经济</w:t>
            </w:r>
            <w:r>
              <w:rPr>
                <w:rFonts w:ascii="方正兰亭纤黑简体" w:hAnsi="仿宋" w:eastAsia="方正兰亭纤黑简体"/>
                <w:color w:val="FF0000"/>
                <w:sz w:val="21"/>
                <w:szCs w:val="21"/>
              </w:rPr>
              <w:t>信息</w:t>
            </w:r>
            <w:r>
              <w:rPr>
                <w:rFonts w:hint="eastAsia" w:ascii="方正兰亭纤黑简体" w:hAnsi="仿宋" w:eastAsia="方正兰亭纤黑简体"/>
                <w:color w:val="FF0000"/>
                <w:sz w:val="21"/>
                <w:szCs w:val="21"/>
              </w:rPr>
              <w:t>委</w:t>
            </w:r>
          </w:p>
        </w:tc>
        <w:tc>
          <w:tcPr>
            <w:tcW w:w="83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储备</w:t>
            </w:r>
          </w:p>
        </w:tc>
        <w:tc>
          <w:tcPr>
            <w:tcW w:w="254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新建110千伏变电站1座</w:t>
            </w:r>
          </w:p>
        </w:tc>
        <w:tc>
          <w:tcPr>
            <w:tcW w:w="12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59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87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21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10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83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ascii="方正兰亭纤黑简体" w:hAnsi="仿宋" w:eastAsia="方正兰亭纤黑简体"/>
                <w:sz w:val="21"/>
                <w:szCs w:val="21"/>
              </w:rPr>
              <w:t>2026</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w:t>
            </w:r>
            <w:r>
              <w:rPr>
                <w:rFonts w:ascii="方正兰亭纤黑简体" w:hAnsi="仿宋" w:eastAsia="方正兰亭纤黑简体"/>
                <w:sz w:val="21"/>
                <w:szCs w:val="21"/>
              </w:rPr>
              <w:t>9</w:t>
            </w:r>
          </w:p>
        </w:tc>
      </w:tr>
    </w:tbl>
    <w:p>
      <w:pPr>
        <w:ind w:firstLine="422"/>
        <w:rPr>
          <w:rFonts w:ascii="方正兰亭纤黑简体" w:hAnsi="仿宋" w:eastAsia="方正兰亭纤黑简体" w:cs="仿宋"/>
          <w:b/>
          <w:bCs/>
          <w:sz w:val="21"/>
          <w:szCs w:val="21"/>
        </w:rPr>
      </w:pPr>
      <w:r>
        <w:rPr>
          <w:rFonts w:hint="eastAsia" w:ascii="方正兰亭纤黑简体" w:hAnsi="仿宋" w:eastAsia="方正兰亭纤黑简体" w:cs="仿宋"/>
          <w:b/>
          <w:bCs/>
          <w:sz w:val="21"/>
          <w:szCs w:val="21"/>
        </w:rPr>
        <w:br w:type="page"/>
      </w:r>
    </w:p>
    <w:tbl>
      <w:tblPr>
        <w:tblStyle w:val="24"/>
        <w:tblW w:w="14174" w:type="dxa"/>
        <w:tblInd w:w="0" w:type="dxa"/>
        <w:tblLayout w:type="fixed"/>
        <w:tblCellMar>
          <w:top w:w="0" w:type="dxa"/>
          <w:left w:w="108" w:type="dxa"/>
          <w:bottom w:w="0" w:type="dxa"/>
          <w:right w:w="108" w:type="dxa"/>
        </w:tblCellMar>
      </w:tblPr>
      <w:tblGrid>
        <w:gridCol w:w="649"/>
        <w:gridCol w:w="1854"/>
        <w:gridCol w:w="1153"/>
        <w:gridCol w:w="714"/>
        <w:gridCol w:w="2579"/>
        <w:gridCol w:w="1292"/>
        <w:gridCol w:w="1122"/>
        <w:gridCol w:w="1030"/>
        <w:gridCol w:w="930"/>
        <w:gridCol w:w="1152"/>
        <w:gridCol w:w="868"/>
        <w:gridCol w:w="831"/>
      </w:tblGrid>
      <w:tr>
        <w:tblPrEx>
          <w:tblLayout w:type="fixed"/>
          <w:tblCellMar>
            <w:top w:w="0" w:type="dxa"/>
            <w:left w:w="108" w:type="dxa"/>
            <w:bottom w:w="0" w:type="dxa"/>
            <w:right w:w="108" w:type="dxa"/>
          </w:tblCellMar>
        </w:tblPrEx>
        <w:trPr>
          <w:trHeight w:val="375" w:hRule="atLeast"/>
        </w:trPr>
        <w:tc>
          <w:tcPr>
            <w:tcW w:w="14174" w:type="dxa"/>
            <w:gridSpan w:val="12"/>
            <w:tcBorders>
              <w:top w:val="nil"/>
              <w:left w:val="nil"/>
              <w:bottom w:val="single" w:color="auto" w:sz="4" w:space="0"/>
              <w:right w:val="nil"/>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8"/>
                <w:szCs w:val="28"/>
              </w:rPr>
            </w:pPr>
            <w:r>
              <w:rPr>
                <w:rFonts w:hint="eastAsia" w:ascii="方正兰亭纤黑简体" w:hAnsi="仿宋" w:eastAsia="方正兰亭纤黑简体" w:cs="仿宋"/>
                <w:b/>
                <w:bCs/>
                <w:kern w:val="0"/>
                <w:sz w:val="28"/>
                <w:szCs w:val="28"/>
                <w:lang w:bidi="ar"/>
              </w:rPr>
              <w:t>燃气项目</w:t>
            </w:r>
          </w:p>
        </w:tc>
      </w:tr>
      <w:tr>
        <w:tblPrEx>
          <w:tblLayout w:type="fixed"/>
          <w:tblCellMar>
            <w:top w:w="0" w:type="dxa"/>
            <w:left w:w="108" w:type="dxa"/>
            <w:bottom w:w="0" w:type="dxa"/>
            <w:right w:w="108" w:type="dxa"/>
          </w:tblCellMar>
        </w:tblPrEx>
        <w:trPr>
          <w:trHeight w:val="315" w:hRule="atLeast"/>
        </w:trPr>
        <w:tc>
          <w:tcPr>
            <w:tcW w:w="649"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序号</w:t>
            </w:r>
          </w:p>
        </w:tc>
        <w:tc>
          <w:tcPr>
            <w:tcW w:w="1854"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项目名字</w:t>
            </w:r>
          </w:p>
        </w:tc>
        <w:tc>
          <w:tcPr>
            <w:tcW w:w="1153"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责任单位</w:t>
            </w:r>
          </w:p>
        </w:tc>
        <w:tc>
          <w:tcPr>
            <w:tcW w:w="714"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建设性质</w:t>
            </w:r>
          </w:p>
        </w:tc>
        <w:tc>
          <w:tcPr>
            <w:tcW w:w="2579"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建设内容</w:t>
            </w:r>
          </w:p>
        </w:tc>
        <w:tc>
          <w:tcPr>
            <w:tcW w:w="1292"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项目总投资（万元）</w:t>
            </w:r>
          </w:p>
        </w:tc>
        <w:tc>
          <w:tcPr>
            <w:tcW w:w="1122"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eastAsia="zh-CN" w:bidi="ar"/>
              </w:rPr>
              <w:t>“十四五”</w:t>
            </w:r>
            <w:r>
              <w:rPr>
                <w:rFonts w:hint="eastAsia" w:ascii="方正兰亭纤黑简体" w:hAnsi="仿宋" w:eastAsia="方正兰亭纤黑简体" w:cs="仿宋"/>
                <w:b/>
                <w:bCs/>
                <w:kern w:val="0"/>
                <w:sz w:val="21"/>
                <w:szCs w:val="21"/>
                <w:lang w:bidi="ar"/>
              </w:rPr>
              <w:t>计划投资（万元）</w:t>
            </w:r>
          </w:p>
        </w:tc>
        <w:tc>
          <w:tcPr>
            <w:tcW w:w="3112" w:type="dxa"/>
            <w:gridSpan w:val="3"/>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eastAsia="zh-CN" w:bidi="ar"/>
              </w:rPr>
              <w:t>“十四五”</w:t>
            </w:r>
            <w:r>
              <w:rPr>
                <w:rFonts w:hint="eastAsia" w:ascii="方正兰亭纤黑简体" w:hAnsi="仿宋" w:eastAsia="方正兰亭纤黑简体" w:cs="仿宋"/>
                <w:b/>
                <w:bCs/>
                <w:kern w:val="0"/>
                <w:sz w:val="21"/>
                <w:szCs w:val="21"/>
                <w:lang w:bidi="ar"/>
              </w:rPr>
              <w:t>计划投资分类（万元）</w:t>
            </w:r>
          </w:p>
        </w:tc>
        <w:tc>
          <w:tcPr>
            <w:tcW w:w="868"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开工时间</w:t>
            </w:r>
          </w:p>
        </w:tc>
        <w:tc>
          <w:tcPr>
            <w:tcW w:w="831"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竣工时间</w:t>
            </w:r>
          </w:p>
        </w:tc>
      </w:tr>
      <w:tr>
        <w:tblPrEx>
          <w:tblLayout w:type="fixed"/>
          <w:tblCellMar>
            <w:top w:w="0" w:type="dxa"/>
            <w:left w:w="108" w:type="dxa"/>
            <w:bottom w:w="0" w:type="dxa"/>
            <w:right w:w="108" w:type="dxa"/>
          </w:tblCellMar>
        </w:tblPrEx>
        <w:trPr>
          <w:trHeight w:val="630" w:hRule="atLeast"/>
        </w:trPr>
        <w:tc>
          <w:tcPr>
            <w:tcW w:w="649"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854"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153"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714"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2579"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292"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122"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030"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kern w:val="0"/>
                <w:sz w:val="21"/>
                <w:szCs w:val="21"/>
                <w:lang w:bidi="ar"/>
              </w:rPr>
            </w:pPr>
            <w:r>
              <w:rPr>
                <w:rFonts w:hint="eastAsia" w:ascii="方正兰亭纤黑简体" w:hAnsi="仿宋" w:eastAsia="方正兰亭纤黑简体" w:cs="仿宋"/>
                <w:b/>
                <w:bCs/>
                <w:kern w:val="0"/>
                <w:sz w:val="21"/>
                <w:szCs w:val="21"/>
                <w:lang w:bidi="ar"/>
              </w:rPr>
              <w:t>中央</w:t>
            </w:r>
            <w:r>
              <w:rPr>
                <w:rFonts w:ascii="方正兰亭纤黑简体" w:hAnsi="仿宋" w:eastAsia="方正兰亭纤黑简体" w:cs="仿宋"/>
                <w:b/>
                <w:bCs/>
                <w:kern w:val="0"/>
                <w:sz w:val="21"/>
                <w:szCs w:val="21"/>
                <w:lang w:bidi="ar"/>
              </w:rPr>
              <w:t>及</w:t>
            </w:r>
            <w:r>
              <w:rPr>
                <w:rFonts w:hint="eastAsia" w:ascii="方正兰亭纤黑简体" w:hAnsi="仿宋" w:eastAsia="方正兰亭纤黑简体" w:cs="仿宋"/>
                <w:b/>
                <w:bCs/>
                <w:kern w:val="0"/>
                <w:sz w:val="21"/>
                <w:szCs w:val="21"/>
                <w:lang w:bidi="ar"/>
              </w:rPr>
              <w:t>市级</w:t>
            </w:r>
          </w:p>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投资</w:t>
            </w:r>
          </w:p>
        </w:tc>
        <w:tc>
          <w:tcPr>
            <w:tcW w:w="930"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kern w:val="0"/>
                <w:sz w:val="21"/>
                <w:szCs w:val="21"/>
                <w:lang w:bidi="ar"/>
              </w:rPr>
            </w:pPr>
            <w:r>
              <w:rPr>
                <w:rFonts w:hint="eastAsia" w:ascii="方正兰亭纤黑简体" w:hAnsi="仿宋" w:eastAsia="方正兰亭纤黑简体" w:cs="仿宋"/>
                <w:b/>
                <w:bCs/>
                <w:kern w:val="0"/>
                <w:sz w:val="21"/>
                <w:szCs w:val="21"/>
                <w:lang w:bidi="ar"/>
              </w:rPr>
              <w:t>区级</w:t>
            </w:r>
          </w:p>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投资</w:t>
            </w:r>
          </w:p>
        </w:tc>
        <w:tc>
          <w:tcPr>
            <w:tcW w:w="115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其它</w:t>
            </w:r>
          </w:p>
        </w:tc>
        <w:tc>
          <w:tcPr>
            <w:tcW w:w="86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831"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r>
      <w:tr>
        <w:tblPrEx>
          <w:tblLayout w:type="fixed"/>
          <w:tblCellMar>
            <w:top w:w="0" w:type="dxa"/>
            <w:left w:w="108" w:type="dxa"/>
            <w:bottom w:w="0" w:type="dxa"/>
            <w:right w:w="108" w:type="dxa"/>
          </w:tblCellMar>
        </w:tblPrEx>
        <w:trPr>
          <w:trHeight w:val="2025" w:hRule="atLeast"/>
        </w:trPr>
        <w:tc>
          <w:tcPr>
            <w:tcW w:w="649"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w:t>
            </w:r>
          </w:p>
        </w:tc>
        <w:tc>
          <w:tcPr>
            <w:tcW w:w="185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大足区老旧小区燃气工程改造项目</w:t>
            </w:r>
          </w:p>
        </w:tc>
        <w:tc>
          <w:tcPr>
            <w:tcW w:w="115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区经济信息委</w:t>
            </w:r>
          </w:p>
        </w:tc>
        <w:tc>
          <w:tcPr>
            <w:tcW w:w="7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257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安装庭院管线75000米，立管97600米，燃气波纹软管67744根，居民燃气安全装置33872套，及相关配套设置和配件。</w:t>
            </w:r>
          </w:p>
        </w:tc>
        <w:tc>
          <w:tcPr>
            <w:tcW w:w="129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8110</w:t>
            </w:r>
          </w:p>
        </w:tc>
        <w:tc>
          <w:tcPr>
            <w:tcW w:w="11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8110</w:t>
            </w:r>
          </w:p>
        </w:tc>
        <w:tc>
          <w:tcPr>
            <w:tcW w:w="103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4606</w:t>
            </w:r>
          </w:p>
        </w:tc>
        <w:tc>
          <w:tcPr>
            <w:tcW w:w="93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1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3504</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2022</w:t>
            </w:r>
          </w:p>
        </w:tc>
        <w:tc>
          <w:tcPr>
            <w:tcW w:w="83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2023</w:t>
            </w:r>
          </w:p>
        </w:tc>
      </w:tr>
      <w:tr>
        <w:tblPrEx>
          <w:tblLayout w:type="fixed"/>
          <w:tblCellMar>
            <w:top w:w="0" w:type="dxa"/>
            <w:left w:w="108" w:type="dxa"/>
            <w:bottom w:w="0" w:type="dxa"/>
            <w:right w:w="108" w:type="dxa"/>
          </w:tblCellMar>
        </w:tblPrEx>
        <w:trPr>
          <w:trHeight w:val="2025" w:hRule="atLeast"/>
        </w:trPr>
        <w:tc>
          <w:tcPr>
            <w:tcW w:w="64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199" w:firstLineChars="95"/>
              <w:rPr>
                <w:rFonts w:ascii="方正兰亭纤黑简体" w:hAnsi="仿宋" w:eastAsia="方正兰亭纤黑简体"/>
                <w:sz w:val="21"/>
                <w:szCs w:val="21"/>
              </w:rPr>
            </w:pPr>
            <w:r>
              <w:rPr>
                <w:rFonts w:hint="eastAsia" w:ascii="方正兰亭纤黑简体" w:hAnsi="仿宋" w:eastAsia="方正兰亭纤黑简体"/>
                <w:sz w:val="21"/>
                <w:szCs w:val="21"/>
              </w:rPr>
              <w:t>2</w:t>
            </w:r>
          </w:p>
        </w:tc>
        <w:tc>
          <w:tcPr>
            <w:tcW w:w="185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大足区城市燃气管道等老化更新改造工程</w:t>
            </w:r>
          </w:p>
        </w:tc>
        <w:tc>
          <w:tcPr>
            <w:tcW w:w="115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区经济信息委</w:t>
            </w:r>
          </w:p>
        </w:tc>
        <w:tc>
          <w:tcPr>
            <w:tcW w:w="7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257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本次拟对大足区城市居民燃气设施、供水管道等老旧管网和设施等进行更新改造。共涉及用户35000余户，更换波纹软管70000余根，安全装置35000余套和供水管网改造DN100-300老旧管道9.55公里。</w:t>
            </w:r>
          </w:p>
        </w:tc>
        <w:tc>
          <w:tcPr>
            <w:tcW w:w="129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1746</w:t>
            </w:r>
          </w:p>
        </w:tc>
        <w:tc>
          <w:tcPr>
            <w:tcW w:w="11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1746</w:t>
            </w:r>
          </w:p>
        </w:tc>
        <w:tc>
          <w:tcPr>
            <w:tcW w:w="103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1047</w:t>
            </w:r>
          </w:p>
        </w:tc>
        <w:tc>
          <w:tcPr>
            <w:tcW w:w="93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1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699</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2022</w:t>
            </w:r>
          </w:p>
        </w:tc>
        <w:tc>
          <w:tcPr>
            <w:tcW w:w="83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2023</w:t>
            </w:r>
          </w:p>
        </w:tc>
      </w:tr>
      <w:tr>
        <w:tblPrEx>
          <w:tblLayout w:type="fixed"/>
          <w:tblCellMar>
            <w:top w:w="0" w:type="dxa"/>
            <w:left w:w="108" w:type="dxa"/>
            <w:bottom w:w="0" w:type="dxa"/>
            <w:right w:w="108" w:type="dxa"/>
          </w:tblCellMar>
        </w:tblPrEx>
        <w:trPr>
          <w:trHeight w:val="2025" w:hRule="atLeast"/>
        </w:trPr>
        <w:tc>
          <w:tcPr>
            <w:tcW w:w="64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199" w:firstLineChars="95"/>
              <w:rPr>
                <w:rFonts w:ascii="方正兰亭纤黑简体" w:hAnsi="仿宋" w:eastAsia="方正兰亭纤黑简体"/>
                <w:sz w:val="21"/>
                <w:szCs w:val="21"/>
              </w:rPr>
            </w:pPr>
            <w:r>
              <w:rPr>
                <w:rFonts w:hint="eastAsia" w:ascii="方正兰亭纤黑简体" w:hAnsi="仿宋" w:eastAsia="方正兰亭纤黑简体"/>
                <w:sz w:val="21"/>
                <w:szCs w:val="21"/>
              </w:rPr>
              <w:t>3</w:t>
            </w:r>
          </w:p>
        </w:tc>
        <w:tc>
          <w:tcPr>
            <w:tcW w:w="185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天然气利用储备工程</w:t>
            </w:r>
          </w:p>
        </w:tc>
        <w:tc>
          <w:tcPr>
            <w:tcW w:w="115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区经济信息委</w:t>
            </w:r>
          </w:p>
        </w:tc>
        <w:tc>
          <w:tcPr>
            <w:tcW w:w="7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257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大足城区、农村市场建设</w:t>
            </w:r>
            <w:r>
              <w:rPr>
                <w:rFonts w:hint="eastAsia" w:ascii="方正兰亭纤黑简体" w:hAnsi="仿宋" w:eastAsia="方正兰亭纤黑简体"/>
                <w:sz w:val="21"/>
                <w:szCs w:val="21"/>
              </w:rPr>
              <w:br w:type="textWrapping"/>
            </w:r>
            <w:r>
              <w:rPr>
                <w:rFonts w:hint="eastAsia" w:ascii="方正兰亭纤黑简体" w:hAnsi="仿宋" w:eastAsia="方正兰亭纤黑简体"/>
                <w:sz w:val="21"/>
                <w:szCs w:val="21"/>
              </w:rPr>
              <w:t>中、低压管线约2000公里</w:t>
            </w:r>
          </w:p>
        </w:tc>
        <w:tc>
          <w:tcPr>
            <w:tcW w:w="129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10000</w:t>
            </w:r>
          </w:p>
        </w:tc>
        <w:tc>
          <w:tcPr>
            <w:tcW w:w="11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10000</w:t>
            </w:r>
          </w:p>
        </w:tc>
        <w:tc>
          <w:tcPr>
            <w:tcW w:w="103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93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1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10000</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2023</w:t>
            </w:r>
          </w:p>
        </w:tc>
        <w:tc>
          <w:tcPr>
            <w:tcW w:w="83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2024</w:t>
            </w:r>
          </w:p>
        </w:tc>
      </w:tr>
      <w:tr>
        <w:tblPrEx>
          <w:tblLayout w:type="fixed"/>
          <w:tblCellMar>
            <w:top w:w="0" w:type="dxa"/>
            <w:left w:w="108" w:type="dxa"/>
            <w:bottom w:w="0" w:type="dxa"/>
            <w:right w:w="108" w:type="dxa"/>
          </w:tblCellMar>
        </w:tblPrEx>
        <w:trPr>
          <w:trHeight w:val="2025" w:hRule="atLeast"/>
        </w:trPr>
        <w:tc>
          <w:tcPr>
            <w:tcW w:w="64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199" w:firstLineChars="95"/>
              <w:rPr>
                <w:rFonts w:ascii="方正兰亭纤黑简体" w:hAnsi="仿宋" w:eastAsia="方正兰亭纤黑简体"/>
                <w:sz w:val="21"/>
                <w:szCs w:val="21"/>
              </w:rPr>
            </w:pPr>
            <w:r>
              <w:rPr>
                <w:rFonts w:hint="eastAsia" w:ascii="方正兰亭纤黑简体" w:hAnsi="仿宋" w:eastAsia="方正兰亭纤黑简体"/>
                <w:sz w:val="21"/>
                <w:szCs w:val="21"/>
              </w:rPr>
              <w:t>4</w:t>
            </w:r>
          </w:p>
        </w:tc>
        <w:tc>
          <w:tcPr>
            <w:tcW w:w="185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足208井至宝棠大道燃气管道及配气工程</w:t>
            </w:r>
          </w:p>
        </w:tc>
        <w:tc>
          <w:tcPr>
            <w:tcW w:w="115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区经济信息委</w:t>
            </w:r>
          </w:p>
        </w:tc>
        <w:tc>
          <w:tcPr>
            <w:tcW w:w="7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257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　</w:t>
            </w:r>
          </w:p>
        </w:tc>
        <w:tc>
          <w:tcPr>
            <w:tcW w:w="129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2500</w:t>
            </w:r>
          </w:p>
        </w:tc>
        <w:tc>
          <w:tcPr>
            <w:tcW w:w="11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2500</w:t>
            </w:r>
          </w:p>
        </w:tc>
        <w:tc>
          <w:tcPr>
            <w:tcW w:w="103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93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1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2500</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2023</w:t>
            </w:r>
          </w:p>
        </w:tc>
        <w:tc>
          <w:tcPr>
            <w:tcW w:w="83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2024</w:t>
            </w:r>
          </w:p>
        </w:tc>
      </w:tr>
      <w:tr>
        <w:tblPrEx>
          <w:tblLayout w:type="fixed"/>
          <w:tblCellMar>
            <w:top w:w="0" w:type="dxa"/>
            <w:left w:w="108" w:type="dxa"/>
            <w:bottom w:w="0" w:type="dxa"/>
            <w:right w:w="108" w:type="dxa"/>
          </w:tblCellMar>
        </w:tblPrEx>
        <w:trPr>
          <w:trHeight w:val="2025" w:hRule="atLeast"/>
        </w:trPr>
        <w:tc>
          <w:tcPr>
            <w:tcW w:w="64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199" w:firstLineChars="95"/>
              <w:rPr>
                <w:rFonts w:ascii="方正兰亭纤黑简体" w:hAnsi="仿宋" w:eastAsia="方正兰亭纤黑简体"/>
                <w:sz w:val="21"/>
                <w:szCs w:val="21"/>
              </w:rPr>
            </w:pPr>
            <w:r>
              <w:rPr>
                <w:rFonts w:hint="eastAsia" w:ascii="方正兰亭纤黑简体" w:hAnsi="仿宋" w:eastAsia="方正兰亭纤黑简体"/>
                <w:sz w:val="21"/>
                <w:szCs w:val="21"/>
              </w:rPr>
              <w:t>5</w:t>
            </w:r>
          </w:p>
        </w:tc>
        <w:tc>
          <w:tcPr>
            <w:tcW w:w="185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永福调压站至城南配气站管线及配气工程</w:t>
            </w:r>
          </w:p>
        </w:tc>
        <w:tc>
          <w:tcPr>
            <w:tcW w:w="115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区经济信息委</w:t>
            </w:r>
          </w:p>
        </w:tc>
        <w:tc>
          <w:tcPr>
            <w:tcW w:w="7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257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　</w:t>
            </w:r>
          </w:p>
        </w:tc>
        <w:tc>
          <w:tcPr>
            <w:tcW w:w="129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500</w:t>
            </w:r>
          </w:p>
        </w:tc>
        <w:tc>
          <w:tcPr>
            <w:tcW w:w="11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500</w:t>
            </w:r>
          </w:p>
        </w:tc>
        <w:tc>
          <w:tcPr>
            <w:tcW w:w="103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93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1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500</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2024</w:t>
            </w:r>
          </w:p>
        </w:tc>
        <w:tc>
          <w:tcPr>
            <w:tcW w:w="83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2025</w:t>
            </w:r>
          </w:p>
        </w:tc>
      </w:tr>
      <w:tr>
        <w:tblPrEx>
          <w:tblLayout w:type="fixed"/>
          <w:tblCellMar>
            <w:top w:w="0" w:type="dxa"/>
            <w:left w:w="108" w:type="dxa"/>
            <w:bottom w:w="0" w:type="dxa"/>
            <w:right w:w="108" w:type="dxa"/>
          </w:tblCellMar>
        </w:tblPrEx>
        <w:trPr>
          <w:trHeight w:val="2025" w:hRule="atLeast"/>
        </w:trPr>
        <w:tc>
          <w:tcPr>
            <w:tcW w:w="64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199" w:firstLineChars="95"/>
              <w:rPr>
                <w:rFonts w:ascii="方正兰亭纤黑简体" w:hAnsi="仿宋" w:eastAsia="方正兰亭纤黑简体"/>
                <w:sz w:val="21"/>
                <w:szCs w:val="21"/>
              </w:rPr>
            </w:pPr>
            <w:r>
              <w:rPr>
                <w:rFonts w:hint="eastAsia" w:ascii="方正兰亭纤黑简体" w:hAnsi="仿宋" w:eastAsia="方正兰亭纤黑简体"/>
                <w:sz w:val="21"/>
                <w:szCs w:val="21"/>
              </w:rPr>
              <w:t>6</w:t>
            </w:r>
          </w:p>
        </w:tc>
        <w:tc>
          <w:tcPr>
            <w:tcW w:w="185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龙水沙桥配气站</w:t>
            </w:r>
          </w:p>
        </w:tc>
        <w:tc>
          <w:tcPr>
            <w:tcW w:w="115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龙水镇</w:t>
            </w:r>
          </w:p>
        </w:tc>
        <w:tc>
          <w:tcPr>
            <w:tcW w:w="7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257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新建龙水沙桥配气站</w:t>
            </w:r>
          </w:p>
        </w:tc>
        <w:tc>
          <w:tcPr>
            <w:tcW w:w="129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1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03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93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1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2023</w:t>
            </w:r>
          </w:p>
        </w:tc>
        <w:tc>
          <w:tcPr>
            <w:tcW w:w="83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2025</w:t>
            </w:r>
          </w:p>
        </w:tc>
      </w:tr>
      <w:tr>
        <w:tblPrEx>
          <w:tblLayout w:type="fixed"/>
          <w:tblCellMar>
            <w:top w:w="0" w:type="dxa"/>
            <w:left w:w="108" w:type="dxa"/>
            <w:bottom w:w="0" w:type="dxa"/>
            <w:right w:w="108" w:type="dxa"/>
          </w:tblCellMar>
        </w:tblPrEx>
        <w:trPr>
          <w:trHeight w:val="2025" w:hRule="atLeast"/>
        </w:trPr>
        <w:tc>
          <w:tcPr>
            <w:tcW w:w="64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199" w:firstLineChars="95"/>
              <w:rPr>
                <w:rFonts w:ascii="方正兰亭纤黑简体" w:hAnsi="仿宋" w:eastAsia="方正兰亭纤黑简体"/>
                <w:sz w:val="21"/>
                <w:szCs w:val="21"/>
              </w:rPr>
            </w:pPr>
            <w:r>
              <w:rPr>
                <w:rFonts w:hint="eastAsia" w:ascii="方正兰亭纤黑简体" w:hAnsi="仿宋" w:eastAsia="方正兰亭纤黑简体"/>
                <w:sz w:val="21"/>
                <w:szCs w:val="21"/>
              </w:rPr>
              <w:t>7</w:t>
            </w:r>
          </w:p>
        </w:tc>
        <w:tc>
          <w:tcPr>
            <w:tcW w:w="185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龙水配气站</w:t>
            </w:r>
          </w:p>
        </w:tc>
        <w:tc>
          <w:tcPr>
            <w:tcW w:w="115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龙水镇</w:t>
            </w:r>
          </w:p>
        </w:tc>
        <w:tc>
          <w:tcPr>
            <w:tcW w:w="71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257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搬迁扩建龙水配气站</w:t>
            </w:r>
          </w:p>
        </w:tc>
        <w:tc>
          <w:tcPr>
            <w:tcW w:w="129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12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03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93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1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86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2023</w:t>
            </w:r>
          </w:p>
        </w:tc>
        <w:tc>
          <w:tcPr>
            <w:tcW w:w="83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2025</w:t>
            </w:r>
          </w:p>
        </w:tc>
      </w:tr>
    </w:tbl>
    <w:p>
      <w:pPr>
        <w:ind w:firstLine="640"/>
      </w:pPr>
      <w:r>
        <w:br w:type="page"/>
      </w:r>
    </w:p>
    <w:tbl>
      <w:tblPr>
        <w:tblStyle w:val="24"/>
        <w:tblW w:w="14175" w:type="dxa"/>
        <w:tblInd w:w="0" w:type="dxa"/>
        <w:tblLayout w:type="fixed"/>
        <w:tblCellMar>
          <w:top w:w="0" w:type="dxa"/>
          <w:left w:w="108" w:type="dxa"/>
          <w:bottom w:w="0" w:type="dxa"/>
          <w:right w:w="108" w:type="dxa"/>
        </w:tblCellMar>
      </w:tblPr>
      <w:tblGrid>
        <w:gridCol w:w="587"/>
        <w:gridCol w:w="1859"/>
        <w:gridCol w:w="1160"/>
        <w:gridCol w:w="720"/>
        <w:gridCol w:w="2730"/>
        <w:gridCol w:w="1157"/>
        <w:gridCol w:w="1128"/>
        <w:gridCol w:w="1035"/>
        <w:gridCol w:w="935"/>
        <w:gridCol w:w="1157"/>
        <w:gridCol w:w="873"/>
        <w:gridCol w:w="834"/>
      </w:tblGrid>
      <w:tr>
        <w:tblPrEx>
          <w:tblLayout w:type="fixed"/>
          <w:tblCellMar>
            <w:top w:w="0" w:type="dxa"/>
            <w:left w:w="108" w:type="dxa"/>
            <w:bottom w:w="0" w:type="dxa"/>
            <w:right w:w="108" w:type="dxa"/>
          </w:tblCellMar>
        </w:tblPrEx>
        <w:trPr>
          <w:trHeight w:val="375" w:hRule="atLeast"/>
        </w:trPr>
        <w:tc>
          <w:tcPr>
            <w:tcW w:w="14175" w:type="dxa"/>
            <w:gridSpan w:val="12"/>
            <w:tcBorders>
              <w:top w:val="nil"/>
              <w:left w:val="nil"/>
              <w:bottom w:val="single" w:color="auto" w:sz="4" w:space="0"/>
              <w:right w:val="nil"/>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sz w:val="28"/>
                <w:szCs w:val="21"/>
              </w:rPr>
              <w:t>水利项目</w:t>
            </w:r>
          </w:p>
        </w:tc>
      </w:tr>
      <w:tr>
        <w:tblPrEx>
          <w:tblLayout w:type="fixed"/>
          <w:tblCellMar>
            <w:top w:w="0" w:type="dxa"/>
            <w:left w:w="108" w:type="dxa"/>
            <w:bottom w:w="0" w:type="dxa"/>
            <w:right w:w="108" w:type="dxa"/>
          </w:tblCellMar>
        </w:tblPrEx>
        <w:trPr>
          <w:trHeight w:val="315" w:hRule="atLeast"/>
        </w:trPr>
        <w:tc>
          <w:tcPr>
            <w:tcW w:w="587"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序号</w:t>
            </w:r>
          </w:p>
        </w:tc>
        <w:tc>
          <w:tcPr>
            <w:tcW w:w="1859"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项目名字</w:t>
            </w:r>
          </w:p>
        </w:tc>
        <w:tc>
          <w:tcPr>
            <w:tcW w:w="1160"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责任单位</w:t>
            </w:r>
          </w:p>
        </w:tc>
        <w:tc>
          <w:tcPr>
            <w:tcW w:w="720"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建设性质</w:t>
            </w:r>
          </w:p>
        </w:tc>
        <w:tc>
          <w:tcPr>
            <w:tcW w:w="2730"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建设内容</w:t>
            </w:r>
          </w:p>
        </w:tc>
        <w:tc>
          <w:tcPr>
            <w:tcW w:w="1157"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项目总投资（万元）</w:t>
            </w:r>
          </w:p>
        </w:tc>
        <w:tc>
          <w:tcPr>
            <w:tcW w:w="1128"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eastAsia="zh-CN" w:bidi="ar"/>
              </w:rPr>
              <w:t>“十四五”</w:t>
            </w:r>
            <w:r>
              <w:rPr>
                <w:rFonts w:hint="eastAsia" w:ascii="方正兰亭纤黑简体" w:hAnsi="仿宋" w:eastAsia="方正兰亭纤黑简体" w:cs="仿宋"/>
                <w:b/>
                <w:bCs/>
                <w:kern w:val="0"/>
                <w:sz w:val="21"/>
                <w:szCs w:val="21"/>
                <w:lang w:bidi="ar"/>
              </w:rPr>
              <w:t>计划投资（万元）</w:t>
            </w:r>
          </w:p>
        </w:tc>
        <w:tc>
          <w:tcPr>
            <w:tcW w:w="3127" w:type="dxa"/>
            <w:gridSpan w:val="3"/>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eastAsia="zh-CN" w:bidi="ar"/>
              </w:rPr>
              <w:t>“十四五”</w:t>
            </w:r>
            <w:r>
              <w:rPr>
                <w:rFonts w:hint="eastAsia" w:ascii="方正兰亭纤黑简体" w:hAnsi="仿宋" w:eastAsia="方正兰亭纤黑简体" w:cs="仿宋"/>
                <w:b/>
                <w:bCs/>
                <w:kern w:val="0"/>
                <w:sz w:val="21"/>
                <w:szCs w:val="21"/>
                <w:lang w:bidi="ar"/>
              </w:rPr>
              <w:t>计划投资分类（万元）</w:t>
            </w:r>
          </w:p>
        </w:tc>
        <w:tc>
          <w:tcPr>
            <w:tcW w:w="873"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开工时间</w:t>
            </w:r>
          </w:p>
        </w:tc>
        <w:tc>
          <w:tcPr>
            <w:tcW w:w="834"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竣工时间</w:t>
            </w:r>
          </w:p>
        </w:tc>
      </w:tr>
      <w:tr>
        <w:tblPrEx>
          <w:tblLayout w:type="fixed"/>
          <w:tblCellMar>
            <w:top w:w="0" w:type="dxa"/>
            <w:left w:w="108" w:type="dxa"/>
            <w:bottom w:w="0" w:type="dxa"/>
            <w:right w:w="108" w:type="dxa"/>
          </w:tblCellMar>
        </w:tblPrEx>
        <w:trPr>
          <w:trHeight w:val="630" w:hRule="atLeast"/>
        </w:trPr>
        <w:tc>
          <w:tcPr>
            <w:tcW w:w="587"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859"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160"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720"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2730"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157"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12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035"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kern w:val="0"/>
                <w:sz w:val="21"/>
                <w:szCs w:val="21"/>
                <w:lang w:bidi="ar"/>
              </w:rPr>
            </w:pPr>
            <w:r>
              <w:rPr>
                <w:rFonts w:hint="eastAsia" w:ascii="方正兰亭纤黑简体" w:hAnsi="仿宋" w:eastAsia="方正兰亭纤黑简体" w:cs="仿宋"/>
                <w:b/>
                <w:bCs/>
                <w:kern w:val="0"/>
                <w:sz w:val="21"/>
                <w:szCs w:val="21"/>
                <w:lang w:bidi="ar"/>
              </w:rPr>
              <w:t>中央</w:t>
            </w:r>
            <w:r>
              <w:rPr>
                <w:rFonts w:ascii="方正兰亭纤黑简体" w:hAnsi="仿宋" w:eastAsia="方正兰亭纤黑简体" w:cs="仿宋"/>
                <w:b/>
                <w:bCs/>
                <w:kern w:val="0"/>
                <w:sz w:val="21"/>
                <w:szCs w:val="21"/>
                <w:lang w:bidi="ar"/>
              </w:rPr>
              <w:t>及</w:t>
            </w:r>
            <w:r>
              <w:rPr>
                <w:rFonts w:hint="eastAsia" w:ascii="方正兰亭纤黑简体" w:hAnsi="仿宋" w:eastAsia="方正兰亭纤黑简体" w:cs="仿宋"/>
                <w:b/>
                <w:bCs/>
                <w:kern w:val="0"/>
                <w:sz w:val="21"/>
                <w:szCs w:val="21"/>
                <w:lang w:bidi="ar"/>
              </w:rPr>
              <w:t>市级</w:t>
            </w:r>
          </w:p>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投资</w:t>
            </w:r>
          </w:p>
        </w:tc>
        <w:tc>
          <w:tcPr>
            <w:tcW w:w="935"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kern w:val="0"/>
                <w:sz w:val="21"/>
                <w:szCs w:val="21"/>
                <w:lang w:bidi="ar"/>
              </w:rPr>
            </w:pPr>
            <w:r>
              <w:rPr>
                <w:rFonts w:hint="eastAsia" w:ascii="方正兰亭纤黑简体" w:hAnsi="仿宋" w:eastAsia="方正兰亭纤黑简体" w:cs="仿宋"/>
                <w:b/>
                <w:bCs/>
                <w:kern w:val="0"/>
                <w:sz w:val="21"/>
                <w:szCs w:val="21"/>
                <w:lang w:bidi="ar"/>
              </w:rPr>
              <w:t>区级</w:t>
            </w:r>
          </w:p>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投资</w:t>
            </w:r>
          </w:p>
        </w:tc>
        <w:tc>
          <w:tcPr>
            <w:tcW w:w="1157"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其它</w:t>
            </w:r>
          </w:p>
        </w:tc>
        <w:tc>
          <w:tcPr>
            <w:tcW w:w="873"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834"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r>
      <w:tr>
        <w:tblPrEx>
          <w:tblLayout w:type="fixed"/>
          <w:tblCellMar>
            <w:top w:w="0" w:type="dxa"/>
            <w:left w:w="108" w:type="dxa"/>
            <w:bottom w:w="0" w:type="dxa"/>
            <w:right w:w="108" w:type="dxa"/>
          </w:tblCellMar>
        </w:tblPrEx>
        <w:trPr>
          <w:trHeight w:val="2025" w:hRule="atLeast"/>
        </w:trPr>
        <w:tc>
          <w:tcPr>
            <w:tcW w:w="587"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w:t>
            </w:r>
          </w:p>
        </w:tc>
        <w:tc>
          <w:tcPr>
            <w:tcW w:w="1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渝西水资源配置工程</w:t>
            </w:r>
          </w:p>
        </w:tc>
        <w:tc>
          <w:tcPr>
            <w:tcW w:w="116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区水利局</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273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长江供水至玉滩水库的供水管道及双桥隧洞；玉滩水库至大足水厂的供水管网及玉滩水库至荣昌区的供水隧洞</w:t>
            </w:r>
          </w:p>
        </w:tc>
        <w:tc>
          <w:tcPr>
            <w:tcW w:w="11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17600</w:t>
            </w:r>
          </w:p>
        </w:tc>
        <w:tc>
          <w:tcPr>
            <w:tcW w:w="112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17600</w:t>
            </w:r>
          </w:p>
        </w:tc>
        <w:tc>
          <w:tcPr>
            <w:tcW w:w="103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17600</w:t>
            </w:r>
          </w:p>
        </w:tc>
        <w:tc>
          <w:tcPr>
            <w:tcW w:w="93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1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87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2021</w:t>
            </w:r>
          </w:p>
        </w:tc>
        <w:tc>
          <w:tcPr>
            <w:tcW w:w="83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2025</w:t>
            </w:r>
          </w:p>
        </w:tc>
      </w:tr>
      <w:tr>
        <w:tblPrEx>
          <w:tblLayout w:type="fixed"/>
          <w:tblCellMar>
            <w:top w:w="0" w:type="dxa"/>
            <w:left w:w="108" w:type="dxa"/>
            <w:bottom w:w="0" w:type="dxa"/>
            <w:right w:w="108" w:type="dxa"/>
          </w:tblCellMar>
        </w:tblPrEx>
        <w:trPr>
          <w:trHeight w:val="2025" w:hRule="atLeast"/>
        </w:trPr>
        <w:tc>
          <w:tcPr>
            <w:tcW w:w="58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w:t>
            </w:r>
          </w:p>
        </w:tc>
        <w:tc>
          <w:tcPr>
            <w:tcW w:w="1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2023年水利维修养护项目</w:t>
            </w:r>
          </w:p>
        </w:tc>
        <w:tc>
          <w:tcPr>
            <w:tcW w:w="116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区水利局</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273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对全区115座水库大坝枢纽设施及其附属设施、部分农田水利设施进行维修养护</w:t>
            </w:r>
          </w:p>
        </w:tc>
        <w:tc>
          <w:tcPr>
            <w:tcW w:w="11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449</w:t>
            </w:r>
          </w:p>
        </w:tc>
        <w:tc>
          <w:tcPr>
            <w:tcW w:w="112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449</w:t>
            </w:r>
          </w:p>
        </w:tc>
        <w:tc>
          <w:tcPr>
            <w:tcW w:w="103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449</w:t>
            </w:r>
          </w:p>
        </w:tc>
        <w:tc>
          <w:tcPr>
            <w:tcW w:w="93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1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87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2023</w:t>
            </w:r>
          </w:p>
        </w:tc>
        <w:tc>
          <w:tcPr>
            <w:tcW w:w="83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2023</w:t>
            </w:r>
          </w:p>
        </w:tc>
      </w:tr>
      <w:tr>
        <w:tblPrEx>
          <w:tblLayout w:type="fixed"/>
          <w:tblCellMar>
            <w:top w:w="0" w:type="dxa"/>
            <w:left w:w="108" w:type="dxa"/>
            <w:bottom w:w="0" w:type="dxa"/>
            <w:right w:w="108" w:type="dxa"/>
          </w:tblCellMar>
        </w:tblPrEx>
        <w:trPr>
          <w:trHeight w:val="2025" w:hRule="atLeast"/>
        </w:trPr>
        <w:tc>
          <w:tcPr>
            <w:tcW w:w="58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3</w:t>
            </w:r>
          </w:p>
        </w:tc>
        <w:tc>
          <w:tcPr>
            <w:tcW w:w="1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大足区2023年小型水库雨水情测报和安全监测设施建设项目</w:t>
            </w:r>
          </w:p>
        </w:tc>
        <w:tc>
          <w:tcPr>
            <w:tcW w:w="116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区水利局</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273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开展49座小型水库大坝安全监测设施建设和41座小型水库雨水情测报设施建设</w:t>
            </w:r>
          </w:p>
        </w:tc>
        <w:tc>
          <w:tcPr>
            <w:tcW w:w="11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622</w:t>
            </w:r>
          </w:p>
        </w:tc>
        <w:tc>
          <w:tcPr>
            <w:tcW w:w="112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622</w:t>
            </w:r>
          </w:p>
        </w:tc>
        <w:tc>
          <w:tcPr>
            <w:tcW w:w="103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187</w:t>
            </w:r>
          </w:p>
        </w:tc>
        <w:tc>
          <w:tcPr>
            <w:tcW w:w="93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435</w:t>
            </w:r>
          </w:p>
        </w:tc>
        <w:tc>
          <w:tcPr>
            <w:tcW w:w="11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87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2023</w:t>
            </w:r>
          </w:p>
        </w:tc>
        <w:tc>
          <w:tcPr>
            <w:tcW w:w="83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2023</w:t>
            </w:r>
          </w:p>
        </w:tc>
      </w:tr>
      <w:tr>
        <w:tblPrEx>
          <w:tblLayout w:type="fixed"/>
          <w:tblCellMar>
            <w:top w:w="0" w:type="dxa"/>
            <w:left w:w="108" w:type="dxa"/>
            <w:bottom w:w="0" w:type="dxa"/>
            <w:right w:w="108" w:type="dxa"/>
          </w:tblCellMar>
        </w:tblPrEx>
        <w:trPr>
          <w:trHeight w:val="2025" w:hRule="atLeast"/>
        </w:trPr>
        <w:tc>
          <w:tcPr>
            <w:tcW w:w="58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ascii="方正兰亭纤黑简体" w:hAnsi="仿宋" w:eastAsia="方正兰亭纤黑简体"/>
                <w:sz w:val="21"/>
                <w:szCs w:val="21"/>
              </w:rPr>
              <w:t>4</w:t>
            </w:r>
          </w:p>
        </w:tc>
        <w:tc>
          <w:tcPr>
            <w:tcW w:w="1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濑溪河大足区智凤街道弥陀场至登云河段综合治理工程</w:t>
            </w:r>
          </w:p>
        </w:tc>
        <w:tc>
          <w:tcPr>
            <w:tcW w:w="116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区水利局</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273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建设管护步道15.2公里。</w:t>
            </w:r>
          </w:p>
        </w:tc>
        <w:tc>
          <w:tcPr>
            <w:tcW w:w="11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2000</w:t>
            </w:r>
          </w:p>
        </w:tc>
        <w:tc>
          <w:tcPr>
            <w:tcW w:w="112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2000</w:t>
            </w:r>
          </w:p>
        </w:tc>
        <w:tc>
          <w:tcPr>
            <w:tcW w:w="103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2000</w:t>
            </w:r>
          </w:p>
        </w:tc>
        <w:tc>
          <w:tcPr>
            <w:tcW w:w="93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1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87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2023</w:t>
            </w:r>
          </w:p>
        </w:tc>
        <w:tc>
          <w:tcPr>
            <w:tcW w:w="83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2024</w:t>
            </w:r>
          </w:p>
        </w:tc>
      </w:tr>
      <w:tr>
        <w:tblPrEx>
          <w:tblLayout w:type="fixed"/>
          <w:tblCellMar>
            <w:top w:w="0" w:type="dxa"/>
            <w:left w:w="108" w:type="dxa"/>
            <w:bottom w:w="0" w:type="dxa"/>
            <w:right w:w="108" w:type="dxa"/>
          </w:tblCellMar>
        </w:tblPrEx>
        <w:trPr>
          <w:trHeight w:val="1384" w:hRule="atLeast"/>
        </w:trPr>
        <w:tc>
          <w:tcPr>
            <w:tcW w:w="58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ascii="方正兰亭纤黑简体" w:hAnsi="仿宋" w:eastAsia="方正兰亭纤黑简体"/>
                <w:sz w:val="21"/>
                <w:szCs w:val="21"/>
              </w:rPr>
              <w:t>5</w:t>
            </w:r>
          </w:p>
        </w:tc>
        <w:tc>
          <w:tcPr>
            <w:tcW w:w="1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大足区抗旱救灾建设项目</w:t>
            </w:r>
          </w:p>
        </w:tc>
        <w:tc>
          <w:tcPr>
            <w:tcW w:w="116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区水利局</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完工</w:t>
            </w:r>
          </w:p>
        </w:tc>
        <w:tc>
          <w:tcPr>
            <w:tcW w:w="273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新建水源联通，农村自来水厂管网延伸，电灌站，抗旱蓄水池（山坪塘）；购置水泵、发电机、探照灯、储水袋、送水桶、水管等物资；相关镇街抗旱用油用电补贴</w:t>
            </w:r>
          </w:p>
        </w:tc>
        <w:tc>
          <w:tcPr>
            <w:tcW w:w="11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2200</w:t>
            </w:r>
          </w:p>
        </w:tc>
        <w:tc>
          <w:tcPr>
            <w:tcW w:w="112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2200</w:t>
            </w:r>
          </w:p>
        </w:tc>
        <w:tc>
          <w:tcPr>
            <w:tcW w:w="103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2200</w:t>
            </w:r>
          </w:p>
        </w:tc>
        <w:tc>
          <w:tcPr>
            <w:tcW w:w="93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11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w:t>
            </w:r>
          </w:p>
        </w:tc>
        <w:tc>
          <w:tcPr>
            <w:tcW w:w="87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2023</w:t>
            </w:r>
          </w:p>
        </w:tc>
        <w:tc>
          <w:tcPr>
            <w:tcW w:w="83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21"/>
              </w:rPr>
            </w:pPr>
            <w:r>
              <w:rPr>
                <w:rFonts w:hint="eastAsia" w:ascii="方正兰亭纤黑简体" w:hAnsi="仿宋" w:eastAsia="方正兰亭纤黑简体"/>
                <w:sz w:val="21"/>
                <w:szCs w:val="21"/>
              </w:rPr>
              <w:t>2023</w:t>
            </w:r>
          </w:p>
        </w:tc>
      </w:tr>
    </w:tbl>
    <w:p>
      <w:pPr>
        <w:ind w:firstLine="640"/>
      </w:pPr>
      <w:r>
        <w:br w:type="page"/>
      </w:r>
    </w:p>
    <w:tbl>
      <w:tblPr>
        <w:tblStyle w:val="24"/>
        <w:tblW w:w="14174" w:type="dxa"/>
        <w:tblInd w:w="0" w:type="dxa"/>
        <w:tblLayout w:type="fixed"/>
        <w:tblCellMar>
          <w:top w:w="0" w:type="dxa"/>
          <w:left w:w="108" w:type="dxa"/>
          <w:bottom w:w="0" w:type="dxa"/>
          <w:right w:w="108" w:type="dxa"/>
        </w:tblCellMar>
      </w:tblPr>
      <w:tblGrid>
        <w:gridCol w:w="575"/>
        <w:gridCol w:w="1440"/>
        <w:gridCol w:w="859"/>
        <w:gridCol w:w="720"/>
        <w:gridCol w:w="3308"/>
        <w:gridCol w:w="1296"/>
        <w:gridCol w:w="1151"/>
        <w:gridCol w:w="1006"/>
        <w:gridCol w:w="1041"/>
        <w:gridCol w:w="1120"/>
        <w:gridCol w:w="862"/>
        <w:gridCol w:w="796"/>
      </w:tblGrid>
      <w:tr>
        <w:tblPrEx>
          <w:tblLayout w:type="fixed"/>
          <w:tblCellMar>
            <w:top w:w="0" w:type="dxa"/>
            <w:left w:w="108" w:type="dxa"/>
            <w:bottom w:w="0" w:type="dxa"/>
            <w:right w:w="108" w:type="dxa"/>
          </w:tblCellMar>
        </w:tblPrEx>
        <w:trPr>
          <w:trHeight w:val="375" w:hRule="atLeast"/>
        </w:trPr>
        <w:tc>
          <w:tcPr>
            <w:tcW w:w="14174" w:type="dxa"/>
            <w:gridSpan w:val="12"/>
            <w:tcBorders>
              <w:top w:val="nil"/>
              <w:left w:val="nil"/>
              <w:bottom w:val="single" w:color="auto" w:sz="4" w:space="0"/>
              <w:right w:val="nil"/>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8"/>
                <w:szCs w:val="28"/>
              </w:rPr>
            </w:pPr>
            <w:r>
              <w:rPr>
                <w:rFonts w:hint="eastAsia" w:ascii="方正兰亭纤黑简体" w:hAnsi="仿宋" w:eastAsia="方正兰亭纤黑简体" w:cs="仿宋"/>
                <w:b/>
                <w:bCs/>
                <w:sz w:val="21"/>
                <w:szCs w:val="21"/>
              </w:rPr>
              <w:br w:type="page"/>
            </w:r>
            <w:r>
              <w:rPr>
                <w:rFonts w:hint="eastAsia" w:ascii="方正兰亭纤黑简体" w:hAnsi="仿宋" w:eastAsia="方正兰亭纤黑简体" w:cs="仿宋"/>
                <w:b/>
                <w:bCs/>
                <w:kern w:val="0"/>
                <w:sz w:val="28"/>
                <w:szCs w:val="28"/>
                <w:lang w:bidi="ar"/>
              </w:rPr>
              <w:t>新城建</w:t>
            </w:r>
            <w:r>
              <w:rPr>
                <w:rFonts w:hint="eastAsia" w:ascii="方正兰亭纤黑简体" w:hAnsi="仿宋" w:eastAsia="方正兰亭纤黑简体" w:cs="方正仿宋_GBK"/>
                <w:b/>
                <w:bCs/>
                <w:kern w:val="0"/>
                <w:sz w:val="28"/>
                <w:szCs w:val="28"/>
              </w:rPr>
              <w:t>项目</w:t>
            </w:r>
          </w:p>
        </w:tc>
      </w:tr>
      <w:tr>
        <w:tblPrEx>
          <w:tblLayout w:type="fixed"/>
          <w:tblCellMar>
            <w:top w:w="0" w:type="dxa"/>
            <w:left w:w="108" w:type="dxa"/>
            <w:bottom w:w="0" w:type="dxa"/>
            <w:right w:w="108" w:type="dxa"/>
          </w:tblCellMar>
        </w:tblPrEx>
        <w:trPr>
          <w:trHeight w:val="315" w:hRule="atLeast"/>
        </w:trPr>
        <w:tc>
          <w:tcPr>
            <w:tcW w:w="575"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序号</w:t>
            </w:r>
          </w:p>
        </w:tc>
        <w:tc>
          <w:tcPr>
            <w:tcW w:w="1440"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项目名字</w:t>
            </w:r>
          </w:p>
        </w:tc>
        <w:tc>
          <w:tcPr>
            <w:tcW w:w="859"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责任单位</w:t>
            </w:r>
          </w:p>
        </w:tc>
        <w:tc>
          <w:tcPr>
            <w:tcW w:w="720"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建设性质</w:t>
            </w:r>
          </w:p>
        </w:tc>
        <w:tc>
          <w:tcPr>
            <w:tcW w:w="3308"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建设内容</w:t>
            </w:r>
          </w:p>
        </w:tc>
        <w:tc>
          <w:tcPr>
            <w:tcW w:w="1296"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项目总投资（万元）</w:t>
            </w:r>
          </w:p>
        </w:tc>
        <w:tc>
          <w:tcPr>
            <w:tcW w:w="1151"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eastAsia="zh-CN" w:bidi="ar"/>
              </w:rPr>
              <w:t>“十四五”</w:t>
            </w:r>
            <w:r>
              <w:rPr>
                <w:rFonts w:hint="eastAsia" w:ascii="方正兰亭纤黑简体" w:hAnsi="仿宋" w:eastAsia="方正兰亭纤黑简体" w:cs="仿宋"/>
                <w:b/>
                <w:bCs/>
                <w:kern w:val="0"/>
                <w:sz w:val="21"/>
                <w:szCs w:val="21"/>
                <w:lang w:bidi="ar"/>
              </w:rPr>
              <w:t>计划投资（万元）</w:t>
            </w:r>
          </w:p>
        </w:tc>
        <w:tc>
          <w:tcPr>
            <w:tcW w:w="3167" w:type="dxa"/>
            <w:gridSpan w:val="3"/>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eastAsia="zh-CN" w:bidi="ar"/>
              </w:rPr>
              <w:t>“十四五”</w:t>
            </w:r>
            <w:r>
              <w:rPr>
                <w:rFonts w:hint="eastAsia" w:ascii="方正兰亭纤黑简体" w:hAnsi="仿宋" w:eastAsia="方正兰亭纤黑简体" w:cs="仿宋"/>
                <w:b/>
                <w:bCs/>
                <w:kern w:val="0"/>
                <w:sz w:val="21"/>
                <w:szCs w:val="21"/>
                <w:lang w:bidi="ar"/>
              </w:rPr>
              <w:t>计划投资分类（万元）</w:t>
            </w:r>
          </w:p>
        </w:tc>
        <w:tc>
          <w:tcPr>
            <w:tcW w:w="862"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kern w:val="0"/>
                <w:sz w:val="21"/>
                <w:szCs w:val="21"/>
                <w:lang w:bidi="ar"/>
              </w:rPr>
            </w:pPr>
            <w:r>
              <w:rPr>
                <w:rFonts w:hint="eastAsia" w:ascii="方正兰亭纤黑简体" w:hAnsi="仿宋" w:eastAsia="方正兰亭纤黑简体" w:cs="仿宋"/>
                <w:b/>
                <w:bCs/>
                <w:kern w:val="0"/>
                <w:sz w:val="21"/>
                <w:szCs w:val="21"/>
                <w:lang w:bidi="ar"/>
              </w:rPr>
              <w:t>开工</w:t>
            </w:r>
          </w:p>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时间</w:t>
            </w:r>
          </w:p>
        </w:tc>
        <w:tc>
          <w:tcPr>
            <w:tcW w:w="796"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竣工时间</w:t>
            </w:r>
          </w:p>
        </w:tc>
      </w:tr>
      <w:tr>
        <w:tblPrEx>
          <w:tblLayout w:type="fixed"/>
          <w:tblCellMar>
            <w:top w:w="0" w:type="dxa"/>
            <w:left w:w="108" w:type="dxa"/>
            <w:bottom w:w="0" w:type="dxa"/>
            <w:right w:w="108" w:type="dxa"/>
          </w:tblCellMar>
        </w:tblPrEx>
        <w:trPr>
          <w:trHeight w:val="630" w:hRule="atLeast"/>
        </w:trPr>
        <w:tc>
          <w:tcPr>
            <w:tcW w:w="575"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440"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859"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720"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3308"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296"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151"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kern w:val="0"/>
                <w:sz w:val="21"/>
                <w:szCs w:val="21"/>
                <w:lang w:bidi="ar"/>
              </w:rPr>
            </w:pPr>
            <w:r>
              <w:rPr>
                <w:rFonts w:hint="eastAsia" w:ascii="方正兰亭纤黑简体" w:hAnsi="仿宋" w:eastAsia="方正兰亭纤黑简体" w:cs="仿宋"/>
                <w:b/>
                <w:bCs/>
                <w:kern w:val="0"/>
                <w:sz w:val="21"/>
                <w:szCs w:val="21"/>
                <w:lang w:bidi="ar"/>
              </w:rPr>
              <w:t>中央</w:t>
            </w:r>
            <w:r>
              <w:rPr>
                <w:rFonts w:ascii="方正兰亭纤黑简体" w:hAnsi="仿宋" w:eastAsia="方正兰亭纤黑简体" w:cs="仿宋"/>
                <w:b/>
                <w:bCs/>
                <w:kern w:val="0"/>
                <w:sz w:val="21"/>
                <w:szCs w:val="21"/>
                <w:lang w:bidi="ar"/>
              </w:rPr>
              <w:t>及</w:t>
            </w:r>
            <w:r>
              <w:rPr>
                <w:rFonts w:hint="eastAsia" w:ascii="方正兰亭纤黑简体" w:hAnsi="仿宋" w:eastAsia="方正兰亭纤黑简体" w:cs="仿宋"/>
                <w:b/>
                <w:bCs/>
                <w:kern w:val="0"/>
                <w:sz w:val="21"/>
                <w:szCs w:val="21"/>
                <w:lang w:bidi="ar"/>
              </w:rPr>
              <w:t>市级</w:t>
            </w:r>
          </w:p>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投资</w:t>
            </w:r>
          </w:p>
        </w:tc>
        <w:tc>
          <w:tcPr>
            <w:tcW w:w="1041"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kern w:val="0"/>
                <w:sz w:val="21"/>
                <w:szCs w:val="21"/>
                <w:lang w:bidi="ar"/>
              </w:rPr>
            </w:pPr>
            <w:r>
              <w:rPr>
                <w:rFonts w:hint="eastAsia" w:ascii="方正兰亭纤黑简体" w:hAnsi="仿宋" w:eastAsia="方正兰亭纤黑简体" w:cs="仿宋"/>
                <w:b/>
                <w:bCs/>
                <w:kern w:val="0"/>
                <w:sz w:val="21"/>
                <w:szCs w:val="21"/>
                <w:lang w:bidi="ar"/>
              </w:rPr>
              <w:t>区级</w:t>
            </w:r>
          </w:p>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投资</w:t>
            </w:r>
          </w:p>
        </w:tc>
        <w:tc>
          <w:tcPr>
            <w:tcW w:w="1120"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其它</w:t>
            </w:r>
          </w:p>
        </w:tc>
        <w:tc>
          <w:tcPr>
            <w:tcW w:w="862"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796"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r>
      <w:tr>
        <w:tblPrEx>
          <w:tblLayout w:type="fixed"/>
          <w:tblCellMar>
            <w:top w:w="0" w:type="dxa"/>
            <w:left w:w="108" w:type="dxa"/>
            <w:bottom w:w="0" w:type="dxa"/>
            <w:right w:w="108" w:type="dxa"/>
          </w:tblCellMar>
        </w:tblPrEx>
        <w:trPr>
          <w:trHeight w:val="1125" w:hRule="atLeast"/>
        </w:trPr>
        <w:tc>
          <w:tcPr>
            <w:tcW w:w="575"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eastAsia="方正兰亭纤黑简体"/>
                <w:kern w:val="0"/>
                <w:sz w:val="21"/>
                <w:szCs w:val="21"/>
              </w:rPr>
            </w:pPr>
            <w:r>
              <w:rPr>
                <w:rFonts w:hint="eastAsia" w:ascii="方正兰亭纤黑简体" w:eastAsia="方正兰亭纤黑简体"/>
                <w:sz w:val="21"/>
                <w:szCs w:val="21"/>
              </w:rPr>
              <w:t>1</w:t>
            </w:r>
          </w:p>
        </w:tc>
        <w:tc>
          <w:tcPr>
            <w:tcW w:w="14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智慧城市（二期）</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区经济信息委</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hAnsi="仿宋" w:eastAsia="方正兰亭纤黑简体"/>
                <w:sz w:val="21"/>
                <w:szCs w:val="21"/>
              </w:rPr>
              <w:t>完工</w:t>
            </w:r>
          </w:p>
        </w:tc>
        <w:tc>
          <w:tcPr>
            <w:tcW w:w="33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在智慧城市（一期）建设的基础上，对大足区政务云平台硬件、软件和业务应用体系进行升级（如购置扩容所需服务器、网络配套设备、授权管理软件、运维服务、网络安全产品等），建设城市核心能力运营中心（实现一屏统管、跨部门联合指挥调度、城市综合管理、应急指挥等），升级基础数据库（人口库、法人库、企业库、地理信息基础库等）；基于云平台数据资源开发建设智慧水务、智慧教育、智慧医疗等应用系统。</w:t>
            </w:r>
          </w:p>
        </w:tc>
        <w:tc>
          <w:tcPr>
            <w:tcW w:w="12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15000</w:t>
            </w:r>
          </w:p>
        </w:tc>
        <w:tc>
          <w:tcPr>
            <w:tcW w:w="11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15000</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04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1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15000</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2023</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2025</w:t>
            </w:r>
          </w:p>
        </w:tc>
      </w:tr>
      <w:tr>
        <w:tblPrEx>
          <w:tblLayout w:type="fixed"/>
          <w:tblCellMar>
            <w:top w:w="0" w:type="dxa"/>
            <w:left w:w="108" w:type="dxa"/>
            <w:bottom w:w="0" w:type="dxa"/>
            <w:right w:w="108" w:type="dxa"/>
          </w:tblCellMar>
        </w:tblPrEx>
        <w:trPr>
          <w:trHeight w:val="900" w:hRule="atLeast"/>
        </w:trPr>
        <w:tc>
          <w:tcPr>
            <w:tcW w:w="5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w:t>
            </w:r>
          </w:p>
        </w:tc>
        <w:tc>
          <w:tcPr>
            <w:tcW w:w="14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大足区智慧政务大厅项目</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区国资委</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hAnsi="仿宋" w:eastAsia="方正兰亭纤黑简体"/>
                <w:sz w:val="21"/>
                <w:szCs w:val="21"/>
              </w:rPr>
              <w:t>完工</w:t>
            </w:r>
          </w:p>
        </w:tc>
        <w:tc>
          <w:tcPr>
            <w:tcW w:w="33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围绕“效能评估”、“不见面审批”、“无证明服务”等专项工作要求，全力搭建“纵横全覆盖、事项全口径、内容全方位、服务全渠道、资源全共享”的全区智慧政务系统</w:t>
            </w:r>
          </w:p>
        </w:tc>
        <w:tc>
          <w:tcPr>
            <w:tcW w:w="12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2000</w:t>
            </w:r>
          </w:p>
        </w:tc>
        <w:tc>
          <w:tcPr>
            <w:tcW w:w="11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2000</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04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1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2000</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2021</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2024</w:t>
            </w:r>
          </w:p>
        </w:tc>
      </w:tr>
      <w:tr>
        <w:tblPrEx>
          <w:tblLayout w:type="fixed"/>
          <w:tblCellMar>
            <w:top w:w="0" w:type="dxa"/>
            <w:left w:w="108" w:type="dxa"/>
            <w:bottom w:w="0" w:type="dxa"/>
            <w:right w:w="108" w:type="dxa"/>
          </w:tblCellMar>
        </w:tblPrEx>
        <w:trPr>
          <w:trHeight w:val="1125" w:hRule="atLeast"/>
        </w:trPr>
        <w:tc>
          <w:tcPr>
            <w:tcW w:w="5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ascii="方正兰亭纤黑简体" w:eastAsia="方正兰亭纤黑简体"/>
                <w:sz w:val="21"/>
                <w:szCs w:val="21"/>
              </w:rPr>
              <w:t>3</w:t>
            </w:r>
          </w:p>
        </w:tc>
        <w:tc>
          <w:tcPr>
            <w:tcW w:w="14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城市消防远程监控系统终端建设</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城投集团</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hAnsi="仿宋" w:eastAsia="方正兰亭纤黑简体"/>
                <w:sz w:val="21"/>
                <w:szCs w:val="21"/>
              </w:rPr>
              <w:t>完工</w:t>
            </w:r>
          </w:p>
        </w:tc>
        <w:tc>
          <w:tcPr>
            <w:tcW w:w="33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对火灾重点单位、高层建筑、古建筑已建成的火灾自动报警系统、消防水系统、</w:t>
            </w:r>
            <w:bookmarkStart w:id="257" w:name="_GoBack"/>
            <w:bookmarkEnd w:id="257"/>
            <w:r>
              <w:rPr>
                <w:rFonts w:hint="eastAsia" w:ascii="方正兰亭纤黑简体" w:eastAsia="方正兰亭纤黑简体"/>
                <w:sz w:val="21"/>
                <w:szCs w:val="21"/>
              </w:rPr>
              <w:t>消防控制室、疏散通道、安全出口等重点部位加装城市消防远程监控系统终端，联入城市消防远程监控系统</w:t>
            </w:r>
          </w:p>
        </w:tc>
        <w:tc>
          <w:tcPr>
            <w:tcW w:w="12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2000</w:t>
            </w:r>
          </w:p>
        </w:tc>
        <w:tc>
          <w:tcPr>
            <w:tcW w:w="11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2000</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04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1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2000</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2021</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2022</w:t>
            </w:r>
          </w:p>
        </w:tc>
      </w:tr>
      <w:tr>
        <w:tblPrEx>
          <w:tblLayout w:type="fixed"/>
          <w:tblCellMar>
            <w:top w:w="0" w:type="dxa"/>
            <w:left w:w="108" w:type="dxa"/>
            <w:bottom w:w="0" w:type="dxa"/>
            <w:right w:w="108" w:type="dxa"/>
          </w:tblCellMar>
        </w:tblPrEx>
        <w:trPr>
          <w:trHeight w:val="1520" w:hRule="atLeast"/>
        </w:trPr>
        <w:tc>
          <w:tcPr>
            <w:tcW w:w="5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ascii="方正兰亭纤黑简体" w:eastAsia="方正兰亭纤黑简体"/>
                <w:sz w:val="21"/>
                <w:szCs w:val="21"/>
              </w:rPr>
              <w:t>4</w:t>
            </w:r>
          </w:p>
        </w:tc>
        <w:tc>
          <w:tcPr>
            <w:tcW w:w="14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货运安全监管平台</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交通局</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hAnsi="仿宋" w:eastAsia="方正兰亭纤黑简体"/>
                <w:sz w:val="21"/>
                <w:szCs w:val="21"/>
              </w:rPr>
              <w:t>完工</w:t>
            </w:r>
          </w:p>
        </w:tc>
        <w:tc>
          <w:tcPr>
            <w:tcW w:w="33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建立货运车辆动态监控系统、货运企业风险管理系统、安全学习管理系统，整合市级、区内交通资源，打造我区特色的交通大数据系统。从到企业实地检查到通过建设的系统平台对企业管理运行情况一目了然，实现交通行业管理水平的提升，满足行业管理的要求，减少事故发生率。</w:t>
            </w:r>
          </w:p>
        </w:tc>
        <w:tc>
          <w:tcPr>
            <w:tcW w:w="12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363</w:t>
            </w:r>
          </w:p>
        </w:tc>
        <w:tc>
          <w:tcPr>
            <w:tcW w:w="11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363</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04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363</w:t>
            </w:r>
          </w:p>
        </w:tc>
        <w:tc>
          <w:tcPr>
            <w:tcW w:w="11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2022</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2024</w:t>
            </w:r>
          </w:p>
        </w:tc>
      </w:tr>
      <w:tr>
        <w:tblPrEx>
          <w:tblLayout w:type="fixed"/>
          <w:tblCellMar>
            <w:top w:w="0" w:type="dxa"/>
            <w:left w:w="108" w:type="dxa"/>
            <w:bottom w:w="0" w:type="dxa"/>
            <w:right w:w="108" w:type="dxa"/>
          </w:tblCellMar>
        </w:tblPrEx>
        <w:trPr>
          <w:trHeight w:val="675" w:hRule="atLeast"/>
        </w:trPr>
        <w:tc>
          <w:tcPr>
            <w:tcW w:w="5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ascii="方正兰亭纤黑简体" w:eastAsia="方正兰亭纤黑简体"/>
                <w:sz w:val="21"/>
                <w:szCs w:val="21"/>
              </w:rPr>
              <w:t>5</w:t>
            </w:r>
          </w:p>
        </w:tc>
        <w:tc>
          <w:tcPr>
            <w:tcW w:w="14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大足石刻数字博物馆</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大足石刻研究院</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hAnsi="仿宋" w:eastAsia="方正兰亭纤黑简体"/>
                <w:sz w:val="21"/>
                <w:szCs w:val="21"/>
              </w:rPr>
              <w:t>完工</w:t>
            </w:r>
          </w:p>
        </w:tc>
        <w:tc>
          <w:tcPr>
            <w:tcW w:w="33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1.建设大足石刻云上博物馆。以大足石刻“五山”石窟为重点，集中采集大足石刻数据资源，利用数字化技术对石刻文物进行全方位的展示，满足公众线上游览观赏大足石刻的服务需求。</w:t>
            </w:r>
            <w:r>
              <w:rPr>
                <w:rFonts w:hint="eastAsia" w:ascii="方正兰亭纤黑简体" w:eastAsia="方正兰亭纤黑简体"/>
                <w:sz w:val="21"/>
                <w:szCs w:val="21"/>
              </w:rPr>
              <w:br w:type="textWrapping"/>
            </w:r>
            <w:r>
              <w:rPr>
                <w:rFonts w:hint="eastAsia" w:ascii="方正兰亭纤黑简体" w:eastAsia="方正兰亭纤黑简体"/>
                <w:sz w:val="21"/>
                <w:szCs w:val="21"/>
              </w:rPr>
              <w:t>2.建设大足石刻中英文门户网站。网站涵盖数字游览、学术研究、社会教育、咨询服务等功能模块，推出中文版、英文版、移动版三个版本，满足公众了解认知大足石刻的各种层次的文化需求，实现网站对标国际化的建设目标。</w:t>
            </w:r>
            <w:r>
              <w:rPr>
                <w:rFonts w:hint="eastAsia" w:ascii="方正兰亭纤黑简体" w:eastAsia="方正兰亭纤黑简体"/>
                <w:sz w:val="21"/>
                <w:szCs w:val="21"/>
              </w:rPr>
              <w:br w:type="textWrapping"/>
            </w:r>
            <w:r>
              <w:rPr>
                <w:rFonts w:hint="eastAsia" w:ascii="方正兰亭纤黑简体" w:eastAsia="方正兰亭纤黑简体"/>
                <w:sz w:val="21"/>
                <w:szCs w:val="21"/>
              </w:rPr>
              <w:t>3.建设大足石刻数字化工作室。用于持续生产保护、研究和传承利用的数字内容，以满足数字博物馆和网站内容运维更新需求。</w:t>
            </w:r>
          </w:p>
        </w:tc>
        <w:tc>
          <w:tcPr>
            <w:tcW w:w="12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365</w:t>
            </w:r>
          </w:p>
        </w:tc>
        <w:tc>
          <w:tcPr>
            <w:tcW w:w="11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365</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04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365</w:t>
            </w:r>
          </w:p>
        </w:tc>
        <w:tc>
          <w:tcPr>
            <w:tcW w:w="11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2022</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2023</w:t>
            </w:r>
          </w:p>
        </w:tc>
      </w:tr>
      <w:tr>
        <w:tblPrEx>
          <w:tblLayout w:type="fixed"/>
          <w:tblCellMar>
            <w:top w:w="0" w:type="dxa"/>
            <w:left w:w="108" w:type="dxa"/>
            <w:bottom w:w="0" w:type="dxa"/>
            <w:right w:w="108" w:type="dxa"/>
          </w:tblCellMar>
        </w:tblPrEx>
        <w:trPr>
          <w:trHeight w:val="675" w:hRule="atLeast"/>
        </w:trPr>
        <w:tc>
          <w:tcPr>
            <w:tcW w:w="5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ascii="方正兰亭纤黑简体" w:eastAsia="方正兰亭纤黑简体"/>
                <w:sz w:val="21"/>
                <w:szCs w:val="21"/>
              </w:rPr>
              <w:t>6</w:t>
            </w:r>
          </w:p>
        </w:tc>
        <w:tc>
          <w:tcPr>
            <w:tcW w:w="14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智慧城管建设项目</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城投集团</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hAnsi="仿宋" w:eastAsia="方正兰亭纤黑简体"/>
                <w:sz w:val="21"/>
                <w:szCs w:val="21"/>
              </w:rPr>
              <w:t>完工</w:t>
            </w:r>
          </w:p>
        </w:tc>
        <w:tc>
          <w:tcPr>
            <w:tcW w:w="33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建设城市综合管理服务平台和“市政设施、市容环卫、园林绿化、综合执法”等业务系统，构建适应大足区高质量发展要求的城市运行“一网统管”工作体系，实现城市管理要素、过程、决策等全方位的信息化、智慧化</w:t>
            </w:r>
          </w:p>
        </w:tc>
        <w:tc>
          <w:tcPr>
            <w:tcW w:w="12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900</w:t>
            </w:r>
          </w:p>
        </w:tc>
        <w:tc>
          <w:tcPr>
            <w:tcW w:w="11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900</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04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900</w:t>
            </w:r>
          </w:p>
        </w:tc>
        <w:tc>
          <w:tcPr>
            <w:tcW w:w="11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2022</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2024</w:t>
            </w:r>
          </w:p>
        </w:tc>
      </w:tr>
      <w:tr>
        <w:tblPrEx>
          <w:tblLayout w:type="fixed"/>
          <w:tblCellMar>
            <w:top w:w="0" w:type="dxa"/>
            <w:left w:w="108" w:type="dxa"/>
            <w:bottom w:w="0" w:type="dxa"/>
            <w:right w:w="108" w:type="dxa"/>
          </w:tblCellMar>
        </w:tblPrEx>
        <w:trPr>
          <w:trHeight w:val="960" w:hRule="atLeast"/>
        </w:trPr>
        <w:tc>
          <w:tcPr>
            <w:tcW w:w="5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ascii="方正兰亭纤黑简体" w:eastAsia="方正兰亭纤黑简体"/>
                <w:sz w:val="21"/>
                <w:szCs w:val="21"/>
              </w:rPr>
              <w:t>7</w:t>
            </w:r>
          </w:p>
        </w:tc>
        <w:tc>
          <w:tcPr>
            <w:tcW w:w="14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国资大数据监管平台</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区国资委</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hAnsi="仿宋" w:eastAsia="方正兰亭纤黑简体"/>
                <w:sz w:val="21"/>
                <w:szCs w:val="21"/>
              </w:rPr>
              <w:t>完工</w:t>
            </w:r>
          </w:p>
        </w:tc>
        <w:tc>
          <w:tcPr>
            <w:tcW w:w="33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国资大数据监管平台包含国资监管平台、企业应用平台两部分，具体包括：基础业务、数据采集、产权及资产管理、投资及项目管理、企业融资债务管理、企业财务监管、“三重一大”决策运行与大额资金监管、国资监管综合业务分析系统及大屏展示终端等</w:t>
            </w:r>
          </w:p>
        </w:tc>
        <w:tc>
          <w:tcPr>
            <w:tcW w:w="12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390</w:t>
            </w:r>
          </w:p>
        </w:tc>
        <w:tc>
          <w:tcPr>
            <w:tcW w:w="11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390</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04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390</w:t>
            </w:r>
          </w:p>
        </w:tc>
        <w:tc>
          <w:tcPr>
            <w:tcW w:w="11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2022</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2022</w:t>
            </w:r>
          </w:p>
        </w:tc>
      </w:tr>
      <w:tr>
        <w:tblPrEx>
          <w:tblLayout w:type="fixed"/>
          <w:tblCellMar>
            <w:top w:w="0" w:type="dxa"/>
            <w:left w:w="108" w:type="dxa"/>
            <w:bottom w:w="0" w:type="dxa"/>
            <w:right w:w="108" w:type="dxa"/>
          </w:tblCellMar>
        </w:tblPrEx>
        <w:trPr>
          <w:trHeight w:val="675" w:hRule="atLeast"/>
        </w:trPr>
        <w:tc>
          <w:tcPr>
            <w:tcW w:w="5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ascii="方正兰亭纤黑简体" w:eastAsia="方正兰亭纤黑简体"/>
                <w:sz w:val="21"/>
                <w:szCs w:val="21"/>
              </w:rPr>
              <w:t>8</w:t>
            </w:r>
          </w:p>
        </w:tc>
        <w:tc>
          <w:tcPr>
            <w:tcW w:w="14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数字化城市管理覆盖面积增补测</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重庆市大足区数字化城市管理中心</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hAnsi="仿宋" w:eastAsia="方正兰亭纤黑简体"/>
                <w:sz w:val="21"/>
                <w:szCs w:val="21"/>
              </w:rPr>
              <w:t>完工</w:t>
            </w:r>
          </w:p>
        </w:tc>
        <w:tc>
          <w:tcPr>
            <w:tcW w:w="33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对大足建成区22平方公里范围内的城市管理部件数据、地理编码数据等进行全面普查、修缮及更新，并部署到大足区数字化城市管理系统中运用</w:t>
            </w:r>
          </w:p>
        </w:tc>
        <w:tc>
          <w:tcPr>
            <w:tcW w:w="12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82</w:t>
            </w:r>
          </w:p>
        </w:tc>
        <w:tc>
          <w:tcPr>
            <w:tcW w:w="11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82</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04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82</w:t>
            </w:r>
          </w:p>
        </w:tc>
        <w:tc>
          <w:tcPr>
            <w:tcW w:w="11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2022</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2022</w:t>
            </w:r>
          </w:p>
        </w:tc>
      </w:tr>
      <w:tr>
        <w:tblPrEx>
          <w:tblLayout w:type="fixed"/>
          <w:tblCellMar>
            <w:top w:w="0" w:type="dxa"/>
            <w:left w:w="108" w:type="dxa"/>
            <w:bottom w:w="0" w:type="dxa"/>
            <w:right w:w="108" w:type="dxa"/>
          </w:tblCellMar>
        </w:tblPrEx>
        <w:trPr>
          <w:trHeight w:val="675" w:hRule="atLeast"/>
        </w:trPr>
        <w:tc>
          <w:tcPr>
            <w:tcW w:w="5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ascii="方正兰亭纤黑简体" w:eastAsia="方正兰亭纤黑简体"/>
                <w:sz w:val="21"/>
                <w:szCs w:val="21"/>
              </w:rPr>
              <w:t>9</w:t>
            </w:r>
          </w:p>
        </w:tc>
        <w:tc>
          <w:tcPr>
            <w:tcW w:w="14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通信基础设施建设</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区经济信息委</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hAnsi="仿宋" w:eastAsia="方正兰亭纤黑简体"/>
                <w:sz w:val="21"/>
                <w:szCs w:val="21"/>
              </w:rPr>
              <w:t>完工</w:t>
            </w:r>
          </w:p>
        </w:tc>
        <w:tc>
          <w:tcPr>
            <w:tcW w:w="33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新建4G基站100个，5G基站400个以及光网络建设</w:t>
            </w:r>
          </w:p>
        </w:tc>
        <w:tc>
          <w:tcPr>
            <w:tcW w:w="12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15600</w:t>
            </w:r>
          </w:p>
        </w:tc>
        <w:tc>
          <w:tcPr>
            <w:tcW w:w="11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15600</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04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1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15600</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2023</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2023</w:t>
            </w:r>
          </w:p>
        </w:tc>
      </w:tr>
      <w:tr>
        <w:tblPrEx>
          <w:tblLayout w:type="fixed"/>
          <w:tblCellMar>
            <w:top w:w="0" w:type="dxa"/>
            <w:left w:w="108" w:type="dxa"/>
            <w:bottom w:w="0" w:type="dxa"/>
            <w:right w:w="108" w:type="dxa"/>
          </w:tblCellMar>
        </w:tblPrEx>
        <w:trPr>
          <w:trHeight w:val="900" w:hRule="atLeast"/>
        </w:trPr>
        <w:tc>
          <w:tcPr>
            <w:tcW w:w="5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1</w:t>
            </w:r>
            <w:r>
              <w:rPr>
                <w:rFonts w:ascii="方正兰亭纤黑简体" w:eastAsia="方正兰亭纤黑简体"/>
                <w:sz w:val="21"/>
                <w:szCs w:val="21"/>
              </w:rPr>
              <w:t>0</w:t>
            </w:r>
          </w:p>
        </w:tc>
        <w:tc>
          <w:tcPr>
            <w:tcW w:w="14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通讯基础设施建设</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移动、联通、电信</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hAnsi="仿宋" w:eastAsia="方正兰亭纤黑简体"/>
                <w:sz w:val="21"/>
                <w:szCs w:val="21"/>
              </w:rPr>
              <w:t>完工</w:t>
            </w:r>
          </w:p>
        </w:tc>
        <w:tc>
          <w:tcPr>
            <w:tcW w:w="33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5G、4G、千兆端口、机房</w:t>
            </w:r>
          </w:p>
        </w:tc>
        <w:tc>
          <w:tcPr>
            <w:tcW w:w="12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22765</w:t>
            </w:r>
          </w:p>
        </w:tc>
        <w:tc>
          <w:tcPr>
            <w:tcW w:w="11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22765</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04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1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22765</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2022</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2025</w:t>
            </w:r>
          </w:p>
        </w:tc>
      </w:tr>
      <w:tr>
        <w:tblPrEx>
          <w:tblLayout w:type="fixed"/>
          <w:tblCellMar>
            <w:top w:w="0" w:type="dxa"/>
            <w:left w:w="108" w:type="dxa"/>
            <w:bottom w:w="0" w:type="dxa"/>
            <w:right w:w="108" w:type="dxa"/>
          </w:tblCellMar>
        </w:tblPrEx>
        <w:trPr>
          <w:trHeight w:val="1350" w:hRule="atLeast"/>
        </w:trPr>
        <w:tc>
          <w:tcPr>
            <w:tcW w:w="5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1</w:t>
            </w:r>
            <w:r>
              <w:rPr>
                <w:rFonts w:ascii="方正兰亭纤黑简体" w:eastAsia="方正兰亭纤黑简体"/>
                <w:sz w:val="21"/>
                <w:szCs w:val="21"/>
              </w:rPr>
              <w:t>1</w:t>
            </w:r>
          </w:p>
        </w:tc>
        <w:tc>
          <w:tcPr>
            <w:tcW w:w="14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实施智慧路网建设</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区住房城乡建委、区经济信息委</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hAnsi="仿宋" w:eastAsia="方正兰亭纤黑简体"/>
                <w:sz w:val="21"/>
                <w:szCs w:val="21"/>
              </w:rPr>
              <w:t>完工</w:t>
            </w:r>
          </w:p>
        </w:tc>
        <w:tc>
          <w:tcPr>
            <w:tcW w:w="33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对新（改）建的道路开展智慧路网建设和改造试点，推动智慧路灯、“多杆合一”建设。</w:t>
            </w:r>
          </w:p>
        </w:tc>
        <w:tc>
          <w:tcPr>
            <w:tcW w:w="12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3000</w:t>
            </w:r>
          </w:p>
        </w:tc>
        <w:tc>
          <w:tcPr>
            <w:tcW w:w="11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3000</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04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3000</w:t>
            </w:r>
          </w:p>
        </w:tc>
        <w:tc>
          <w:tcPr>
            <w:tcW w:w="11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2022</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2025</w:t>
            </w:r>
          </w:p>
        </w:tc>
      </w:tr>
      <w:tr>
        <w:tblPrEx>
          <w:tblLayout w:type="fixed"/>
          <w:tblCellMar>
            <w:top w:w="0" w:type="dxa"/>
            <w:left w:w="108" w:type="dxa"/>
            <w:bottom w:w="0" w:type="dxa"/>
            <w:right w:w="108" w:type="dxa"/>
          </w:tblCellMar>
        </w:tblPrEx>
        <w:trPr>
          <w:trHeight w:val="675" w:hRule="atLeast"/>
        </w:trPr>
        <w:tc>
          <w:tcPr>
            <w:tcW w:w="5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1</w:t>
            </w:r>
            <w:r>
              <w:rPr>
                <w:rFonts w:ascii="方正兰亭纤黑简体" w:eastAsia="方正兰亭纤黑简体"/>
                <w:sz w:val="21"/>
                <w:szCs w:val="21"/>
              </w:rPr>
              <w:t>2</w:t>
            </w:r>
          </w:p>
        </w:tc>
        <w:tc>
          <w:tcPr>
            <w:tcW w:w="14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实施智慧供水建设</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区城管局</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hAnsi="仿宋" w:eastAsia="方正兰亭纤黑简体"/>
                <w:sz w:val="21"/>
                <w:szCs w:val="21"/>
              </w:rPr>
              <w:t>完工</w:t>
            </w:r>
          </w:p>
        </w:tc>
        <w:tc>
          <w:tcPr>
            <w:tcW w:w="33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逐步实施大足中心城区水厂和管网信息化建设与改造，构建供水系统感知物联网，提升城市供水系统运行管理水平。</w:t>
            </w:r>
          </w:p>
        </w:tc>
        <w:tc>
          <w:tcPr>
            <w:tcW w:w="12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1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04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1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2022</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2024</w:t>
            </w:r>
          </w:p>
        </w:tc>
      </w:tr>
      <w:tr>
        <w:tblPrEx>
          <w:tblLayout w:type="fixed"/>
          <w:tblCellMar>
            <w:top w:w="0" w:type="dxa"/>
            <w:left w:w="108" w:type="dxa"/>
            <w:bottom w:w="0" w:type="dxa"/>
            <w:right w:w="108" w:type="dxa"/>
          </w:tblCellMar>
        </w:tblPrEx>
        <w:trPr>
          <w:trHeight w:val="675" w:hRule="atLeast"/>
        </w:trPr>
        <w:tc>
          <w:tcPr>
            <w:tcW w:w="5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1</w:t>
            </w:r>
            <w:r>
              <w:rPr>
                <w:rFonts w:ascii="方正兰亭纤黑简体" w:eastAsia="方正兰亭纤黑简体"/>
                <w:sz w:val="21"/>
                <w:szCs w:val="21"/>
              </w:rPr>
              <w:t>3</w:t>
            </w:r>
          </w:p>
        </w:tc>
        <w:tc>
          <w:tcPr>
            <w:tcW w:w="14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实施智慧排水建设</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区住房城乡建委</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hAnsi="仿宋" w:eastAsia="方正兰亭纤黑简体"/>
                <w:sz w:val="21"/>
                <w:szCs w:val="21"/>
              </w:rPr>
              <w:t>完工</w:t>
            </w:r>
          </w:p>
        </w:tc>
        <w:tc>
          <w:tcPr>
            <w:tcW w:w="33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围绕污水、雨水排水监测及管理需要，建立排水基础设施数据动态更新机制，构建从源头到末端的全过程物联网体系和智慧排水业务应用体系。</w:t>
            </w:r>
          </w:p>
        </w:tc>
        <w:tc>
          <w:tcPr>
            <w:tcW w:w="12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6000</w:t>
            </w:r>
          </w:p>
        </w:tc>
        <w:tc>
          <w:tcPr>
            <w:tcW w:w="11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6000</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04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1000</w:t>
            </w:r>
          </w:p>
        </w:tc>
        <w:tc>
          <w:tcPr>
            <w:tcW w:w="11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5000</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2022</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2025</w:t>
            </w:r>
          </w:p>
        </w:tc>
      </w:tr>
      <w:tr>
        <w:tblPrEx>
          <w:tblLayout w:type="fixed"/>
          <w:tblCellMar>
            <w:top w:w="0" w:type="dxa"/>
            <w:left w:w="108" w:type="dxa"/>
            <w:bottom w:w="0" w:type="dxa"/>
            <w:right w:w="108" w:type="dxa"/>
          </w:tblCellMar>
        </w:tblPrEx>
        <w:trPr>
          <w:trHeight w:val="675" w:hRule="atLeast"/>
        </w:trPr>
        <w:tc>
          <w:tcPr>
            <w:tcW w:w="5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1</w:t>
            </w:r>
            <w:r>
              <w:rPr>
                <w:rFonts w:ascii="方正兰亭纤黑简体" w:eastAsia="方正兰亭纤黑简体"/>
                <w:sz w:val="21"/>
                <w:szCs w:val="21"/>
              </w:rPr>
              <w:t>4</w:t>
            </w:r>
          </w:p>
        </w:tc>
        <w:tc>
          <w:tcPr>
            <w:tcW w:w="14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实施智慧管网建设</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区经济信息委、区住房城乡建委</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hAnsi="仿宋" w:eastAsia="方正兰亭纤黑简体"/>
                <w:sz w:val="21"/>
                <w:szCs w:val="21"/>
              </w:rPr>
              <w:t>完工</w:t>
            </w:r>
          </w:p>
        </w:tc>
        <w:tc>
          <w:tcPr>
            <w:tcW w:w="33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加强对电力、通讯、燃气、供水、排水及其他专业管线的空间属性、结构属性等信息采集和综合应用，并与各管线单位的专业管理系统互联互通，与城市信息综合平台深度融合。</w:t>
            </w:r>
          </w:p>
        </w:tc>
        <w:tc>
          <w:tcPr>
            <w:tcW w:w="12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3000</w:t>
            </w:r>
          </w:p>
        </w:tc>
        <w:tc>
          <w:tcPr>
            <w:tcW w:w="11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3000</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04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3000</w:t>
            </w:r>
          </w:p>
        </w:tc>
        <w:tc>
          <w:tcPr>
            <w:tcW w:w="11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2022</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2025</w:t>
            </w:r>
          </w:p>
        </w:tc>
      </w:tr>
      <w:tr>
        <w:tblPrEx>
          <w:tblLayout w:type="fixed"/>
          <w:tblCellMar>
            <w:top w:w="0" w:type="dxa"/>
            <w:left w:w="108" w:type="dxa"/>
            <w:bottom w:w="0" w:type="dxa"/>
            <w:right w:w="108" w:type="dxa"/>
          </w:tblCellMar>
        </w:tblPrEx>
        <w:trPr>
          <w:trHeight w:val="675" w:hRule="atLeast"/>
        </w:trPr>
        <w:tc>
          <w:tcPr>
            <w:tcW w:w="5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1</w:t>
            </w:r>
            <w:r>
              <w:rPr>
                <w:rFonts w:ascii="方正兰亭纤黑简体" w:eastAsia="方正兰亭纤黑简体"/>
                <w:sz w:val="21"/>
                <w:szCs w:val="21"/>
              </w:rPr>
              <w:t>5</w:t>
            </w:r>
          </w:p>
        </w:tc>
        <w:tc>
          <w:tcPr>
            <w:tcW w:w="14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推进住宅小区智慧化建设和改造</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区住房城乡建委</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hAnsi="仿宋" w:eastAsia="方正兰亭纤黑简体"/>
                <w:sz w:val="21"/>
                <w:szCs w:val="21"/>
              </w:rPr>
              <w:t>完工</w:t>
            </w:r>
          </w:p>
        </w:tc>
        <w:tc>
          <w:tcPr>
            <w:tcW w:w="33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推动建设智慧小区不少于5个，加强信息化基础设施建设，推动智能安防、智慧停车等信息技术在新建住宅小区的应用。</w:t>
            </w:r>
            <w:r>
              <w:rPr>
                <w:rFonts w:hint="eastAsia" w:ascii="方正兰亭纤黑简体" w:eastAsia="方正兰亭纤黑简体"/>
                <w:sz w:val="21"/>
                <w:szCs w:val="21"/>
              </w:rPr>
              <w:br w:type="textWrapping"/>
            </w:r>
            <w:r>
              <w:rPr>
                <w:rFonts w:hint="eastAsia" w:ascii="方正兰亭纤黑简体" w:eastAsia="方正兰亭纤黑简体"/>
                <w:sz w:val="21"/>
                <w:szCs w:val="21"/>
              </w:rPr>
              <w:t>推动60个以上既有住宅小区智慧化改造升级，主要改造小区老旧门禁系统、物管系统、安防系统、邮递寄存系统等。</w:t>
            </w:r>
          </w:p>
        </w:tc>
        <w:tc>
          <w:tcPr>
            <w:tcW w:w="12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3500</w:t>
            </w:r>
          </w:p>
        </w:tc>
        <w:tc>
          <w:tcPr>
            <w:tcW w:w="11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3500</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04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1000</w:t>
            </w:r>
          </w:p>
        </w:tc>
        <w:tc>
          <w:tcPr>
            <w:tcW w:w="11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2500</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2022</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2025</w:t>
            </w:r>
          </w:p>
        </w:tc>
      </w:tr>
      <w:tr>
        <w:tblPrEx>
          <w:tblLayout w:type="fixed"/>
          <w:tblCellMar>
            <w:top w:w="0" w:type="dxa"/>
            <w:left w:w="108" w:type="dxa"/>
            <w:bottom w:w="0" w:type="dxa"/>
            <w:right w:w="108" w:type="dxa"/>
          </w:tblCellMar>
        </w:tblPrEx>
        <w:trPr>
          <w:trHeight w:val="900" w:hRule="atLeast"/>
        </w:trPr>
        <w:tc>
          <w:tcPr>
            <w:tcW w:w="5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1</w:t>
            </w:r>
            <w:r>
              <w:rPr>
                <w:rFonts w:ascii="方正兰亭纤黑简体" w:eastAsia="方正兰亭纤黑简体"/>
                <w:sz w:val="21"/>
                <w:szCs w:val="21"/>
              </w:rPr>
              <w:t>6</w:t>
            </w:r>
          </w:p>
        </w:tc>
        <w:tc>
          <w:tcPr>
            <w:tcW w:w="14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推进智能物业发展</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区住房城乡建委</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hAnsi="仿宋" w:eastAsia="方正兰亭纤黑简体"/>
                <w:sz w:val="21"/>
                <w:szCs w:val="21"/>
              </w:rPr>
              <w:t>完工</w:t>
            </w:r>
          </w:p>
        </w:tc>
        <w:tc>
          <w:tcPr>
            <w:tcW w:w="33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推动互联网与物业管理深度融合，引导市场开发企业级物业管理系统，打通政企物业管理数据通道，构建物业管理大数据，实现数据互通共享。</w:t>
            </w:r>
          </w:p>
        </w:tc>
        <w:tc>
          <w:tcPr>
            <w:tcW w:w="12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1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04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1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2022</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2025</w:t>
            </w:r>
          </w:p>
        </w:tc>
      </w:tr>
      <w:tr>
        <w:tblPrEx>
          <w:tblLayout w:type="fixed"/>
          <w:tblCellMar>
            <w:top w:w="0" w:type="dxa"/>
            <w:left w:w="108" w:type="dxa"/>
            <w:bottom w:w="0" w:type="dxa"/>
            <w:right w:w="108" w:type="dxa"/>
          </w:tblCellMar>
        </w:tblPrEx>
        <w:trPr>
          <w:trHeight w:val="900" w:hRule="atLeast"/>
        </w:trPr>
        <w:tc>
          <w:tcPr>
            <w:tcW w:w="5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1</w:t>
            </w:r>
            <w:r>
              <w:rPr>
                <w:rFonts w:ascii="方正兰亭纤黑简体" w:eastAsia="方正兰亭纤黑简体"/>
                <w:sz w:val="21"/>
                <w:szCs w:val="21"/>
              </w:rPr>
              <w:t>7</w:t>
            </w:r>
          </w:p>
        </w:tc>
        <w:tc>
          <w:tcPr>
            <w:tcW w:w="14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推进建筑工业化与信息化深度融合</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区住房城乡建委</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hAnsi="仿宋" w:eastAsia="方正兰亭纤黑简体"/>
                <w:sz w:val="21"/>
                <w:szCs w:val="21"/>
              </w:rPr>
              <w:t>完工</w:t>
            </w:r>
          </w:p>
        </w:tc>
        <w:tc>
          <w:tcPr>
            <w:tcW w:w="33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推动建设装配式建筑示范项目1-2个，并推动信息技术在项目中的应用。</w:t>
            </w:r>
          </w:p>
        </w:tc>
        <w:tc>
          <w:tcPr>
            <w:tcW w:w="12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11000</w:t>
            </w:r>
          </w:p>
        </w:tc>
        <w:tc>
          <w:tcPr>
            <w:tcW w:w="11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11000</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04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1000</w:t>
            </w:r>
          </w:p>
        </w:tc>
        <w:tc>
          <w:tcPr>
            <w:tcW w:w="11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10000</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2022</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2025</w:t>
            </w:r>
          </w:p>
        </w:tc>
      </w:tr>
      <w:tr>
        <w:tblPrEx>
          <w:tblLayout w:type="fixed"/>
          <w:tblCellMar>
            <w:top w:w="0" w:type="dxa"/>
            <w:left w:w="108" w:type="dxa"/>
            <w:bottom w:w="0" w:type="dxa"/>
            <w:right w:w="108" w:type="dxa"/>
          </w:tblCellMar>
        </w:tblPrEx>
        <w:trPr>
          <w:trHeight w:val="900" w:hRule="atLeast"/>
        </w:trPr>
        <w:tc>
          <w:tcPr>
            <w:tcW w:w="5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1</w:t>
            </w:r>
            <w:r>
              <w:rPr>
                <w:rFonts w:ascii="方正兰亭纤黑简体" w:eastAsia="方正兰亭纤黑简体"/>
                <w:sz w:val="21"/>
                <w:szCs w:val="21"/>
              </w:rPr>
              <w:t>8</w:t>
            </w:r>
          </w:p>
        </w:tc>
        <w:tc>
          <w:tcPr>
            <w:tcW w:w="14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实施工程项目数字化建造</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区住房城乡建委</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hAnsi="仿宋" w:eastAsia="方正兰亭纤黑简体"/>
                <w:sz w:val="21"/>
                <w:szCs w:val="21"/>
              </w:rPr>
              <w:t>完工</w:t>
            </w:r>
          </w:p>
        </w:tc>
        <w:tc>
          <w:tcPr>
            <w:tcW w:w="33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每年开展工程项目数字化建造试点2个以上，推进一星级智慧工地建设20个以上。</w:t>
            </w:r>
          </w:p>
        </w:tc>
        <w:tc>
          <w:tcPr>
            <w:tcW w:w="12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4000</w:t>
            </w:r>
          </w:p>
        </w:tc>
        <w:tc>
          <w:tcPr>
            <w:tcW w:w="11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4000</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04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1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4000</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2022</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2025</w:t>
            </w:r>
          </w:p>
        </w:tc>
      </w:tr>
      <w:tr>
        <w:tblPrEx>
          <w:tblLayout w:type="fixed"/>
          <w:tblCellMar>
            <w:top w:w="0" w:type="dxa"/>
            <w:left w:w="108" w:type="dxa"/>
            <w:bottom w:w="0" w:type="dxa"/>
            <w:right w:w="108" w:type="dxa"/>
          </w:tblCellMar>
        </w:tblPrEx>
        <w:trPr>
          <w:trHeight w:val="900" w:hRule="atLeast"/>
        </w:trPr>
        <w:tc>
          <w:tcPr>
            <w:tcW w:w="5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ascii="方正兰亭纤黑简体" w:eastAsia="方正兰亭纤黑简体"/>
                <w:sz w:val="21"/>
                <w:szCs w:val="21"/>
              </w:rPr>
              <w:t>19</w:t>
            </w:r>
          </w:p>
        </w:tc>
        <w:tc>
          <w:tcPr>
            <w:tcW w:w="14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培育现代建筑产业</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区住房城乡建委、区经济信息委</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hAnsi="仿宋" w:eastAsia="方正兰亭纤黑简体"/>
                <w:sz w:val="21"/>
                <w:szCs w:val="21"/>
              </w:rPr>
              <w:t>完工</w:t>
            </w:r>
          </w:p>
        </w:tc>
        <w:tc>
          <w:tcPr>
            <w:tcW w:w="33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建立智能建造产业、建筑业大数据园区，构建智能建造产业生态链。</w:t>
            </w:r>
          </w:p>
        </w:tc>
        <w:tc>
          <w:tcPr>
            <w:tcW w:w="12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20000</w:t>
            </w:r>
          </w:p>
        </w:tc>
        <w:tc>
          <w:tcPr>
            <w:tcW w:w="11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20000</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04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1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20000</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2022</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2025</w:t>
            </w:r>
          </w:p>
        </w:tc>
      </w:tr>
      <w:tr>
        <w:tblPrEx>
          <w:tblLayout w:type="fixed"/>
          <w:tblCellMar>
            <w:top w:w="0" w:type="dxa"/>
            <w:left w:w="108" w:type="dxa"/>
            <w:bottom w:w="0" w:type="dxa"/>
            <w:right w:w="108" w:type="dxa"/>
          </w:tblCellMar>
        </w:tblPrEx>
        <w:trPr>
          <w:trHeight w:val="900" w:hRule="atLeast"/>
        </w:trPr>
        <w:tc>
          <w:tcPr>
            <w:tcW w:w="5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w:t>
            </w:r>
            <w:r>
              <w:rPr>
                <w:rFonts w:ascii="方正兰亭纤黑简体" w:eastAsia="方正兰亭纤黑简体"/>
                <w:sz w:val="21"/>
                <w:szCs w:val="21"/>
              </w:rPr>
              <w:t>0</w:t>
            </w:r>
          </w:p>
        </w:tc>
        <w:tc>
          <w:tcPr>
            <w:tcW w:w="14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智慧城市综合管理服务平台</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宋体" w:eastAsia="方正兰亭纤黑简体" w:cs="宋体"/>
                <w:sz w:val="21"/>
                <w:szCs w:val="21"/>
              </w:rPr>
            </w:pPr>
            <w:r>
              <w:rPr>
                <w:rFonts w:hint="eastAsia" w:ascii="方正兰亭纤黑简体" w:hAnsi="宋体" w:eastAsia="方正兰亭纤黑简体" w:cs="宋体"/>
                <w:sz w:val="21"/>
                <w:szCs w:val="21"/>
              </w:rPr>
              <w:t>区数字化城市管理中心</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hAnsi="仿宋" w:eastAsia="方正兰亭纤黑简体"/>
                <w:sz w:val="21"/>
                <w:szCs w:val="21"/>
              </w:rPr>
              <w:t>完工</w:t>
            </w:r>
          </w:p>
        </w:tc>
        <w:tc>
          <w:tcPr>
            <w:tcW w:w="33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建设符合我区实际的智慧城市综合管理服务平台和智慧市政设施、智慧市容环卫、智慧园林绿化、智慧城管执法等等业务系统</w:t>
            </w:r>
          </w:p>
        </w:tc>
        <w:tc>
          <w:tcPr>
            <w:tcW w:w="12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900</w:t>
            </w:r>
          </w:p>
        </w:tc>
        <w:tc>
          <w:tcPr>
            <w:tcW w:w="11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900</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04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900</w:t>
            </w:r>
          </w:p>
        </w:tc>
        <w:tc>
          <w:tcPr>
            <w:tcW w:w="11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2023</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2025</w:t>
            </w:r>
          </w:p>
        </w:tc>
      </w:tr>
      <w:tr>
        <w:tblPrEx>
          <w:tblLayout w:type="fixed"/>
          <w:tblCellMar>
            <w:top w:w="0" w:type="dxa"/>
            <w:left w:w="108" w:type="dxa"/>
            <w:bottom w:w="0" w:type="dxa"/>
            <w:right w:w="108" w:type="dxa"/>
          </w:tblCellMar>
        </w:tblPrEx>
        <w:trPr>
          <w:trHeight w:val="900" w:hRule="atLeast"/>
        </w:trPr>
        <w:tc>
          <w:tcPr>
            <w:tcW w:w="5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w:t>
            </w:r>
            <w:r>
              <w:rPr>
                <w:rFonts w:ascii="方正兰亭纤黑简体" w:eastAsia="方正兰亭纤黑简体"/>
                <w:sz w:val="21"/>
                <w:szCs w:val="21"/>
              </w:rPr>
              <w:t>1</w:t>
            </w:r>
          </w:p>
        </w:tc>
        <w:tc>
          <w:tcPr>
            <w:tcW w:w="14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龙水电信支局</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龙水镇</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hAnsi="仿宋" w:eastAsia="方正兰亭纤黑简体"/>
                <w:sz w:val="21"/>
                <w:szCs w:val="21"/>
              </w:rPr>
              <w:t>完工</w:t>
            </w:r>
          </w:p>
        </w:tc>
        <w:tc>
          <w:tcPr>
            <w:tcW w:w="33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新建龙水电信支局。</w:t>
            </w:r>
          </w:p>
        </w:tc>
        <w:tc>
          <w:tcPr>
            <w:tcW w:w="12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1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04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1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2023</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2025</w:t>
            </w:r>
          </w:p>
        </w:tc>
      </w:tr>
      <w:tr>
        <w:tblPrEx>
          <w:tblLayout w:type="fixed"/>
          <w:tblCellMar>
            <w:top w:w="0" w:type="dxa"/>
            <w:left w:w="108" w:type="dxa"/>
            <w:bottom w:w="0" w:type="dxa"/>
            <w:right w:w="108" w:type="dxa"/>
          </w:tblCellMar>
        </w:tblPrEx>
        <w:trPr>
          <w:trHeight w:val="900" w:hRule="atLeast"/>
        </w:trPr>
        <w:tc>
          <w:tcPr>
            <w:tcW w:w="5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22</w:t>
            </w:r>
          </w:p>
        </w:tc>
        <w:tc>
          <w:tcPr>
            <w:tcW w:w="14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龙水电信端局</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龙水镇</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hAnsi="仿宋" w:eastAsia="方正兰亭纤黑简体"/>
                <w:sz w:val="21"/>
                <w:szCs w:val="21"/>
              </w:rPr>
              <w:t>完工</w:t>
            </w:r>
          </w:p>
        </w:tc>
        <w:tc>
          <w:tcPr>
            <w:tcW w:w="33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新建龙水电信端局。</w:t>
            </w:r>
          </w:p>
        </w:tc>
        <w:tc>
          <w:tcPr>
            <w:tcW w:w="12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1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04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1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2023</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2025</w:t>
            </w:r>
          </w:p>
        </w:tc>
      </w:tr>
      <w:tr>
        <w:tblPrEx>
          <w:tblLayout w:type="fixed"/>
          <w:tblCellMar>
            <w:top w:w="0" w:type="dxa"/>
            <w:left w:w="108" w:type="dxa"/>
            <w:bottom w:w="0" w:type="dxa"/>
            <w:right w:w="108" w:type="dxa"/>
          </w:tblCellMar>
        </w:tblPrEx>
        <w:trPr>
          <w:trHeight w:val="900" w:hRule="atLeast"/>
        </w:trPr>
        <w:tc>
          <w:tcPr>
            <w:tcW w:w="5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w:t>
            </w:r>
            <w:r>
              <w:rPr>
                <w:rFonts w:ascii="方正兰亭纤黑简体" w:eastAsia="方正兰亭纤黑简体"/>
                <w:sz w:val="21"/>
                <w:szCs w:val="21"/>
              </w:rPr>
              <w:t>3</w:t>
            </w:r>
          </w:p>
        </w:tc>
        <w:tc>
          <w:tcPr>
            <w:tcW w:w="14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大足区网络安全协调指挥平台建设项目</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区委网信办</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hAnsi="仿宋" w:eastAsia="方正兰亭纤黑简体"/>
                <w:sz w:val="21"/>
                <w:szCs w:val="21"/>
              </w:rPr>
              <w:t>完工</w:t>
            </w:r>
          </w:p>
        </w:tc>
        <w:tc>
          <w:tcPr>
            <w:tcW w:w="33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建设区网络安全协调指挥平台功能体系，建设区网络安全协调指挥平台网络安全大数据中心，建设区网络安全协调指挥平台基础运行环境。</w:t>
            </w:r>
          </w:p>
        </w:tc>
        <w:tc>
          <w:tcPr>
            <w:tcW w:w="12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500</w:t>
            </w:r>
          </w:p>
        </w:tc>
        <w:tc>
          <w:tcPr>
            <w:tcW w:w="11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500</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04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500</w:t>
            </w:r>
          </w:p>
        </w:tc>
        <w:tc>
          <w:tcPr>
            <w:tcW w:w="11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2023</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2023</w:t>
            </w:r>
          </w:p>
        </w:tc>
      </w:tr>
      <w:tr>
        <w:tblPrEx>
          <w:tblLayout w:type="fixed"/>
          <w:tblCellMar>
            <w:top w:w="0" w:type="dxa"/>
            <w:left w:w="108" w:type="dxa"/>
            <w:bottom w:w="0" w:type="dxa"/>
            <w:right w:w="108" w:type="dxa"/>
          </w:tblCellMar>
        </w:tblPrEx>
        <w:trPr>
          <w:trHeight w:val="900" w:hRule="atLeast"/>
        </w:trPr>
        <w:tc>
          <w:tcPr>
            <w:tcW w:w="5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w:t>
            </w:r>
            <w:r>
              <w:rPr>
                <w:rFonts w:ascii="方正兰亭纤黑简体" w:eastAsia="方正兰亭纤黑简体"/>
                <w:sz w:val="21"/>
                <w:szCs w:val="21"/>
              </w:rPr>
              <w:t>4</w:t>
            </w:r>
          </w:p>
        </w:tc>
        <w:tc>
          <w:tcPr>
            <w:tcW w:w="14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大足区城市智能交通与物联网技术支撑服务平台新建信息采集和监测设施</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宋体" w:eastAsia="方正兰亭纤黑简体" w:cs="宋体"/>
                <w:sz w:val="21"/>
                <w:szCs w:val="21"/>
              </w:rPr>
            </w:pPr>
            <w:r>
              <w:rPr>
                <w:rFonts w:hint="eastAsia" w:ascii="方正兰亭纤黑简体" w:hAnsi="宋体" w:eastAsia="方正兰亭纤黑简体" w:cs="宋体"/>
                <w:sz w:val="21"/>
                <w:szCs w:val="21"/>
              </w:rPr>
              <w:t>区交通局</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hAnsi="仿宋" w:eastAsia="方正兰亭纤黑简体"/>
                <w:sz w:val="21"/>
                <w:szCs w:val="21"/>
              </w:rPr>
              <w:t>完工</w:t>
            </w:r>
          </w:p>
        </w:tc>
        <w:tc>
          <w:tcPr>
            <w:tcW w:w="33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在现有智能交通物联网服务平台的基础上新建采集点位20处，包括全景摄像机40台，抓拍摄像机40台，电子牌阅读器40台，杆架20套。对道路交通流量进行统计分析挖掘，营运车监管分析，为交通综合执法提供疑似非法营运车辆数据、货车治超站冲卡案件数据；为公路养护中心提供道路车流数据；为公、检、法侦破案件提供数据；为公众出行提供路况信息。</w:t>
            </w:r>
          </w:p>
        </w:tc>
        <w:tc>
          <w:tcPr>
            <w:tcW w:w="12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540</w:t>
            </w:r>
          </w:p>
        </w:tc>
        <w:tc>
          <w:tcPr>
            <w:tcW w:w="11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540</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04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540</w:t>
            </w:r>
          </w:p>
        </w:tc>
        <w:tc>
          <w:tcPr>
            <w:tcW w:w="11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2023</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2023</w:t>
            </w:r>
          </w:p>
        </w:tc>
      </w:tr>
      <w:tr>
        <w:tblPrEx>
          <w:tblLayout w:type="fixed"/>
          <w:tblCellMar>
            <w:top w:w="0" w:type="dxa"/>
            <w:left w:w="108" w:type="dxa"/>
            <w:bottom w:w="0" w:type="dxa"/>
            <w:right w:w="108" w:type="dxa"/>
          </w:tblCellMar>
        </w:tblPrEx>
        <w:trPr>
          <w:trHeight w:val="900" w:hRule="atLeast"/>
        </w:trPr>
        <w:tc>
          <w:tcPr>
            <w:tcW w:w="5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w:t>
            </w:r>
            <w:r>
              <w:rPr>
                <w:rFonts w:ascii="方正兰亭纤黑简体" w:eastAsia="方正兰亭纤黑简体"/>
                <w:sz w:val="21"/>
                <w:szCs w:val="21"/>
              </w:rPr>
              <w:t>5</w:t>
            </w:r>
          </w:p>
        </w:tc>
        <w:tc>
          <w:tcPr>
            <w:tcW w:w="14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免费公交IC卡人脸识别系统</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区交通局</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hAnsi="仿宋" w:eastAsia="方正兰亭纤黑简体"/>
                <w:sz w:val="21"/>
                <w:szCs w:val="21"/>
              </w:rPr>
              <w:t>完工</w:t>
            </w:r>
          </w:p>
        </w:tc>
        <w:tc>
          <w:tcPr>
            <w:tcW w:w="33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一是创新服务模式，深入推进“我为群众办实事”实践活动，实现“社保交通一卡通”人脸和社保卡“双识别”功能。居民可在“爱大足”app、“大足交通”微信公众号进行线上办理，利用人脸识别技术，实现人脸信息采集、人证身份核验，人脸识别乘车、人脸识别自助年审、自助充值、自助查询服务等功能，让群众少跑路、不跑路，为群众提供更加优质、便捷、高效的服务。二是加强资金监管。通过该系统软硬件，存储并管“双识别”功能，杜绝敬老卡等公益补贴类IC卡存在他人冒用、盗刷现象，实现精准补贴，确保财政资金的有效监管，避免财政资金流失。</w:t>
            </w:r>
          </w:p>
        </w:tc>
        <w:tc>
          <w:tcPr>
            <w:tcW w:w="12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250</w:t>
            </w:r>
          </w:p>
        </w:tc>
        <w:tc>
          <w:tcPr>
            <w:tcW w:w="11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250</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04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250</w:t>
            </w:r>
          </w:p>
        </w:tc>
        <w:tc>
          <w:tcPr>
            <w:tcW w:w="11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2023</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2023</w:t>
            </w:r>
          </w:p>
        </w:tc>
      </w:tr>
      <w:tr>
        <w:tblPrEx>
          <w:tblLayout w:type="fixed"/>
          <w:tblCellMar>
            <w:top w:w="0" w:type="dxa"/>
            <w:left w:w="108" w:type="dxa"/>
            <w:bottom w:w="0" w:type="dxa"/>
            <w:right w:w="108" w:type="dxa"/>
          </w:tblCellMar>
        </w:tblPrEx>
        <w:trPr>
          <w:trHeight w:val="900" w:hRule="atLeast"/>
        </w:trPr>
        <w:tc>
          <w:tcPr>
            <w:tcW w:w="5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w:t>
            </w:r>
            <w:r>
              <w:rPr>
                <w:rFonts w:ascii="方正兰亭纤黑简体" w:eastAsia="方正兰亭纤黑简体"/>
                <w:sz w:val="21"/>
                <w:szCs w:val="21"/>
              </w:rPr>
              <w:t>6</w:t>
            </w:r>
          </w:p>
        </w:tc>
        <w:tc>
          <w:tcPr>
            <w:tcW w:w="14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大足区应急指挥调度系统</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大足区应急管理局</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hAnsi="仿宋" w:eastAsia="方正兰亭纤黑简体"/>
                <w:sz w:val="21"/>
                <w:szCs w:val="21"/>
              </w:rPr>
              <w:t>完工</w:t>
            </w:r>
          </w:p>
        </w:tc>
        <w:tc>
          <w:tcPr>
            <w:tcW w:w="33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信息接报、监测预警、辅助决策、应急指挥、应急准备、信息发布、组织体系管理、总结评估等功能模块</w:t>
            </w:r>
          </w:p>
        </w:tc>
        <w:tc>
          <w:tcPr>
            <w:tcW w:w="12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195</w:t>
            </w:r>
          </w:p>
        </w:tc>
        <w:tc>
          <w:tcPr>
            <w:tcW w:w="11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195</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04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195</w:t>
            </w:r>
          </w:p>
        </w:tc>
        <w:tc>
          <w:tcPr>
            <w:tcW w:w="11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2023</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2023</w:t>
            </w:r>
          </w:p>
        </w:tc>
      </w:tr>
      <w:tr>
        <w:tblPrEx>
          <w:tblLayout w:type="fixed"/>
          <w:tblCellMar>
            <w:top w:w="0" w:type="dxa"/>
            <w:left w:w="108" w:type="dxa"/>
            <w:bottom w:w="0" w:type="dxa"/>
            <w:right w:w="108" w:type="dxa"/>
          </w:tblCellMar>
        </w:tblPrEx>
        <w:trPr>
          <w:trHeight w:val="900" w:hRule="atLeast"/>
        </w:trPr>
        <w:tc>
          <w:tcPr>
            <w:tcW w:w="5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w:t>
            </w:r>
            <w:r>
              <w:rPr>
                <w:rFonts w:ascii="方正兰亭纤黑简体" w:eastAsia="方正兰亭纤黑简体"/>
                <w:sz w:val="21"/>
                <w:szCs w:val="21"/>
              </w:rPr>
              <w:t>7</w:t>
            </w:r>
          </w:p>
        </w:tc>
        <w:tc>
          <w:tcPr>
            <w:tcW w:w="14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大足区应急指挥调度系统二期</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大足区应急管理局</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hAnsi="仿宋" w:eastAsia="方正兰亭纤黑简体"/>
                <w:sz w:val="21"/>
                <w:szCs w:val="21"/>
              </w:rPr>
              <w:t>完工</w:t>
            </w:r>
          </w:p>
        </w:tc>
        <w:tc>
          <w:tcPr>
            <w:tcW w:w="33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在一期系统已建设的功能增强，包括一张图增强、事件接报能力增强、应急指挥调度能力增强、组织体系能力增强等。同时对现有各类系统的贯通整合，新建一张图专题指挥图层、自然灾害监测预警系统、值班值守功能、预案系统、应急准备及物资仓库管理功能、指挥调度移动端、智能呼叫等功能模块。</w:t>
            </w:r>
          </w:p>
        </w:tc>
        <w:tc>
          <w:tcPr>
            <w:tcW w:w="12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852</w:t>
            </w:r>
          </w:p>
        </w:tc>
        <w:tc>
          <w:tcPr>
            <w:tcW w:w="11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852</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04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852</w:t>
            </w:r>
          </w:p>
        </w:tc>
        <w:tc>
          <w:tcPr>
            <w:tcW w:w="11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2023</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2023</w:t>
            </w:r>
          </w:p>
        </w:tc>
      </w:tr>
      <w:tr>
        <w:tblPrEx>
          <w:tblLayout w:type="fixed"/>
          <w:tblCellMar>
            <w:top w:w="0" w:type="dxa"/>
            <w:left w:w="108" w:type="dxa"/>
            <w:bottom w:w="0" w:type="dxa"/>
            <w:right w:w="108" w:type="dxa"/>
          </w:tblCellMar>
        </w:tblPrEx>
        <w:trPr>
          <w:trHeight w:val="900" w:hRule="atLeast"/>
        </w:trPr>
        <w:tc>
          <w:tcPr>
            <w:tcW w:w="5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w:t>
            </w:r>
            <w:r>
              <w:rPr>
                <w:rFonts w:ascii="方正兰亭纤黑简体" w:eastAsia="方正兰亭纤黑简体"/>
                <w:sz w:val="21"/>
                <w:szCs w:val="21"/>
              </w:rPr>
              <w:t>8</w:t>
            </w:r>
          </w:p>
        </w:tc>
        <w:tc>
          <w:tcPr>
            <w:tcW w:w="14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旅游大数中心</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区文化旅游委</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hAnsi="仿宋" w:eastAsia="方正兰亭纤黑简体"/>
                <w:sz w:val="21"/>
                <w:szCs w:val="21"/>
              </w:rPr>
              <w:t>完工</w:t>
            </w:r>
          </w:p>
        </w:tc>
        <w:tc>
          <w:tcPr>
            <w:tcW w:w="33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按照创国家全域全域旅游示范区标准，全区景区智慧化接入，建立包括交通、气象、旅游资源、客源地、旅游流量、旅游满意度等数据进行采集。应急指挥平台、视频监控、旅游项目管理和营销系统。</w:t>
            </w:r>
          </w:p>
        </w:tc>
        <w:tc>
          <w:tcPr>
            <w:tcW w:w="12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550</w:t>
            </w:r>
          </w:p>
        </w:tc>
        <w:tc>
          <w:tcPr>
            <w:tcW w:w="11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550</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550</w:t>
            </w:r>
          </w:p>
        </w:tc>
        <w:tc>
          <w:tcPr>
            <w:tcW w:w="104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1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2023</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2023</w:t>
            </w:r>
          </w:p>
        </w:tc>
      </w:tr>
      <w:tr>
        <w:tblPrEx>
          <w:tblLayout w:type="fixed"/>
          <w:tblCellMar>
            <w:top w:w="0" w:type="dxa"/>
            <w:left w:w="108" w:type="dxa"/>
            <w:bottom w:w="0" w:type="dxa"/>
            <w:right w:w="108" w:type="dxa"/>
          </w:tblCellMar>
        </w:tblPrEx>
        <w:trPr>
          <w:trHeight w:val="900" w:hRule="atLeast"/>
        </w:trPr>
        <w:tc>
          <w:tcPr>
            <w:tcW w:w="5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ascii="方正兰亭纤黑简体" w:eastAsia="方正兰亭纤黑简体"/>
                <w:sz w:val="21"/>
                <w:szCs w:val="21"/>
              </w:rPr>
              <w:t>29</w:t>
            </w:r>
          </w:p>
        </w:tc>
        <w:tc>
          <w:tcPr>
            <w:tcW w:w="14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大足区文化馆数字文化馆建设</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区文化旅游委</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hAnsi="仿宋" w:eastAsia="方正兰亭纤黑简体"/>
                <w:sz w:val="21"/>
                <w:szCs w:val="21"/>
              </w:rPr>
              <w:t>完工</w:t>
            </w:r>
          </w:p>
        </w:tc>
        <w:tc>
          <w:tcPr>
            <w:tcW w:w="33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1.专线100M；2.购买直录播设备：录制文艺慕课产品；二是，录制大足文创产品，农特产品，非遗产品等；三是，录制石刻故事，红色故事，楷模故事等；将录制好的产品上架至重庆群众文化云平台，大足文化馆视频号，以及抖音号，通过线上平台，推进艺术普及，讲述大足故事，传播大足风采）；3.增加20个分馆客流量数据统计识别器；4.购买直播专业设备；5.数字文化馆体验设备。</w:t>
            </w:r>
          </w:p>
        </w:tc>
        <w:tc>
          <w:tcPr>
            <w:tcW w:w="12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50</w:t>
            </w:r>
          </w:p>
        </w:tc>
        <w:tc>
          <w:tcPr>
            <w:tcW w:w="11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50</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04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50</w:t>
            </w:r>
          </w:p>
        </w:tc>
        <w:tc>
          <w:tcPr>
            <w:tcW w:w="11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2023</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2024</w:t>
            </w:r>
          </w:p>
        </w:tc>
      </w:tr>
      <w:tr>
        <w:tblPrEx>
          <w:tblLayout w:type="fixed"/>
          <w:tblCellMar>
            <w:top w:w="0" w:type="dxa"/>
            <w:left w:w="108" w:type="dxa"/>
            <w:bottom w:w="0" w:type="dxa"/>
            <w:right w:w="108" w:type="dxa"/>
          </w:tblCellMar>
        </w:tblPrEx>
        <w:trPr>
          <w:trHeight w:val="900" w:hRule="atLeast"/>
        </w:trPr>
        <w:tc>
          <w:tcPr>
            <w:tcW w:w="5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3</w:t>
            </w:r>
            <w:r>
              <w:rPr>
                <w:rFonts w:ascii="方正兰亭纤黑简体" w:eastAsia="方正兰亭纤黑简体"/>
                <w:sz w:val="21"/>
                <w:szCs w:val="21"/>
              </w:rPr>
              <w:t>0</w:t>
            </w:r>
          </w:p>
        </w:tc>
        <w:tc>
          <w:tcPr>
            <w:tcW w:w="14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大足区图书馆智慧化及自助设备升级项目</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区文化旅游委</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hAnsi="仿宋" w:eastAsia="方正兰亭纤黑简体"/>
                <w:sz w:val="21"/>
                <w:szCs w:val="21"/>
              </w:rPr>
              <w:t>完工</w:t>
            </w:r>
          </w:p>
        </w:tc>
        <w:tc>
          <w:tcPr>
            <w:tcW w:w="33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采用高频和超高频双模式自助设备实现异频芯片兼容，从而实现大足区区书馆与市内各公共图书馆实现图书通借通还服务，为广大人民群众提供免费、便利、内容健康的公益性图书馆服务。依托AI视觉书架识别系统，打造智能导览、盘点服务体系，为读者提供便利图书查找服务，解决馆员盘点困难，打造更智意图书馆;建立图书大数据库，实现图书借、还、流通调配等各环节的全自动化智能管理。</w:t>
            </w:r>
          </w:p>
        </w:tc>
        <w:tc>
          <w:tcPr>
            <w:tcW w:w="12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203</w:t>
            </w:r>
          </w:p>
        </w:tc>
        <w:tc>
          <w:tcPr>
            <w:tcW w:w="11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203</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04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203</w:t>
            </w:r>
          </w:p>
        </w:tc>
        <w:tc>
          <w:tcPr>
            <w:tcW w:w="11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2023</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2024</w:t>
            </w:r>
          </w:p>
        </w:tc>
      </w:tr>
      <w:tr>
        <w:tblPrEx>
          <w:tblLayout w:type="fixed"/>
          <w:tblCellMar>
            <w:top w:w="0" w:type="dxa"/>
            <w:left w:w="108" w:type="dxa"/>
            <w:bottom w:w="0" w:type="dxa"/>
            <w:right w:w="108" w:type="dxa"/>
          </w:tblCellMar>
        </w:tblPrEx>
        <w:trPr>
          <w:trHeight w:val="900" w:hRule="atLeast"/>
        </w:trPr>
        <w:tc>
          <w:tcPr>
            <w:tcW w:w="5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ascii="方正兰亭纤黑简体" w:eastAsia="方正兰亭纤黑简体"/>
                <w:sz w:val="21"/>
                <w:szCs w:val="21"/>
              </w:rPr>
              <w:t>31</w:t>
            </w:r>
          </w:p>
        </w:tc>
        <w:tc>
          <w:tcPr>
            <w:tcW w:w="14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疫情防控平台</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区卫健委</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hAnsi="仿宋" w:eastAsia="方正兰亭纤黑简体"/>
                <w:sz w:val="21"/>
                <w:szCs w:val="21"/>
              </w:rPr>
              <w:t>完工</w:t>
            </w:r>
          </w:p>
        </w:tc>
        <w:tc>
          <w:tcPr>
            <w:tcW w:w="33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建设常态化疫情防控功能模块。平台全面利用信息化手段来串联疫情防控各个环节，助力疫情防控精准处置和信息闭环,该平台以全流程信息化、全链条可视化、全方位智能化为目标，通过大数据、人工智能、地理空间信息等技术手段，实现了对涉疫人员从摸排到居家监测的全生命周期管理，方便有关部门随时掌握涉疫人员管控情况，开展指挥决策，按照市政府对疫情防控工作要求实现动态清零。</w:t>
            </w:r>
          </w:p>
        </w:tc>
        <w:tc>
          <w:tcPr>
            <w:tcW w:w="12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160</w:t>
            </w:r>
          </w:p>
        </w:tc>
        <w:tc>
          <w:tcPr>
            <w:tcW w:w="11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160</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04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160</w:t>
            </w:r>
          </w:p>
        </w:tc>
        <w:tc>
          <w:tcPr>
            <w:tcW w:w="11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2023</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2025</w:t>
            </w:r>
          </w:p>
        </w:tc>
      </w:tr>
      <w:tr>
        <w:tblPrEx>
          <w:tblLayout w:type="fixed"/>
          <w:tblCellMar>
            <w:top w:w="0" w:type="dxa"/>
            <w:left w:w="108" w:type="dxa"/>
            <w:bottom w:w="0" w:type="dxa"/>
            <w:right w:w="108" w:type="dxa"/>
          </w:tblCellMar>
        </w:tblPrEx>
        <w:trPr>
          <w:trHeight w:val="900" w:hRule="atLeast"/>
        </w:trPr>
        <w:tc>
          <w:tcPr>
            <w:tcW w:w="5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3</w:t>
            </w:r>
            <w:r>
              <w:rPr>
                <w:rFonts w:ascii="方正兰亭纤黑简体" w:eastAsia="方正兰亭纤黑简体"/>
                <w:sz w:val="21"/>
                <w:szCs w:val="21"/>
              </w:rPr>
              <w:t>2</w:t>
            </w:r>
          </w:p>
        </w:tc>
        <w:tc>
          <w:tcPr>
            <w:tcW w:w="14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城市运行一网统管</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区经济信息委</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hAnsi="仿宋" w:eastAsia="方正兰亭纤黑简体"/>
                <w:sz w:val="21"/>
                <w:szCs w:val="21"/>
              </w:rPr>
              <w:t>完工</w:t>
            </w:r>
          </w:p>
        </w:tc>
        <w:tc>
          <w:tcPr>
            <w:tcW w:w="33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围绕智慧城市城市智能中枢AI支撑能力为各类智慧化应用提供人工智能基础能力，通过“城市运行一网统管”集成多个委办的子系统、初步形成贯通区、街镇、社区三级，覆盖经济治理、社会治理、城市治理的城市工作体系。</w:t>
            </w:r>
          </w:p>
        </w:tc>
        <w:tc>
          <w:tcPr>
            <w:tcW w:w="12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1400</w:t>
            </w:r>
          </w:p>
        </w:tc>
        <w:tc>
          <w:tcPr>
            <w:tcW w:w="11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1400</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04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1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1400</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2023</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2025</w:t>
            </w:r>
          </w:p>
        </w:tc>
      </w:tr>
      <w:tr>
        <w:tblPrEx>
          <w:tblLayout w:type="fixed"/>
          <w:tblCellMar>
            <w:top w:w="0" w:type="dxa"/>
            <w:left w:w="108" w:type="dxa"/>
            <w:bottom w:w="0" w:type="dxa"/>
            <w:right w:w="108" w:type="dxa"/>
          </w:tblCellMar>
        </w:tblPrEx>
        <w:trPr>
          <w:trHeight w:val="900" w:hRule="atLeast"/>
        </w:trPr>
        <w:tc>
          <w:tcPr>
            <w:tcW w:w="5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3</w:t>
            </w:r>
            <w:r>
              <w:rPr>
                <w:rFonts w:ascii="方正兰亭纤黑简体" w:eastAsia="方正兰亭纤黑简体"/>
                <w:sz w:val="21"/>
                <w:szCs w:val="21"/>
              </w:rPr>
              <w:t>3</w:t>
            </w:r>
          </w:p>
        </w:tc>
        <w:tc>
          <w:tcPr>
            <w:tcW w:w="14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大足区全域智慧养老项目</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区民政局</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储备</w:t>
            </w:r>
          </w:p>
        </w:tc>
        <w:tc>
          <w:tcPr>
            <w:tcW w:w="33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全区养老服务机构全部实现智能养老服务。</w:t>
            </w:r>
          </w:p>
        </w:tc>
        <w:tc>
          <w:tcPr>
            <w:tcW w:w="12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3000</w:t>
            </w:r>
          </w:p>
        </w:tc>
        <w:tc>
          <w:tcPr>
            <w:tcW w:w="11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3000</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04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3000</w:t>
            </w:r>
          </w:p>
        </w:tc>
        <w:tc>
          <w:tcPr>
            <w:tcW w:w="11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2026</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2027</w:t>
            </w:r>
          </w:p>
        </w:tc>
      </w:tr>
      <w:tr>
        <w:tblPrEx>
          <w:tblLayout w:type="fixed"/>
          <w:tblCellMar>
            <w:top w:w="0" w:type="dxa"/>
            <w:left w:w="108" w:type="dxa"/>
            <w:bottom w:w="0" w:type="dxa"/>
            <w:right w:w="108" w:type="dxa"/>
          </w:tblCellMar>
        </w:tblPrEx>
        <w:trPr>
          <w:trHeight w:val="900" w:hRule="atLeast"/>
        </w:trPr>
        <w:tc>
          <w:tcPr>
            <w:tcW w:w="5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34</w:t>
            </w:r>
          </w:p>
        </w:tc>
        <w:tc>
          <w:tcPr>
            <w:tcW w:w="14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安全生产隐患排查治理信息系统</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区应急局</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储备</w:t>
            </w:r>
          </w:p>
        </w:tc>
        <w:tc>
          <w:tcPr>
            <w:tcW w:w="33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安全生产隐患排查治理信息系统涵盖了安全生产隐患排查及隐患治理工作的各项基本内容，从隐患发现并录入系统到整改归档，处理流程简洁清晰、快速灵活，支持手机及电脑等多种录入方式，覆盖各类安全隐患，能够对隐患信息及时、有效地进行跟踪，支持数据查询及统计，为开展隐患排查及隐患治理工作提供统一协作的平台，实现对各单位、企业的安全隐患信息的实时登记、审查评估、分类、统计、分析、处理，也有利于总结经验，提升安全管理水平。</w:t>
            </w:r>
          </w:p>
        </w:tc>
        <w:tc>
          <w:tcPr>
            <w:tcW w:w="12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50</w:t>
            </w:r>
          </w:p>
        </w:tc>
        <w:tc>
          <w:tcPr>
            <w:tcW w:w="11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50</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04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50</w:t>
            </w:r>
          </w:p>
        </w:tc>
        <w:tc>
          <w:tcPr>
            <w:tcW w:w="11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2026</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2027</w:t>
            </w:r>
          </w:p>
        </w:tc>
      </w:tr>
      <w:tr>
        <w:tblPrEx>
          <w:tblLayout w:type="fixed"/>
          <w:tblCellMar>
            <w:top w:w="0" w:type="dxa"/>
            <w:left w:w="108" w:type="dxa"/>
            <w:bottom w:w="0" w:type="dxa"/>
            <w:right w:w="108" w:type="dxa"/>
          </w:tblCellMar>
        </w:tblPrEx>
        <w:trPr>
          <w:trHeight w:val="900" w:hRule="atLeast"/>
        </w:trPr>
        <w:tc>
          <w:tcPr>
            <w:tcW w:w="5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3</w:t>
            </w:r>
            <w:r>
              <w:rPr>
                <w:rFonts w:ascii="方正兰亭纤黑简体" w:eastAsia="方正兰亭纤黑简体"/>
                <w:sz w:val="21"/>
                <w:szCs w:val="21"/>
              </w:rPr>
              <w:t>5</w:t>
            </w:r>
          </w:p>
        </w:tc>
        <w:tc>
          <w:tcPr>
            <w:tcW w:w="14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智慧应急管理体系</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区应急局</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储备</w:t>
            </w:r>
          </w:p>
        </w:tc>
        <w:tc>
          <w:tcPr>
            <w:tcW w:w="33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智慧应急管理体系结合应急管理事前、事发、事中、事后四个阶段，利用卫星遥感、北斗三号、无人机、地理信息、人工智能、大数据、物联网、云计算等先进技术，聚焦应急值守、监测预警和指挥调度等实际业务场景需求，综合利用自然灾害风险普查成果数据，以应急综合管理为基础业务支撑、进一步强化应急值守、风险监测、预警发布、预案管理、防灾减灾及指挥调度能力建设，构筑天空地一体化公共安全应急管理体系，创新运营服务模式，提升城市安全运行与应急管理水平。</w:t>
            </w:r>
          </w:p>
        </w:tc>
        <w:tc>
          <w:tcPr>
            <w:tcW w:w="12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30000</w:t>
            </w:r>
          </w:p>
        </w:tc>
        <w:tc>
          <w:tcPr>
            <w:tcW w:w="11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20000</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04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20000</w:t>
            </w:r>
          </w:p>
        </w:tc>
        <w:tc>
          <w:tcPr>
            <w:tcW w:w="11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2026</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2028</w:t>
            </w:r>
          </w:p>
        </w:tc>
      </w:tr>
      <w:tr>
        <w:tblPrEx>
          <w:tblLayout w:type="fixed"/>
          <w:tblCellMar>
            <w:top w:w="0" w:type="dxa"/>
            <w:left w:w="108" w:type="dxa"/>
            <w:bottom w:w="0" w:type="dxa"/>
            <w:right w:w="108" w:type="dxa"/>
          </w:tblCellMar>
        </w:tblPrEx>
        <w:trPr>
          <w:trHeight w:val="900" w:hRule="atLeast"/>
        </w:trPr>
        <w:tc>
          <w:tcPr>
            <w:tcW w:w="5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ascii="方正兰亭纤黑简体" w:eastAsia="方正兰亭纤黑简体"/>
                <w:sz w:val="21"/>
                <w:szCs w:val="21"/>
              </w:rPr>
              <w:t>36</w:t>
            </w:r>
          </w:p>
        </w:tc>
        <w:tc>
          <w:tcPr>
            <w:tcW w:w="14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智慧城市（三期）</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区国资委</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储备</w:t>
            </w:r>
          </w:p>
        </w:tc>
        <w:tc>
          <w:tcPr>
            <w:tcW w:w="33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在智慧城市二期基础上，根据各应用开发建设需求，对数字大足云平台和业务应用体系（智能中枢、运营服务、应用支撑、指挥调度等）进行升级；打造基于统一支撑的智慧产业融合（智慧文旅、智能制造、智慧园区等）、智慧民生服务（智慧民政、智慧医疗、智慧教育等）、智慧生态宜居、（智慧生态、智慧能源等）、智慧城市治理（智慧城管、智慧交通等）和智慧政府管理（智慧党建、智能机关等）应用工程建设。</w:t>
            </w:r>
          </w:p>
        </w:tc>
        <w:tc>
          <w:tcPr>
            <w:tcW w:w="12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10000</w:t>
            </w:r>
          </w:p>
        </w:tc>
        <w:tc>
          <w:tcPr>
            <w:tcW w:w="11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10000</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04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1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10000</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2026</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2028</w:t>
            </w:r>
          </w:p>
        </w:tc>
      </w:tr>
      <w:tr>
        <w:tblPrEx>
          <w:tblLayout w:type="fixed"/>
          <w:tblCellMar>
            <w:top w:w="0" w:type="dxa"/>
            <w:left w:w="108" w:type="dxa"/>
            <w:bottom w:w="0" w:type="dxa"/>
            <w:right w:w="108" w:type="dxa"/>
          </w:tblCellMar>
        </w:tblPrEx>
        <w:trPr>
          <w:trHeight w:val="900" w:hRule="atLeast"/>
        </w:trPr>
        <w:tc>
          <w:tcPr>
            <w:tcW w:w="5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ascii="方正兰亭纤黑简体" w:eastAsia="方正兰亭纤黑简体"/>
                <w:sz w:val="21"/>
                <w:szCs w:val="21"/>
              </w:rPr>
              <w:t>37</w:t>
            </w:r>
          </w:p>
        </w:tc>
        <w:tc>
          <w:tcPr>
            <w:tcW w:w="14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智慧人行过街系统</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区住房城乡建委</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储备</w:t>
            </w:r>
          </w:p>
        </w:tc>
        <w:tc>
          <w:tcPr>
            <w:tcW w:w="33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在五星大道试点建设4套智慧人行过街系统。</w:t>
            </w:r>
          </w:p>
        </w:tc>
        <w:tc>
          <w:tcPr>
            <w:tcW w:w="12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48</w:t>
            </w:r>
          </w:p>
        </w:tc>
        <w:tc>
          <w:tcPr>
            <w:tcW w:w="11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48</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04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48</w:t>
            </w:r>
          </w:p>
        </w:tc>
        <w:tc>
          <w:tcPr>
            <w:tcW w:w="11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2026</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2028</w:t>
            </w:r>
          </w:p>
        </w:tc>
      </w:tr>
      <w:tr>
        <w:tblPrEx>
          <w:tblLayout w:type="fixed"/>
          <w:tblCellMar>
            <w:top w:w="0" w:type="dxa"/>
            <w:left w:w="108" w:type="dxa"/>
            <w:bottom w:w="0" w:type="dxa"/>
            <w:right w:w="108" w:type="dxa"/>
          </w:tblCellMar>
        </w:tblPrEx>
        <w:trPr>
          <w:trHeight w:val="900" w:hRule="atLeast"/>
        </w:trPr>
        <w:tc>
          <w:tcPr>
            <w:tcW w:w="575"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ascii="方正兰亭纤黑简体" w:eastAsia="方正兰亭纤黑简体"/>
                <w:sz w:val="21"/>
                <w:szCs w:val="21"/>
              </w:rPr>
              <w:t>38</w:t>
            </w:r>
          </w:p>
        </w:tc>
        <w:tc>
          <w:tcPr>
            <w:tcW w:w="144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智慧公交站</w:t>
            </w:r>
          </w:p>
        </w:tc>
        <w:tc>
          <w:tcPr>
            <w:tcW w:w="859"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区住房城乡建委</w:t>
            </w:r>
          </w:p>
        </w:tc>
        <w:tc>
          <w:tcPr>
            <w:tcW w:w="7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储备</w:t>
            </w:r>
          </w:p>
        </w:tc>
        <w:tc>
          <w:tcPr>
            <w:tcW w:w="3308"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在五星大道沿线设施4座试点智慧公交站。</w:t>
            </w:r>
          </w:p>
        </w:tc>
        <w:tc>
          <w:tcPr>
            <w:tcW w:w="12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175</w:t>
            </w:r>
          </w:p>
        </w:tc>
        <w:tc>
          <w:tcPr>
            <w:tcW w:w="115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175</w:t>
            </w:r>
          </w:p>
        </w:tc>
        <w:tc>
          <w:tcPr>
            <w:tcW w:w="100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104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175</w:t>
            </w:r>
          </w:p>
        </w:tc>
        <w:tc>
          <w:tcPr>
            <w:tcW w:w="112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2026</w:t>
            </w:r>
          </w:p>
        </w:tc>
        <w:tc>
          <w:tcPr>
            <w:tcW w:w="796"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eastAsia="方正兰亭纤黑简体"/>
                <w:sz w:val="21"/>
                <w:szCs w:val="21"/>
              </w:rPr>
            </w:pPr>
            <w:r>
              <w:rPr>
                <w:rFonts w:hint="eastAsia" w:ascii="方正兰亭纤黑简体" w:eastAsia="方正兰亭纤黑简体"/>
                <w:sz w:val="21"/>
                <w:szCs w:val="21"/>
              </w:rPr>
              <w:t>2028</w:t>
            </w:r>
          </w:p>
        </w:tc>
      </w:tr>
    </w:tbl>
    <w:p>
      <w:pPr>
        <w:ind w:firstLine="422"/>
        <w:rPr>
          <w:rFonts w:ascii="方正兰亭纤黑简体" w:hAnsi="仿宋" w:eastAsia="方正兰亭纤黑简体" w:cs="仿宋"/>
          <w:b/>
          <w:bCs/>
          <w:sz w:val="21"/>
          <w:szCs w:val="21"/>
        </w:rPr>
      </w:pPr>
      <w:r>
        <w:rPr>
          <w:rFonts w:hint="eastAsia" w:ascii="方正兰亭纤黑简体" w:hAnsi="仿宋" w:eastAsia="方正兰亭纤黑简体" w:cs="仿宋"/>
          <w:b/>
          <w:bCs/>
          <w:sz w:val="21"/>
          <w:szCs w:val="21"/>
        </w:rPr>
        <w:br w:type="page"/>
      </w:r>
    </w:p>
    <w:tbl>
      <w:tblPr>
        <w:tblStyle w:val="24"/>
        <w:tblW w:w="14175" w:type="dxa"/>
        <w:tblInd w:w="0" w:type="dxa"/>
        <w:tblLayout w:type="fixed"/>
        <w:tblCellMar>
          <w:top w:w="0" w:type="dxa"/>
          <w:left w:w="108" w:type="dxa"/>
          <w:bottom w:w="0" w:type="dxa"/>
          <w:right w:w="108" w:type="dxa"/>
        </w:tblCellMar>
      </w:tblPr>
      <w:tblGrid>
        <w:gridCol w:w="512"/>
        <w:gridCol w:w="1647"/>
        <w:gridCol w:w="862"/>
        <w:gridCol w:w="723"/>
        <w:gridCol w:w="2877"/>
        <w:gridCol w:w="1293"/>
        <w:gridCol w:w="1310"/>
        <w:gridCol w:w="1177"/>
        <w:gridCol w:w="1157"/>
        <w:gridCol w:w="1052"/>
        <w:gridCol w:w="791"/>
        <w:gridCol w:w="774"/>
      </w:tblGrid>
      <w:tr>
        <w:tblPrEx>
          <w:tblLayout w:type="fixed"/>
          <w:tblCellMar>
            <w:top w:w="0" w:type="dxa"/>
            <w:left w:w="108" w:type="dxa"/>
            <w:bottom w:w="0" w:type="dxa"/>
            <w:right w:w="108" w:type="dxa"/>
          </w:tblCellMar>
        </w:tblPrEx>
        <w:trPr>
          <w:trHeight w:val="375" w:hRule="atLeast"/>
        </w:trPr>
        <w:tc>
          <w:tcPr>
            <w:tcW w:w="14175" w:type="dxa"/>
            <w:gridSpan w:val="12"/>
            <w:tcBorders>
              <w:top w:val="nil"/>
              <w:left w:val="nil"/>
              <w:bottom w:val="single" w:color="auto" w:sz="4" w:space="0"/>
              <w:right w:val="nil"/>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8"/>
                <w:szCs w:val="28"/>
              </w:rPr>
            </w:pPr>
            <w:r>
              <w:rPr>
                <w:rFonts w:hint="eastAsia" w:ascii="方正兰亭纤黑简体" w:hAnsi="仿宋" w:eastAsia="方正兰亭纤黑简体" w:cs="仿宋"/>
                <w:b/>
                <w:bCs/>
                <w:kern w:val="0"/>
                <w:sz w:val="28"/>
                <w:szCs w:val="28"/>
                <w:lang w:bidi="ar"/>
              </w:rPr>
              <w:t>防灾减灾</w:t>
            </w:r>
            <w:r>
              <w:rPr>
                <w:rFonts w:hint="eastAsia" w:ascii="方正兰亭纤黑简体" w:hAnsi="仿宋" w:eastAsia="方正兰亭纤黑简体" w:cs="方正仿宋_GBK"/>
                <w:b/>
                <w:bCs/>
                <w:kern w:val="0"/>
                <w:sz w:val="28"/>
                <w:szCs w:val="28"/>
              </w:rPr>
              <w:t>项目</w:t>
            </w:r>
          </w:p>
        </w:tc>
      </w:tr>
      <w:tr>
        <w:tblPrEx>
          <w:tblLayout w:type="fixed"/>
          <w:tblCellMar>
            <w:top w:w="0" w:type="dxa"/>
            <w:left w:w="108" w:type="dxa"/>
            <w:bottom w:w="0" w:type="dxa"/>
            <w:right w:w="108" w:type="dxa"/>
          </w:tblCellMar>
        </w:tblPrEx>
        <w:trPr>
          <w:trHeight w:val="315" w:hRule="atLeast"/>
        </w:trPr>
        <w:tc>
          <w:tcPr>
            <w:tcW w:w="512"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序号</w:t>
            </w:r>
          </w:p>
        </w:tc>
        <w:tc>
          <w:tcPr>
            <w:tcW w:w="1647"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项目名字</w:t>
            </w:r>
          </w:p>
        </w:tc>
        <w:tc>
          <w:tcPr>
            <w:tcW w:w="862"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责任单位</w:t>
            </w:r>
          </w:p>
        </w:tc>
        <w:tc>
          <w:tcPr>
            <w:tcW w:w="723"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建设性质</w:t>
            </w:r>
          </w:p>
        </w:tc>
        <w:tc>
          <w:tcPr>
            <w:tcW w:w="2877"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建设内容</w:t>
            </w:r>
          </w:p>
        </w:tc>
        <w:tc>
          <w:tcPr>
            <w:tcW w:w="1293"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项目总投资（万元）</w:t>
            </w:r>
          </w:p>
        </w:tc>
        <w:tc>
          <w:tcPr>
            <w:tcW w:w="1310"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eastAsia="zh-CN" w:bidi="ar"/>
              </w:rPr>
              <w:t>“十四五”</w:t>
            </w:r>
            <w:r>
              <w:rPr>
                <w:rFonts w:hint="eastAsia" w:ascii="方正兰亭纤黑简体" w:hAnsi="仿宋" w:eastAsia="方正兰亭纤黑简体" w:cs="仿宋"/>
                <w:b/>
                <w:bCs/>
                <w:kern w:val="0"/>
                <w:sz w:val="21"/>
                <w:szCs w:val="21"/>
                <w:lang w:bidi="ar"/>
              </w:rPr>
              <w:t>计划投资（万元）</w:t>
            </w:r>
          </w:p>
        </w:tc>
        <w:tc>
          <w:tcPr>
            <w:tcW w:w="3386" w:type="dxa"/>
            <w:gridSpan w:val="3"/>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eastAsia="zh-CN" w:bidi="ar"/>
              </w:rPr>
              <w:t>“十四五”</w:t>
            </w:r>
            <w:r>
              <w:rPr>
                <w:rFonts w:hint="eastAsia" w:ascii="方正兰亭纤黑简体" w:hAnsi="仿宋" w:eastAsia="方正兰亭纤黑简体" w:cs="仿宋"/>
                <w:b/>
                <w:bCs/>
                <w:kern w:val="0"/>
                <w:sz w:val="21"/>
                <w:szCs w:val="21"/>
                <w:lang w:bidi="ar"/>
              </w:rPr>
              <w:t>计划投资分类（万元）</w:t>
            </w:r>
          </w:p>
        </w:tc>
        <w:tc>
          <w:tcPr>
            <w:tcW w:w="791"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开工时间</w:t>
            </w:r>
          </w:p>
        </w:tc>
        <w:tc>
          <w:tcPr>
            <w:tcW w:w="774" w:type="dxa"/>
            <w:vMerge w:val="restart"/>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竣工时间</w:t>
            </w:r>
          </w:p>
        </w:tc>
      </w:tr>
      <w:tr>
        <w:tblPrEx>
          <w:tblLayout w:type="fixed"/>
          <w:tblCellMar>
            <w:top w:w="0" w:type="dxa"/>
            <w:left w:w="108" w:type="dxa"/>
            <w:bottom w:w="0" w:type="dxa"/>
            <w:right w:w="108" w:type="dxa"/>
          </w:tblCellMar>
        </w:tblPrEx>
        <w:trPr>
          <w:trHeight w:val="630" w:hRule="atLeast"/>
        </w:trPr>
        <w:tc>
          <w:tcPr>
            <w:tcW w:w="512"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647"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862"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723"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2877"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293"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310"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1177"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中央</w:t>
            </w:r>
            <w:r>
              <w:rPr>
                <w:rFonts w:ascii="方正兰亭纤黑简体" w:hAnsi="仿宋" w:eastAsia="方正兰亭纤黑简体" w:cs="仿宋"/>
                <w:b/>
                <w:bCs/>
                <w:kern w:val="0"/>
                <w:sz w:val="21"/>
                <w:szCs w:val="21"/>
                <w:lang w:bidi="ar"/>
              </w:rPr>
              <w:t>及</w:t>
            </w:r>
            <w:r>
              <w:rPr>
                <w:rFonts w:hint="eastAsia" w:ascii="方正兰亭纤黑简体" w:hAnsi="仿宋" w:eastAsia="方正兰亭纤黑简体" w:cs="仿宋"/>
                <w:b/>
                <w:bCs/>
                <w:kern w:val="0"/>
                <w:sz w:val="21"/>
                <w:szCs w:val="21"/>
                <w:lang w:bidi="ar"/>
              </w:rPr>
              <w:t>市级投资</w:t>
            </w:r>
          </w:p>
        </w:tc>
        <w:tc>
          <w:tcPr>
            <w:tcW w:w="1157"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区级投资</w:t>
            </w:r>
          </w:p>
        </w:tc>
        <w:tc>
          <w:tcPr>
            <w:tcW w:w="105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b/>
                <w:bCs/>
                <w:sz w:val="21"/>
                <w:szCs w:val="21"/>
              </w:rPr>
            </w:pPr>
            <w:r>
              <w:rPr>
                <w:rFonts w:hint="eastAsia" w:ascii="方正兰亭纤黑简体" w:hAnsi="仿宋" w:eastAsia="方正兰亭纤黑简体" w:cs="仿宋"/>
                <w:b/>
                <w:bCs/>
                <w:kern w:val="0"/>
                <w:sz w:val="21"/>
                <w:szCs w:val="21"/>
                <w:lang w:bidi="ar"/>
              </w:rPr>
              <w:t>其它</w:t>
            </w:r>
          </w:p>
        </w:tc>
        <w:tc>
          <w:tcPr>
            <w:tcW w:w="791"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c>
          <w:tcPr>
            <w:tcW w:w="774" w:type="dxa"/>
            <w:vMerge w:val="continue"/>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b/>
                <w:bCs/>
                <w:sz w:val="21"/>
                <w:szCs w:val="21"/>
              </w:rPr>
            </w:pPr>
          </w:p>
        </w:tc>
      </w:tr>
      <w:tr>
        <w:tblPrEx>
          <w:tblLayout w:type="fixed"/>
          <w:tblCellMar>
            <w:top w:w="0" w:type="dxa"/>
            <w:left w:w="108" w:type="dxa"/>
            <w:bottom w:w="0" w:type="dxa"/>
            <w:right w:w="108" w:type="dxa"/>
          </w:tblCellMar>
        </w:tblPrEx>
        <w:trPr>
          <w:trHeight w:val="206" w:hRule="atLeast"/>
        </w:trPr>
        <w:tc>
          <w:tcPr>
            <w:tcW w:w="14175" w:type="dxa"/>
            <w:gridSpan w:val="1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排涝</w:t>
            </w:r>
          </w:p>
        </w:tc>
      </w:tr>
      <w:tr>
        <w:tblPrEx>
          <w:tblLayout w:type="fixed"/>
          <w:tblCellMar>
            <w:top w:w="0" w:type="dxa"/>
            <w:left w:w="108" w:type="dxa"/>
            <w:bottom w:w="0" w:type="dxa"/>
            <w:right w:w="108" w:type="dxa"/>
          </w:tblCellMar>
        </w:tblPrEx>
        <w:trPr>
          <w:trHeight w:val="675" w:hRule="atLeast"/>
        </w:trPr>
        <w:tc>
          <w:tcPr>
            <w:tcW w:w="51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kern w:val="0"/>
                <w:sz w:val="21"/>
                <w:szCs w:val="18"/>
              </w:rPr>
            </w:pPr>
            <w:r>
              <w:rPr>
                <w:rFonts w:hint="eastAsia" w:ascii="方正兰亭纤黑简体" w:hAnsi="仿宋" w:eastAsia="方正兰亭纤黑简体"/>
                <w:sz w:val="21"/>
                <w:szCs w:val="18"/>
              </w:rPr>
              <w:t>1</w:t>
            </w:r>
          </w:p>
        </w:tc>
        <w:tc>
          <w:tcPr>
            <w:tcW w:w="164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18"/>
              </w:rPr>
            </w:pPr>
            <w:r>
              <w:rPr>
                <w:rFonts w:hint="eastAsia" w:ascii="方正兰亭纤黑简体" w:hAnsi="仿宋" w:eastAsia="方正兰亭纤黑简体"/>
                <w:sz w:val="21"/>
                <w:szCs w:val="18"/>
              </w:rPr>
              <w:t>重庆资源与环境保护置业学院内涝点治理等工程</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18"/>
              </w:rPr>
            </w:pPr>
            <w:r>
              <w:rPr>
                <w:rFonts w:hint="eastAsia" w:ascii="方正兰亭纤黑简体" w:hAnsi="仿宋" w:eastAsia="方正兰亭纤黑简体"/>
                <w:sz w:val="21"/>
                <w:szCs w:val="18"/>
              </w:rPr>
              <w:t>城投集团</w:t>
            </w:r>
          </w:p>
        </w:tc>
        <w:tc>
          <w:tcPr>
            <w:tcW w:w="72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18"/>
              </w:rPr>
            </w:pPr>
            <w:r>
              <w:rPr>
                <w:rFonts w:hint="eastAsia" w:ascii="方正兰亭纤黑简体" w:hAnsi="仿宋" w:eastAsia="方正兰亭纤黑简体"/>
                <w:sz w:val="21"/>
                <w:szCs w:val="21"/>
              </w:rPr>
              <w:t>完工</w:t>
            </w:r>
          </w:p>
        </w:tc>
        <w:tc>
          <w:tcPr>
            <w:tcW w:w="287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18"/>
              </w:rPr>
            </w:pPr>
            <w:r>
              <w:rPr>
                <w:rFonts w:hint="eastAsia" w:ascii="方正兰亭纤黑简体" w:hAnsi="仿宋" w:eastAsia="方正兰亭纤黑简体"/>
                <w:sz w:val="21"/>
                <w:szCs w:val="18"/>
              </w:rPr>
              <w:t>对重庆资源与环境保护置业学院等内涝点进行综合改造排除。</w:t>
            </w:r>
          </w:p>
        </w:tc>
        <w:tc>
          <w:tcPr>
            <w:tcW w:w="129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18"/>
              </w:rPr>
            </w:pPr>
            <w:r>
              <w:rPr>
                <w:rFonts w:hint="eastAsia" w:ascii="方正兰亭纤黑简体" w:hAnsi="仿宋" w:eastAsia="方正兰亭纤黑简体"/>
                <w:sz w:val="21"/>
                <w:szCs w:val="18"/>
              </w:rPr>
              <w:t>\</w:t>
            </w:r>
          </w:p>
        </w:tc>
        <w:tc>
          <w:tcPr>
            <w:tcW w:w="131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18"/>
              </w:rPr>
            </w:pPr>
            <w:r>
              <w:rPr>
                <w:rFonts w:hint="eastAsia" w:ascii="方正兰亭纤黑简体" w:hAnsi="仿宋" w:eastAsia="方正兰亭纤黑简体"/>
                <w:sz w:val="21"/>
                <w:szCs w:val="18"/>
              </w:rPr>
              <w:t>\</w:t>
            </w:r>
          </w:p>
        </w:tc>
        <w:tc>
          <w:tcPr>
            <w:tcW w:w="117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18"/>
              </w:rPr>
            </w:pPr>
            <w:r>
              <w:rPr>
                <w:rFonts w:hint="eastAsia" w:ascii="方正兰亭纤黑简体" w:hAnsi="仿宋" w:eastAsia="方正兰亭纤黑简体"/>
                <w:sz w:val="21"/>
                <w:szCs w:val="18"/>
              </w:rPr>
              <w:t>\</w:t>
            </w:r>
          </w:p>
        </w:tc>
        <w:tc>
          <w:tcPr>
            <w:tcW w:w="11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18"/>
              </w:rPr>
            </w:pPr>
            <w:r>
              <w:rPr>
                <w:rFonts w:hint="eastAsia" w:ascii="方正兰亭纤黑简体" w:hAnsi="仿宋" w:eastAsia="方正兰亭纤黑简体"/>
                <w:sz w:val="21"/>
                <w:szCs w:val="18"/>
              </w:rPr>
              <w:t>\</w:t>
            </w:r>
          </w:p>
        </w:tc>
        <w:tc>
          <w:tcPr>
            <w:tcW w:w="10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18"/>
              </w:rPr>
            </w:pPr>
            <w:r>
              <w:rPr>
                <w:rFonts w:hint="eastAsia" w:ascii="方正兰亭纤黑简体" w:hAnsi="仿宋" w:eastAsia="方正兰亭纤黑简体"/>
                <w:sz w:val="21"/>
                <w:szCs w:val="18"/>
              </w:rPr>
              <w:t>\</w:t>
            </w:r>
          </w:p>
        </w:tc>
        <w:tc>
          <w:tcPr>
            <w:tcW w:w="79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18"/>
              </w:rPr>
            </w:pPr>
            <w:r>
              <w:rPr>
                <w:rFonts w:hint="eastAsia" w:ascii="方正兰亭纤黑简体" w:hAnsi="仿宋" w:eastAsia="方正兰亭纤黑简体"/>
                <w:sz w:val="21"/>
                <w:szCs w:val="18"/>
              </w:rPr>
              <w:t>2022</w:t>
            </w:r>
          </w:p>
        </w:tc>
        <w:tc>
          <w:tcPr>
            <w:tcW w:w="7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sz w:val="21"/>
                <w:szCs w:val="18"/>
              </w:rPr>
            </w:pPr>
            <w:r>
              <w:rPr>
                <w:rFonts w:hint="eastAsia" w:ascii="方正兰亭纤黑简体" w:hAnsi="仿宋" w:eastAsia="方正兰亭纤黑简体"/>
                <w:sz w:val="21"/>
                <w:szCs w:val="18"/>
              </w:rPr>
              <w:t>2022</w:t>
            </w:r>
          </w:p>
        </w:tc>
      </w:tr>
      <w:tr>
        <w:tblPrEx>
          <w:tblLayout w:type="fixed"/>
          <w:tblCellMar>
            <w:top w:w="0" w:type="dxa"/>
            <w:left w:w="108" w:type="dxa"/>
            <w:bottom w:w="0" w:type="dxa"/>
            <w:right w:w="108" w:type="dxa"/>
          </w:tblCellMar>
        </w:tblPrEx>
        <w:trPr>
          <w:trHeight w:val="360" w:hRule="atLeast"/>
        </w:trPr>
        <w:tc>
          <w:tcPr>
            <w:tcW w:w="14175" w:type="dxa"/>
            <w:gridSpan w:val="12"/>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消防</w:t>
            </w:r>
          </w:p>
        </w:tc>
      </w:tr>
      <w:tr>
        <w:tblPrEx>
          <w:tblLayout w:type="fixed"/>
          <w:tblCellMar>
            <w:top w:w="0" w:type="dxa"/>
            <w:left w:w="108" w:type="dxa"/>
            <w:bottom w:w="0" w:type="dxa"/>
            <w:right w:w="108" w:type="dxa"/>
          </w:tblCellMar>
        </w:tblPrEx>
        <w:trPr>
          <w:trHeight w:val="675" w:hRule="atLeast"/>
        </w:trPr>
        <w:tc>
          <w:tcPr>
            <w:tcW w:w="51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w:t>
            </w:r>
          </w:p>
        </w:tc>
        <w:tc>
          <w:tcPr>
            <w:tcW w:w="1647"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镇街消火栓补建工程</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23"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sz w:val="21"/>
                <w:szCs w:val="21"/>
              </w:rPr>
              <w:t>完工</w:t>
            </w:r>
          </w:p>
        </w:tc>
        <w:tc>
          <w:tcPr>
            <w:tcW w:w="2877"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补建万古、三驱、珠溪、</w:t>
            </w:r>
            <w:r>
              <w:rPr>
                <w:rFonts w:ascii="方正兰亭纤黑简体" w:hAnsi="仿宋" w:eastAsia="方正兰亭纤黑简体" w:cs="仿宋"/>
                <w:kern w:val="0"/>
                <w:sz w:val="21"/>
                <w:szCs w:val="21"/>
                <w:lang w:bidi="ar"/>
              </w:rPr>
              <w:t>中敖</w:t>
            </w:r>
            <w:r>
              <w:rPr>
                <w:rFonts w:hint="eastAsia" w:ascii="方正兰亭纤黑简体" w:hAnsi="仿宋" w:eastAsia="方正兰亭纤黑简体" w:cs="仿宋"/>
                <w:kern w:val="0"/>
                <w:sz w:val="21"/>
                <w:szCs w:val="21"/>
                <w:lang w:bidi="ar"/>
              </w:rPr>
              <w:t>市政消火栓350具（具体以消火栓建设情况确定）。</w:t>
            </w:r>
          </w:p>
        </w:tc>
        <w:tc>
          <w:tcPr>
            <w:tcW w:w="1293"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w:t>
            </w:r>
          </w:p>
        </w:tc>
        <w:tc>
          <w:tcPr>
            <w:tcW w:w="1310"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w:t>
            </w:r>
          </w:p>
        </w:tc>
        <w:tc>
          <w:tcPr>
            <w:tcW w:w="1177"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57"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1000</w:t>
            </w:r>
          </w:p>
        </w:tc>
        <w:tc>
          <w:tcPr>
            <w:tcW w:w="105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91"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c>
          <w:tcPr>
            <w:tcW w:w="774"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ind w:firstLine="0" w:firstLineChars="0"/>
              <w:jc w:val="center"/>
              <w:textAlignment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r>
      <w:tr>
        <w:tblPrEx>
          <w:tblLayout w:type="fixed"/>
          <w:tblCellMar>
            <w:top w:w="0" w:type="dxa"/>
            <w:left w:w="108" w:type="dxa"/>
            <w:bottom w:w="0" w:type="dxa"/>
            <w:right w:w="108" w:type="dxa"/>
          </w:tblCellMar>
        </w:tblPrEx>
        <w:trPr>
          <w:trHeight w:val="900" w:hRule="atLeast"/>
        </w:trPr>
        <w:tc>
          <w:tcPr>
            <w:tcW w:w="51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w:t>
            </w:r>
          </w:p>
        </w:tc>
        <w:tc>
          <w:tcPr>
            <w:tcW w:w="164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消防水源建设工程</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2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287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完善市政消火栓建设，严格按照“四同步”的原则，市政消火栓与新建道路同步设计、同步建设、同步验收、同步投用</w:t>
            </w:r>
          </w:p>
        </w:tc>
        <w:tc>
          <w:tcPr>
            <w:tcW w:w="129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31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7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9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c>
          <w:tcPr>
            <w:tcW w:w="7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900" w:hRule="atLeast"/>
        </w:trPr>
        <w:tc>
          <w:tcPr>
            <w:tcW w:w="51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w:t>
            </w:r>
          </w:p>
        </w:tc>
        <w:tc>
          <w:tcPr>
            <w:tcW w:w="164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消防民生实事工程</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2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287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根据年度城镇老旧小区改造提升项目计划，同步开展消防设施改造</w:t>
            </w:r>
          </w:p>
        </w:tc>
        <w:tc>
          <w:tcPr>
            <w:tcW w:w="129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31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7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9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c>
          <w:tcPr>
            <w:tcW w:w="7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900" w:hRule="atLeast"/>
        </w:trPr>
        <w:tc>
          <w:tcPr>
            <w:tcW w:w="51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w:t>
            </w:r>
          </w:p>
        </w:tc>
        <w:tc>
          <w:tcPr>
            <w:tcW w:w="164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万古消防救援站</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大足高新区</w:t>
            </w:r>
          </w:p>
        </w:tc>
        <w:tc>
          <w:tcPr>
            <w:tcW w:w="72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287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占地25亩，建筑面积约4000平方米，集消防办公、训练场、训练塔等功能为一体的消防</w:t>
            </w:r>
            <w:r>
              <w:rPr>
                <w:rFonts w:hint="eastAsia" w:ascii="方正兰亭纤黑简体" w:hAnsi="仿宋" w:eastAsia="方正兰亭纤黑简体" w:cs="仿宋"/>
                <w:color w:val="FF0000"/>
                <w:kern w:val="0"/>
                <w:sz w:val="21"/>
                <w:szCs w:val="21"/>
                <w:lang w:bidi="ar"/>
              </w:rPr>
              <w:t>救援站</w:t>
            </w:r>
            <w:r>
              <w:rPr>
                <w:rFonts w:hint="eastAsia" w:ascii="方正兰亭纤黑简体" w:hAnsi="仿宋" w:eastAsia="方正兰亭纤黑简体" w:cs="仿宋"/>
                <w:kern w:val="0"/>
                <w:sz w:val="21"/>
                <w:szCs w:val="21"/>
                <w:lang w:bidi="ar"/>
              </w:rPr>
              <w:t>。</w:t>
            </w:r>
          </w:p>
        </w:tc>
        <w:tc>
          <w:tcPr>
            <w:tcW w:w="129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4000</w:t>
            </w:r>
          </w:p>
        </w:tc>
        <w:tc>
          <w:tcPr>
            <w:tcW w:w="131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4000</w:t>
            </w:r>
          </w:p>
        </w:tc>
        <w:tc>
          <w:tcPr>
            <w:tcW w:w="117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4000</w:t>
            </w:r>
          </w:p>
        </w:tc>
        <w:tc>
          <w:tcPr>
            <w:tcW w:w="10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9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w:t>
            </w:r>
            <w:r>
              <w:rPr>
                <w:rFonts w:ascii="方正兰亭纤黑简体" w:hAnsi="仿宋" w:eastAsia="方正兰亭纤黑简体" w:cs="仿宋"/>
                <w:kern w:val="0"/>
                <w:sz w:val="21"/>
                <w:szCs w:val="21"/>
                <w:lang w:bidi="ar"/>
              </w:rPr>
              <w:t>3</w:t>
            </w:r>
          </w:p>
        </w:tc>
        <w:tc>
          <w:tcPr>
            <w:tcW w:w="7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900" w:hRule="atLeast"/>
        </w:trPr>
        <w:tc>
          <w:tcPr>
            <w:tcW w:w="51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w:t>
            </w:r>
          </w:p>
        </w:tc>
        <w:tc>
          <w:tcPr>
            <w:tcW w:w="164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消防主题公园（示范场所）</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2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287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新建、改建1处消防主题公园（示范场所）</w:t>
            </w:r>
          </w:p>
        </w:tc>
        <w:tc>
          <w:tcPr>
            <w:tcW w:w="129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31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7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9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c>
          <w:tcPr>
            <w:tcW w:w="7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Layout w:type="fixed"/>
          <w:tblCellMar>
            <w:top w:w="0" w:type="dxa"/>
            <w:left w:w="108" w:type="dxa"/>
            <w:bottom w:w="0" w:type="dxa"/>
            <w:right w:w="108" w:type="dxa"/>
          </w:tblCellMar>
        </w:tblPrEx>
        <w:trPr>
          <w:trHeight w:val="675" w:hRule="atLeast"/>
        </w:trPr>
        <w:tc>
          <w:tcPr>
            <w:tcW w:w="51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ascii="方正兰亭纤黑简体" w:hAnsi="仿宋" w:eastAsia="方正兰亭纤黑简体" w:cs="仿宋"/>
                <w:kern w:val="0"/>
                <w:sz w:val="21"/>
                <w:szCs w:val="21"/>
                <w:lang w:bidi="ar"/>
              </w:rPr>
              <w:t>6</w:t>
            </w:r>
          </w:p>
        </w:tc>
        <w:tc>
          <w:tcPr>
            <w:tcW w:w="164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大足工业园区消防设施建设工程</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大足工业园区</w:t>
            </w:r>
          </w:p>
        </w:tc>
        <w:tc>
          <w:tcPr>
            <w:tcW w:w="72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sz w:val="21"/>
                <w:szCs w:val="21"/>
              </w:rPr>
              <w:t>完工</w:t>
            </w:r>
          </w:p>
        </w:tc>
        <w:tc>
          <w:tcPr>
            <w:tcW w:w="287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建设大足工业园区东部、北部片区消防设施，维护改造平桥园区、五金市场、西部金属交易城、废铁市场消防设施，园区范围内现有消防设施维护等。</w:t>
            </w:r>
          </w:p>
        </w:tc>
        <w:tc>
          <w:tcPr>
            <w:tcW w:w="129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3000</w:t>
            </w:r>
          </w:p>
        </w:tc>
        <w:tc>
          <w:tcPr>
            <w:tcW w:w="131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3000</w:t>
            </w:r>
          </w:p>
        </w:tc>
        <w:tc>
          <w:tcPr>
            <w:tcW w:w="117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3000</w:t>
            </w:r>
          </w:p>
        </w:tc>
        <w:tc>
          <w:tcPr>
            <w:tcW w:w="79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r>
      <w:tr>
        <w:tblPrEx>
          <w:tblLayout w:type="fixed"/>
          <w:tblCellMar>
            <w:top w:w="0" w:type="dxa"/>
            <w:left w:w="108" w:type="dxa"/>
            <w:bottom w:w="0" w:type="dxa"/>
            <w:right w:w="108" w:type="dxa"/>
          </w:tblCellMar>
        </w:tblPrEx>
        <w:trPr>
          <w:trHeight w:val="675" w:hRule="atLeast"/>
        </w:trPr>
        <w:tc>
          <w:tcPr>
            <w:tcW w:w="51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ascii="方正兰亭纤黑简体" w:hAnsi="仿宋" w:eastAsia="方正兰亭纤黑简体" w:cs="仿宋"/>
                <w:kern w:val="0"/>
                <w:sz w:val="21"/>
                <w:szCs w:val="21"/>
                <w:lang w:bidi="ar"/>
              </w:rPr>
              <w:t>7</w:t>
            </w:r>
          </w:p>
        </w:tc>
        <w:tc>
          <w:tcPr>
            <w:tcW w:w="164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消防栓等街道沿线公共设施形象提升</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2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287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对消防栓、井盖、人行道护栏、防撞栏杆等进行文化植入，提升形象。</w:t>
            </w:r>
          </w:p>
        </w:tc>
        <w:tc>
          <w:tcPr>
            <w:tcW w:w="129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w:t>
            </w:r>
          </w:p>
        </w:tc>
        <w:tc>
          <w:tcPr>
            <w:tcW w:w="131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w:t>
            </w:r>
          </w:p>
        </w:tc>
        <w:tc>
          <w:tcPr>
            <w:tcW w:w="117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w:t>
            </w:r>
          </w:p>
        </w:tc>
        <w:tc>
          <w:tcPr>
            <w:tcW w:w="10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9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2027</w:t>
            </w:r>
          </w:p>
        </w:tc>
      </w:tr>
      <w:tr>
        <w:tblPrEx>
          <w:tblLayout w:type="fixed"/>
          <w:tblCellMar>
            <w:top w:w="0" w:type="dxa"/>
            <w:left w:w="108" w:type="dxa"/>
            <w:bottom w:w="0" w:type="dxa"/>
            <w:right w:w="108" w:type="dxa"/>
          </w:tblCellMar>
        </w:tblPrEx>
        <w:trPr>
          <w:trHeight w:val="675" w:hRule="atLeast"/>
        </w:trPr>
        <w:tc>
          <w:tcPr>
            <w:tcW w:w="51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cs="仿宋"/>
                <w:kern w:val="0"/>
                <w:sz w:val="21"/>
                <w:szCs w:val="21"/>
                <w:lang w:bidi="ar"/>
              </w:rPr>
            </w:pPr>
            <w:r>
              <w:rPr>
                <w:rFonts w:ascii="方正兰亭纤黑简体" w:hAnsi="仿宋" w:eastAsia="方正兰亭纤黑简体" w:cs="仿宋"/>
                <w:kern w:val="0"/>
                <w:sz w:val="21"/>
                <w:szCs w:val="21"/>
                <w:lang w:bidi="ar"/>
              </w:rPr>
              <w:t>8</w:t>
            </w:r>
          </w:p>
        </w:tc>
        <w:tc>
          <w:tcPr>
            <w:tcW w:w="164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龙水消防站</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hint="eastAsia" w:ascii="方正兰亭纤黑简体" w:hAnsi="仿宋" w:eastAsia="方正兰亭纤黑简体" w:cs="仿宋"/>
                <w:kern w:val="0"/>
                <w:sz w:val="21"/>
                <w:szCs w:val="21"/>
                <w:lang w:bidi="ar"/>
              </w:rPr>
            </w:pPr>
            <w:r>
              <w:rPr>
                <w:rFonts w:hint="eastAsia" w:ascii="方正兰亭纤黑简体" w:hAnsi="仿宋" w:eastAsia="方正兰亭纤黑简体" w:cs="仿宋"/>
                <w:color w:val="FF0000"/>
                <w:kern w:val="0"/>
                <w:sz w:val="21"/>
                <w:szCs w:val="21"/>
                <w:lang w:bidi="ar"/>
              </w:rPr>
              <w:t>大足工业园区、</w:t>
            </w:r>
            <w:r>
              <w:rPr>
                <w:rFonts w:ascii="方正兰亭纤黑简体" w:hAnsi="仿宋" w:eastAsia="方正兰亭纤黑简体" w:cs="仿宋"/>
                <w:color w:val="FF0000"/>
                <w:kern w:val="0"/>
                <w:sz w:val="21"/>
                <w:szCs w:val="21"/>
                <w:lang w:bidi="ar"/>
              </w:rPr>
              <w:t>高科集团</w:t>
            </w:r>
          </w:p>
        </w:tc>
        <w:tc>
          <w:tcPr>
            <w:tcW w:w="72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287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迁建现状龙水消防站，新建龙水南消防站1座</w:t>
            </w:r>
          </w:p>
        </w:tc>
        <w:tc>
          <w:tcPr>
            <w:tcW w:w="129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31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7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9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w:t>
            </w:r>
            <w:r>
              <w:rPr>
                <w:rFonts w:ascii="方正兰亭纤黑简体" w:hAnsi="仿宋" w:eastAsia="方正兰亭纤黑简体" w:cs="仿宋"/>
                <w:kern w:val="0"/>
                <w:sz w:val="21"/>
                <w:szCs w:val="21"/>
                <w:lang w:bidi="ar"/>
              </w:rPr>
              <w:t>6</w:t>
            </w:r>
          </w:p>
        </w:tc>
        <w:tc>
          <w:tcPr>
            <w:tcW w:w="7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w:t>
            </w:r>
            <w:r>
              <w:rPr>
                <w:rFonts w:ascii="方正兰亭纤黑简体" w:hAnsi="仿宋" w:eastAsia="方正兰亭纤黑简体" w:cs="仿宋"/>
                <w:kern w:val="0"/>
                <w:sz w:val="21"/>
                <w:szCs w:val="21"/>
                <w:lang w:bidi="ar"/>
              </w:rPr>
              <w:t>8</w:t>
            </w:r>
          </w:p>
        </w:tc>
      </w:tr>
      <w:tr>
        <w:tblPrEx>
          <w:tblLayout w:type="fixed"/>
          <w:tblCellMar>
            <w:top w:w="0" w:type="dxa"/>
            <w:left w:w="108" w:type="dxa"/>
            <w:bottom w:w="0" w:type="dxa"/>
            <w:right w:w="108" w:type="dxa"/>
          </w:tblCellMar>
        </w:tblPrEx>
        <w:trPr>
          <w:trHeight w:val="675" w:hRule="atLeast"/>
        </w:trPr>
        <w:tc>
          <w:tcPr>
            <w:tcW w:w="14175" w:type="dxa"/>
            <w:gridSpan w:val="12"/>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三</w:t>
            </w:r>
            <w:r>
              <w:rPr>
                <w:rFonts w:ascii="方正兰亭纤黑简体" w:hAnsi="仿宋" w:eastAsia="方正兰亭纤黑简体" w:cs="仿宋"/>
                <w:kern w:val="0"/>
                <w:sz w:val="21"/>
                <w:szCs w:val="21"/>
                <w:lang w:bidi="ar"/>
              </w:rPr>
              <w:t>、人防</w:t>
            </w:r>
          </w:p>
        </w:tc>
      </w:tr>
      <w:tr>
        <w:tblPrEx>
          <w:tblLayout w:type="fixed"/>
          <w:tblCellMar>
            <w:top w:w="0" w:type="dxa"/>
            <w:left w:w="108" w:type="dxa"/>
            <w:bottom w:w="0" w:type="dxa"/>
            <w:right w:w="108" w:type="dxa"/>
          </w:tblCellMar>
        </w:tblPrEx>
        <w:trPr>
          <w:trHeight w:val="1125" w:hRule="atLeast"/>
        </w:trPr>
        <w:tc>
          <w:tcPr>
            <w:tcW w:w="512" w:type="dxa"/>
            <w:tcBorders>
              <w:top w:val="single" w:color="auto" w:sz="4" w:space="0"/>
              <w:left w:val="single" w:color="auto" w:sz="4" w:space="0"/>
              <w:bottom w:val="single" w:color="auto" w:sz="4" w:space="0"/>
              <w:right w:val="single" w:color="auto" w:sz="4" w:space="0"/>
            </w:tcBorders>
            <w:shd w:val="clear" w:color="auto" w:fill="FFFFFF"/>
            <w:vAlign w:val="center"/>
          </w:tcPr>
          <w:p>
            <w:pPr>
              <w:widowControl/>
              <w:spacing w:line="240" w:lineRule="auto"/>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w:t>
            </w:r>
          </w:p>
        </w:tc>
        <w:tc>
          <w:tcPr>
            <w:tcW w:w="164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公共人防工程</w:t>
            </w:r>
          </w:p>
        </w:tc>
        <w:tc>
          <w:tcPr>
            <w:tcW w:w="86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72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287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公共人防工程2000</w:t>
            </w:r>
            <w:r>
              <w:rPr>
                <w:rFonts w:hint="eastAsia" w:ascii="Batang" w:hAnsi="Batang" w:eastAsia="Batang" w:cs="Batang"/>
                <w:kern w:val="0"/>
                <w:sz w:val="21"/>
                <w:szCs w:val="21"/>
                <w:lang w:bidi="ar"/>
              </w:rPr>
              <w:t>㎡</w:t>
            </w:r>
            <w:r>
              <w:rPr>
                <w:rFonts w:hint="eastAsia" w:ascii="方正兰亭纤黑简体" w:hAnsi="仿宋" w:eastAsia="方正兰亭纤黑简体" w:cs="仿宋"/>
                <w:kern w:val="0"/>
                <w:sz w:val="21"/>
                <w:szCs w:val="21"/>
                <w:lang w:bidi="ar"/>
              </w:rPr>
              <w:t>-4000</w:t>
            </w:r>
            <w:r>
              <w:rPr>
                <w:rFonts w:hint="eastAsia" w:ascii="Batang" w:hAnsi="Batang" w:eastAsia="Batang" w:cs="Batang"/>
                <w:kern w:val="0"/>
                <w:sz w:val="21"/>
                <w:szCs w:val="21"/>
                <w:lang w:bidi="ar"/>
              </w:rPr>
              <w:t>㎡</w:t>
            </w:r>
          </w:p>
        </w:tc>
        <w:tc>
          <w:tcPr>
            <w:tcW w:w="1293"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2700</w:t>
            </w:r>
          </w:p>
        </w:tc>
        <w:tc>
          <w:tcPr>
            <w:tcW w:w="1310"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2700</w:t>
            </w:r>
          </w:p>
        </w:tc>
        <w:tc>
          <w:tcPr>
            <w:tcW w:w="117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2700</w:t>
            </w:r>
          </w:p>
        </w:tc>
        <w:tc>
          <w:tcPr>
            <w:tcW w:w="1157"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052"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91"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74" w:type="dxa"/>
            <w:tcBorders>
              <w:top w:val="single" w:color="auto" w:sz="4" w:space="0"/>
              <w:left w:val="single" w:color="auto" w:sz="4" w:space="0"/>
              <w:bottom w:val="single" w:color="auto" w:sz="4" w:space="0"/>
              <w:right w:val="single" w:color="auto" w:sz="4" w:space="0"/>
            </w:tcBorders>
            <w:shd w:val="clear" w:color="auto" w:fill="FFFFFF"/>
            <w:vAlign w:val="center"/>
          </w:tcPr>
          <w:p>
            <w:pPr>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r>
    </w:tbl>
    <w:p>
      <w:pPr>
        <w:ind w:firstLine="0" w:firstLineChars="0"/>
        <w:rPr>
          <w:rFonts w:ascii="方正兰亭纤黑简体" w:eastAsia="方正兰亭纤黑简体"/>
        </w:rPr>
      </w:pPr>
    </w:p>
    <w:p>
      <w:pPr>
        <w:pStyle w:val="2"/>
        <w:ind w:firstLine="640"/>
        <w:jc w:val="center"/>
        <w:rPr>
          <w:rFonts w:ascii="方正兰亭纤黑简体" w:hAnsi="仿宋" w:eastAsia="方正兰亭纤黑简体" w:cs="方正仿宋_GBK"/>
          <w:b/>
          <w:bCs/>
          <w:kern w:val="0"/>
          <w:sz w:val="28"/>
          <w:szCs w:val="28"/>
        </w:rPr>
      </w:pPr>
      <w:r>
        <w:br w:type="page"/>
      </w:r>
      <w:r>
        <w:rPr>
          <w:rFonts w:hint="eastAsia" w:ascii="方正兰亭纤黑简体" w:hAnsi="仿宋" w:eastAsia="方正兰亭纤黑简体" w:cs="仿宋"/>
          <w:b/>
          <w:bCs/>
          <w:kern w:val="0"/>
          <w:sz w:val="28"/>
          <w:szCs w:val="28"/>
          <w:lang w:bidi="ar"/>
        </w:rPr>
        <w:t>北厅片区</w:t>
      </w:r>
      <w:r>
        <w:rPr>
          <w:rFonts w:ascii="方正兰亭纤黑简体" w:hAnsi="仿宋" w:eastAsia="方正兰亭纤黑简体" w:cs="仿宋"/>
          <w:b/>
          <w:bCs/>
          <w:kern w:val="0"/>
          <w:sz w:val="28"/>
          <w:szCs w:val="28"/>
          <w:lang w:bidi="ar"/>
        </w:rPr>
        <w:t>重点</w:t>
      </w:r>
      <w:r>
        <w:rPr>
          <w:rFonts w:hint="eastAsia" w:ascii="方正兰亭纤黑简体" w:hAnsi="仿宋" w:eastAsia="方正兰亭纤黑简体" w:cs="方正仿宋_GBK"/>
          <w:b/>
          <w:bCs/>
          <w:kern w:val="0"/>
          <w:sz w:val="28"/>
          <w:szCs w:val="28"/>
        </w:rPr>
        <w:t>项目</w:t>
      </w:r>
    </w:p>
    <w:tbl>
      <w:tblPr>
        <w:tblStyle w:val="25"/>
        <w:tblW w:w="139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
        <w:gridCol w:w="1396"/>
        <w:gridCol w:w="863"/>
        <w:gridCol w:w="863"/>
        <w:gridCol w:w="3257"/>
        <w:gridCol w:w="1134"/>
        <w:gridCol w:w="1134"/>
        <w:gridCol w:w="1134"/>
        <w:gridCol w:w="1126"/>
        <w:gridCol w:w="983"/>
        <w:gridCol w:w="726"/>
        <w:gridCol w:w="7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15" w:hRule="atLeast"/>
        </w:trPr>
        <w:tc>
          <w:tcPr>
            <w:tcW w:w="562" w:type="dxa"/>
            <w:vMerge w:val="restart"/>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序号</w:t>
            </w:r>
          </w:p>
        </w:tc>
        <w:tc>
          <w:tcPr>
            <w:tcW w:w="1396" w:type="dxa"/>
            <w:vMerge w:val="restart"/>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项目名字</w:t>
            </w:r>
          </w:p>
        </w:tc>
        <w:tc>
          <w:tcPr>
            <w:tcW w:w="863" w:type="dxa"/>
            <w:vMerge w:val="restart"/>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责任单位</w:t>
            </w:r>
          </w:p>
        </w:tc>
        <w:tc>
          <w:tcPr>
            <w:tcW w:w="863" w:type="dxa"/>
            <w:vMerge w:val="restart"/>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建设性质</w:t>
            </w:r>
          </w:p>
        </w:tc>
        <w:tc>
          <w:tcPr>
            <w:tcW w:w="3257" w:type="dxa"/>
            <w:vMerge w:val="restart"/>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建设内容</w:t>
            </w:r>
          </w:p>
        </w:tc>
        <w:tc>
          <w:tcPr>
            <w:tcW w:w="1134" w:type="dxa"/>
            <w:vMerge w:val="restart"/>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项目总投资（万元）</w:t>
            </w:r>
          </w:p>
        </w:tc>
        <w:tc>
          <w:tcPr>
            <w:tcW w:w="1134" w:type="dxa"/>
            <w:vMerge w:val="restart"/>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eastAsia="zh-CN" w:bidi="ar"/>
              </w:rPr>
              <w:t>“十四五”</w:t>
            </w:r>
            <w:r>
              <w:rPr>
                <w:rFonts w:hint="eastAsia" w:ascii="方正兰亭纤黑简体" w:hAnsi="仿宋" w:eastAsia="方正兰亭纤黑简体" w:cs="仿宋"/>
                <w:kern w:val="0"/>
                <w:sz w:val="21"/>
                <w:szCs w:val="21"/>
                <w:lang w:bidi="ar"/>
              </w:rPr>
              <w:t>计划投资（万元）</w:t>
            </w:r>
          </w:p>
        </w:tc>
        <w:tc>
          <w:tcPr>
            <w:tcW w:w="3243" w:type="dxa"/>
            <w:gridSpan w:val="3"/>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eastAsia="zh-CN" w:bidi="ar"/>
              </w:rPr>
              <w:t>“十四五”</w:t>
            </w:r>
            <w:r>
              <w:rPr>
                <w:rFonts w:hint="eastAsia" w:ascii="方正兰亭纤黑简体" w:hAnsi="仿宋" w:eastAsia="方正兰亭纤黑简体" w:cs="仿宋"/>
                <w:kern w:val="0"/>
                <w:sz w:val="21"/>
                <w:szCs w:val="21"/>
                <w:lang w:bidi="ar"/>
              </w:rPr>
              <w:t>计划投资分类（万元）</w:t>
            </w:r>
          </w:p>
        </w:tc>
        <w:tc>
          <w:tcPr>
            <w:tcW w:w="726" w:type="dxa"/>
            <w:vMerge w:val="restart"/>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开工时间</w:t>
            </w:r>
          </w:p>
        </w:tc>
        <w:tc>
          <w:tcPr>
            <w:tcW w:w="770" w:type="dxa"/>
            <w:vMerge w:val="restart"/>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竣工时间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45" w:hRule="atLeast"/>
        </w:trPr>
        <w:tc>
          <w:tcPr>
            <w:tcW w:w="562" w:type="dxa"/>
            <w:vMerge w:val="continue"/>
            <w:vAlign w:val="center"/>
          </w:tcPr>
          <w:p>
            <w:pPr>
              <w:pStyle w:val="2"/>
              <w:ind w:firstLine="0" w:firstLineChars="0"/>
              <w:jc w:val="center"/>
              <w:rPr>
                <w:rFonts w:ascii="方正兰亭纤黑简体" w:hAnsi="仿宋" w:eastAsia="方正兰亭纤黑简体" w:cs="仿宋"/>
                <w:kern w:val="0"/>
                <w:sz w:val="21"/>
                <w:szCs w:val="21"/>
                <w:lang w:bidi="ar"/>
              </w:rPr>
            </w:pPr>
          </w:p>
        </w:tc>
        <w:tc>
          <w:tcPr>
            <w:tcW w:w="1396" w:type="dxa"/>
            <w:vMerge w:val="continue"/>
            <w:vAlign w:val="center"/>
          </w:tcPr>
          <w:p>
            <w:pPr>
              <w:pStyle w:val="2"/>
              <w:ind w:firstLine="0" w:firstLineChars="0"/>
              <w:jc w:val="center"/>
              <w:rPr>
                <w:rFonts w:ascii="方正兰亭纤黑简体" w:hAnsi="仿宋" w:eastAsia="方正兰亭纤黑简体" w:cs="仿宋"/>
                <w:kern w:val="0"/>
                <w:sz w:val="21"/>
                <w:szCs w:val="21"/>
                <w:lang w:bidi="ar"/>
              </w:rPr>
            </w:pPr>
          </w:p>
        </w:tc>
        <w:tc>
          <w:tcPr>
            <w:tcW w:w="863" w:type="dxa"/>
            <w:vMerge w:val="continue"/>
            <w:vAlign w:val="center"/>
          </w:tcPr>
          <w:p>
            <w:pPr>
              <w:pStyle w:val="2"/>
              <w:ind w:firstLine="0" w:firstLineChars="0"/>
              <w:jc w:val="center"/>
              <w:rPr>
                <w:rFonts w:ascii="方正兰亭纤黑简体" w:hAnsi="仿宋" w:eastAsia="方正兰亭纤黑简体" w:cs="仿宋"/>
                <w:kern w:val="0"/>
                <w:sz w:val="21"/>
                <w:szCs w:val="21"/>
                <w:lang w:bidi="ar"/>
              </w:rPr>
            </w:pPr>
          </w:p>
        </w:tc>
        <w:tc>
          <w:tcPr>
            <w:tcW w:w="863" w:type="dxa"/>
            <w:vMerge w:val="continue"/>
            <w:vAlign w:val="center"/>
          </w:tcPr>
          <w:p>
            <w:pPr>
              <w:pStyle w:val="2"/>
              <w:ind w:firstLine="0" w:firstLineChars="0"/>
              <w:jc w:val="center"/>
              <w:rPr>
                <w:rFonts w:ascii="方正兰亭纤黑简体" w:hAnsi="仿宋" w:eastAsia="方正兰亭纤黑简体" w:cs="仿宋"/>
                <w:kern w:val="0"/>
                <w:sz w:val="21"/>
                <w:szCs w:val="21"/>
                <w:lang w:bidi="ar"/>
              </w:rPr>
            </w:pPr>
          </w:p>
        </w:tc>
        <w:tc>
          <w:tcPr>
            <w:tcW w:w="3257" w:type="dxa"/>
            <w:vMerge w:val="continue"/>
            <w:vAlign w:val="center"/>
          </w:tcPr>
          <w:p>
            <w:pPr>
              <w:pStyle w:val="2"/>
              <w:ind w:firstLine="0" w:firstLineChars="0"/>
              <w:jc w:val="center"/>
              <w:rPr>
                <w:rFonts w:ascii="方正兰亭纤黑简体" w:hAnsi="仿宋" w:eastAsia="方正兰亭纤黑简体" w:cs="仿宋"/>
                <w:kern w:val="0"/>
                <w:sz w:val="21"/>
                <w:szCs w:val="21"/>
                <w:lang w:bidi="ar"/>
              </w:rPr>
            </w:pPr>
          </w:p>
        </w:tc>
        <w:tc>
          <w:tcPr>
            <w:tcW w:w="1134" w:type="dxa"/>
            <w:vMerge w:val="continue"/>
            <w:vAlign w:val="center"/>
          </w:tcPr>
          <w:p>
            <w:pPr>
              <w:pStyle w:val="2"/>
              <w:ind w:firstLine="0" w:firstLineChars="0"/>
              <w:jc w:val="center"/>
              <w:rPr>
                <w:rFonts w:ascii="方正兰亭纤黑简体" w:hAnsi="仿宋" w:eastAsia="方正兰亭纤黑简体" w:cs="仿宋"/>
                <w:kern w:val="0"/>
                <w:sz w:val="21"/>
                <w:szCs w:val="21"/>
                <w:lang w:bidi="ar"/>
              </w:rPr>
            </w:pPr>
          </w:p>
        </w:tc>
        <w:tc>
          <w:tcPr>
            <w:tcW w:w="1134" w:type="dxa"/>
            <w:vMerge w:val="continue"/>
            <w:vAlign w:val="center"/>
          </w:tcPr>
          <w:p>
            <w:pPr>
              <w:pStyle w:val="2"/>
              <w:ind w:firstLine="0" w:firstLineChars="0"/>
              <w:jc w:val="center"/>
              <w:rPr>
                <w:rFonts w:ascii="方正兰亭纤黑简体" w:hAnsi="仿宋" w:eastAsia="方正兰亭纤黑简体" w:cs="仿宋"/>
                <w:kern w:val="0"/>
                <w:sz w:val="21"/>
                <w:szCs w:val="21"/>
                <w:lang w:bidi="ar"/>
              </w:rPr>
            </w:pP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中央及市级投资</w:t>
            </w:r>
          </w:p>
        </w:tc>
        <w:tc>
          <w:tcPr>
            <w:tcW w:w="11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区级投资</w:t>
            </w:r>
          </w:p>
        </w:tc>
        <w:tc>
          <w:tcPr>
            <w:tcW w:w="98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其它</w:t>
            </w:r>
          </w:p>
        </w:tc>
        <w:tc>
          <w:tcPr>
            <w:tcW w:w="726" w:type="dxa"/>
            <w:vMerge w:val="continue"/>
            <w:vAlign w:val="center"/>
          </w:tcPr>
          <w:p>
            <w:pPr>
              <w:pStyle w:val="2"/>
              <w:ind w:firstLine="0" w:firstLineChars="0"/>
              <w:jc w:val="center"/>
              <w:rPr>
                <w:rFonts w:ascii="方正兰亭纤黑简体" w:hAnsi="仿宋" w:eastAsia="方正兰亭纤黑简体" w:cs="仿宋"/>
                <w:kern w:val="0"/>
                <w:sz w:val="21"/>
                <w:szCs w:val="21"/>
                <w:lang w:bidi="ar"/>
              </w:rPr>
            </w:pPr>
          </w:p>
        </w:tc>
        <w:tc>
          <w:tcPr>
            <w:tcW w:w="770" w:type="dxa"/>
            <w:vMerge w:val="continue"/>
            <w:vAlign w:val="center"/>
          </w:tcPr>
          <w:p>
            <w:pPr>
              <w:pStyle w:val="2"/>
              <w:ind w:firstLine="0" w:firstLineChars="0"/>
              <w:jc w:val="center"/>
              <w:rPr>
                <w:rFonts w:ascii="方正兰亭纤黑简体" w:hAnsi="仿宋" w:eastAsia="方正兰亭纤黑简体" w:cs="仿宋"/>
                <w:kern w:val="0"/>
                <w:sz w:val="21"/>
                <w:szCs w:val="21"/>
                <w:lang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25" w:hRule="atLeast"/>
        </w:trPr>
        <w:tc>
          <w:tcPr>
            <w:tcW w:w="562"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w:t>
            </w:r>
          </w:p>
        </w:tc>
        <w:tc>
          <w:tcPr>
            <w:tcW w:w="139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成渝中线高铁（大足段）</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区交通局</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新开工</w:t>
            </w:r>
          </w:p>
        </w:tc>
        <w:tc>
          <w:tcPr>
            <w:tcW w:w="3257"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新建重庆至成都高速铁路，大足区境内约40公里。</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900000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144500</w:t>
            </w:r>
          </w:p>
        </w:tc>
        <w:tc>
          <w:tcPr>
            <w:tcW w:w="11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55500</w:t>
            </w:r>
          </w:p>
        </w:tc>
        <w:tc>
          <w:tcPr>
            <w:tcW w:w="98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70"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562"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w:t>
            </w:r>
          </w:p>
        </w:tc>
        <w:tc>
          <w:tcPr>
            <w:tcW w:w="139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石刻文化城核心区综合整治</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w:t>
            </w:r>
            <w:r>
              <w:rPr>
                <w:rFonts w:hint="eastAsia" w:ascii="方正兰亭纤黑简体" w:hAnsi="仿宋" w:eastAsia="方正兰亭纤黑简体" w:cs="仿宋"/>
                <w:kern w:val="0"/>
                <w:sz w:val="21"/>
                <w:szCs w:val="21"/>
                <w:lang w:bidi="ar"/>
              </w:rPr>
              <w:br w:type="textWrapping"/>
            </w:r>
            <w:r>
              <w:rPr>
                <w:rFonts w:hint="eastAsia" w:ascii="方正兰亭纤黑简体" w:hAnsi="仿宋" w:eastAsia="方正兰亭纤黑简体" w:cs="仿宋"/>
                <w:kern w:val="0"/>
                <w:sz w:val="21"/>
                <w:szCs w:val="21"/>
                <w:lang w:bidi="ar"/>
              </w:rPr>
              <w:t>管委会</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新开工</w:t>
            </w:r>
          </w:p>
        </w:tc>
        <w:tc>
          <w:tcPr>
            <w:tcW w:w="3257"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石刻文化城核心区约1153亩环境综合整治，配套高铁新城片区市政道路，总长约18.7KM，配套路网周边绿化、环境改造、高铁站前广场</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234000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234000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8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234000</w:t>
            </w:r>
          </w:p>
        </w:tc>
        <w:tc>
          <w:tcPr>
            <w:tcW w:w="7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70"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0" w:hRule="atLeast"/>
        </w:trPr>
        <w:tc>
          <w:tcPr>
            <w:tcW w:w="562"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w:t>
            </w:r>
          </w:p>
        </w:tc>
        <w:tc>
          <w:tcPr>
            <w:tcW w:w="139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大足石刻高铁站站点慢行与接驳研究</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储备</w:t>
            </w:r>
          </w:p>
        </w:tc>
        <w:tc>
          <w:tcPr>
            <w:tcW w:w="3257"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大足石刻高铁站周边慢行与站点交通接驳研究。</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8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w:t>
            </w:r>
          </w:p>
        </w:tc>
        <w:tc>
          <w:tcPr>
            <w:tcW w:w="7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70"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30" w:hRule="atLeast"/>
        </w:trPr>
        <w:tc>
          <w:tcPr>
            <w:tcW w:w="562"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w:t>
            </w:r>
          </w:p>
        </w:tc>
        <w:tc>
          <w:tcPr>
            <w:tcW w:w="139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大足城区至中敖快速通道（G246大足城区至中敖升级工程）</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海棠新城开发区/区交通局</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257"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升级改造城区至中敖快速通道，全长约9.803公里，采用双向四车道（城区段双向六车道），路基宽度19米</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49000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49000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8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70"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435" w:hRule="atLeast"/>
        </w:trPr>
        <w:tc>
          <w:tcPr>
            <w:tcW w:w="562"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w:t>
            </w:r>
          </w:p>
        </w:tc>
        <w:tc>
          <w:tcPr>
            <w:tcW w:w="139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天宫河片区景城融合项目一期（北厅两横道路）</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海棠新城开发区</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257"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北厅的市政道路两横建设，包括规划道路长840米，宽36米，规划道路630米，宽24米。包括道路、给排水等市政管网、照明、交通设施和绿化工程。</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13000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13000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13000</w:t>
            </w:r>
          </w:p>
        </w:tc>
        <w:tc>
          <w:tcPr>
            <w:tcW w:w="98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70"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50" w:hRule="atLeast"/>
        </w:trPr>
        <w:tc>
          <w:tcPr>
            <w:tcW w:w="562"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w:t>
            </w:r>
          </w:p>
        </w:tc>
        <w:tc>
          <w:tcPr>
            <w:tcW w:w="139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北厅一纵一横道路</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海棠新城开发区</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257"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主要建设内容包括北厅西侧一纵市政道路5500米，路幅宽度36米；北厅一横市政道路605米，路幅宽度30米；包括道路、涵洞、综合管廊、桥梁、排水、照明、交通设施和绿化工程等。</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87000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87000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87000</w:t>
            </w:r>
          </w:p>
        </w:tc>
        <w:tc>
          <w:tcPr>
            <w:tcW w:w="98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70"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740" w:hRule="atLeast"/>
        </w:trPr>
        <w:tc>
          <w:tcPr>
            <w:tcW w:w="562"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w:t>
            </w:r>
          </w:p>
        </w:tc>
        <w:tc>
          <w:tcPr>
            <w:tcW w:w="139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大足石刻文化城石窟寺保护利用国际交流基地配套设施路网建设</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w:t>
            </w:r>
            <w:r>
              <w:rPr>
                <w:rFonts w:hint="eastAsia" w:ascii="方正兰亭纤黑简体" w:hAnsi="仿宋" w:eastAsia="方正兰亭纤黑简体" w:cs="仿宋"/>
                <w:kern w:val="0"/>
                <w:sz w:val="21"/>
                <w:szCs w:val="21"/>
                <w:lang w:bidi="ar"/>
              </w:rPr>
              <w:br w:type="textWrapping"/>
            </w:r>
            <w:r>
              <w:rPr>
                <w:rFonts w:hint="eastAsia" w:ascii="方正兰亭纤黑简体" w:hAnsi="仿宋" w:eastAsia="方正兰亭纤黑简体" w:cs="仿宋"/>
                <w:kern w:val="0"/>
                <w:sz w:val="21"/>
                <w:szCs w:val="21"/>
                <w:lang w:bidi="ar"/>
              </w:rPr>
              <w:t>管委会</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257"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建石窟寺保护利用国际交流基地区域路网，总长约3.71公里。其中三条道路总长2.585公里计划2024年完工：昌龙路1000米，路幅宽度50米；佛都大道延伸1085米，路幅宽度24米；规划道路500米，路幅宽度24米；包括道路、涵洞、综合管廊、桥梁、排水、照明、交通设施和绿化工程。</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12000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12000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8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12000</w:t>
            </w:r>
          </w:p>
        </w:tc>
        <w:tc>
          <w:tcPr>
            <w:tcW w:w="7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70"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890" w:hRule="atLeast"/>
        </w:trPr>
        <w:tc>
          <w:tcPr>
            <w:tcW w:w="562"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8</w:t>
            </w:r>
          </w:p>
        </w:tc>
        <w:tc>
          <w:tcPr>
            <w:tcW w:w="139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重庆市大足区化龙溪流域综合整治项目（沿河一纵道路）</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海棠新城开发区</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257"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沿河一纵道路4100米，路幅宽度24米；包括道路、涵洞、桥梁、给排水等市政管网、照明、交通设施和绿化工程。</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27000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27000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8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27000</w:t>
            </w:r>
          </w:p>
        </w:tc>
        <w:tc>
          <w:tcPr>
            <w:tcW w:w="7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70"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2" w:hRule="atLeast"/>
        </w:trPr>
        <w:tc>
          <w:tcPr>
            <w:tcW w:w="562"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9</w:t>
            </w:r>
          </w:p>
        </w:tc>
        <w:tc>
          <w:tcPr>
            <w:tcW w:w="139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北厅次支路网</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海棠新城开发区</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新开工</w:t>
            </w:r>
          </w:p>
        </w:tc>
        <w:tc>
          <w:tcPr>
            <w:tcW w:w="3257"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约5.1公里城市次干道、支路及相关配套建设</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72000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72000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72000</w:t>
            </w:r>
          </w:p>
        </w:tc>
        <w:tc>
          <w:tcPr>
            <w:tcW w:w="98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c>
          <w:tcPr>
            <w:tcW w:w="770"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562"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10</w:t>
            </w:r>
          </w:p>
        </w:tc>
        <w:tc>
          <w:tcPr>
            <w:tcW w:w="139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大足石刻高铁站公交站场</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公交公司</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257"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新增大足石刻高铁新增1个公交站场。</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8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500</w:t>
            </w:r>
          </w:p>
        </w:tc>
        <w:tc>
          <w:tcPr>
            <w:tcW w:w="7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c>
          <w:tcPr>
            <w:tcW w:w="770"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55" w:hRule="atLeast"/>
        </w:trPr>
        <w:tc>
          <w:tcPr>
            <w:tcW w:w="562"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11</w:t>
            </w:r>
          </w:p>
        </w:tc>
        <w:tc>
          <w:tcPr>
            <w:tcW w:w="139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大足石刻文化城石窟寺保护利用国际交流基地配套设施（石刻保护传承基地）</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海棠新城开发区/石刻研究院</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257"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项目位于宝顶镇倒庙村，占地26亩，建筑面积约2.4万</w:t>
            </w:r>
            <w:r>
              <w:rPr>
                <w:rFonts w:hint="eastAsia" w:ascii="Batang" w:hAnsi="Batang" w:eastAsia="Batang" w:cs="Batang"/>
                <w:kern w:val="0"/>
                <w:sz w:val="21"/>
                <w:szCs w:val="21"/>
                <w:lang w:bidi="ar"/>
              </w:rPr>
              <w:t>㎡</w:t>
            </w:r>
            <w:r>
              <w:rPr>
                <w:rFonts w:hint="eastAsia" w:ascii="方正兰亭纤黑简体" w:hAnsi="方正兰亭纤黑简体" w:eastAsia="方正兰亭纤黑简体" w:cs="方正兰亭纤黑简体"/>
                <w:kern w:val="0"/>
                <w:sz w:val="21"/>
                <w:szCs w:val="21"/>
                <w:lang w:bidi="ar"/>
              </w:rPr>
              <w:t>。包含石质文物保护技术研究中心、石窟寺数字化保护与展示中心、石窟寺保护传承交流中心。</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28000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28000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8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28000</w:t>
            </w:r>
          </w:p>
        </w:tc>
        <w:tc>
          <w:tcPr>
            <w:tcW w:w="7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70"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355" w:hRule="atLeast"/>
        </w:trPr>
        <w:tc>
          <w:tcPr>
            <w:tcW w:w="562"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12</w:t>
            </w:r>
          </w:p>
        </w:tc>
        <w:tc>
          <w:tcPr>
            <w:tcW w:w="139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大足石刻文化城石窟寺保护利用国际交流基地配套设施（川渝石窟寺博物馆）</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海棠新城开发区/石刻研究院</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257"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项目位于宝顶镇倒庙村，占地22亩，建筑面积约1万</w:t>
            </w:r>
            <w:r>
              <w:rPr>
                <w:rFonts w:hint="eastAsia" w:ascii="Batang" w:hAnsi="Batang" w:eastAsia="Batang" w:cs="Batang"/>
                <w:kern w:val="0"/>
                <w:sz w:val="21"/>
                <w:szCs w:val="21"/>
                <w:lang w:bidi="ar"/>
              </w:rPr>
              <w:t>㎡</w:t>
            </w:r>
            <w:r>
              <w:rPr>
                <w:rFonts w:hint="eastAsia" w:ascii="方正兰亭纤黑简体" w:hAnsi="方正兰亭纤黑简体" w:eastAsia="方正兰亭纤黑简体" w:cs="方正兰亭纤黑简体"/>
                <w:kern w:val="0"/>
                <w:sz w:val="21"/>
                <w:szCs w:val="21"/>
                <w:lang w:bidi="ar"/>
              </w:rPr>
              <w:t>。建设内容包含：（一）巴蜀石窟博物馆，建设</w:t>
            </w:r>
            <w:r>
              <w:rPr>
                <w:rFonts w:hint="eastAsia" w:ascii="方正兰亭纤黑简体" w:hAnsi="仿宋" w:eastAsia="方正兰亭纤黑简体" w:cs="仿宋"/>
                <w:kern w:val="0"/>
                <w:sz w:val="21"/>
                <w:szCs w:val="21"/>
                <w:lang w:bidi="ar"/>
              </w:rPr>
              <w:t>内容包括文化展示空间、配套服务空间以及对外的临时展示空间等。（二）世界石窟影像馆，项目拟通过图文及数字影像、数字模型等方式进行综合展示，推动中国石窟寺与世界石窟寺的对比研究与成果展示。</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16000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16000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8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16000</w:t>
            </w:r>
          </w:p>
        </w:tc>
        <w:tc>
          <w:tcPr>
            <w:tcW w:w="7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2026</w:t>
            </w:r>
          </w:p>
        </w:tc>
        <w:tc>
          <w:tcPr>
            <w:tcW w:w="770"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10" w:hRule="atLeast"/>
        </w:trPr>
        <w:tc>
          <w:tcPr>
            <w:tcW w:w="562"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13</w:t>
            </w:r>
          </w:p>
        </w:tc>
        <w:tc>
          <w:tcPr>
            <w:tcW w:w="139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海棠湖公园超高层建筑改造项目</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海棠新城开发区/区国资委</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257"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项目占地面积约112亩，建筑面积88162平方米，改造剩余约73168平方米商业</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18000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18000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8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18000</w:t>
            </w:r>
          </w:p>
        </w:tc>
        <w:tc>
          <w:tcPr>
            <w:tcW w:w="7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70"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40" w:hRule="atLeast"/>
        </w:trPr>
        <w:tc>
          <w:tcPr>
            <w:tcW w:w="562"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14</w:t>
            </w:r>
          </w:p>
        </w:tc>
        <w:tc>
          <w:tcPr>
            <w:tcW w:w="139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南北山人文走廊更新项目</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区住房城乡建委</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257"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实施北山路、双塔路、龙岗中路、滨河路沿线及周边更新提升。更新范围占地面积27.38万</w:t>
            </w:r>
            <w:r>
              <w:rPr>
                <w:rFonts w:hint="eastAsia" w:ascii="Batang" w:hAnsi="Batang" w:eastAsia="Batang" w:cs="Batang"/>
                <w:kern w:val="0"/>
                <w:sz w:val="21"/>
                <w:szCs w:val="21"/>
                <w:lang w:bidi="ar"/>
              </w:rPr>
              <w:t>㎡</w:t>
            </w:r>
            <w:r>
              <w:rPr>
                <w:rFonts w:hint="eastAsia" w:ascii="方正兰亭纤黑简体" w:hAnsi="方正兰亭纤黑简体" w:eastAsia="方正兰亭纤黑简体" w:cs="方正兰亭纤黑简体"/>
                <w:kern w:val="0"/>
                <w:sz w:val="21"/>
                <w:szCs w:val="21"/>
                <w:lang w:bidi="ar"/>
              </w:rPr>
              <w:t>，项目涉及改造老旧建筑</w:t>
            </w:r>
            <w:r>
              <w:rPr>
                <w:rFonts w:hint="eastAsia" w:ascii="方正兰亭纤黑简体" w:hAnsi="仿宋" w:eastAsia="方正兰亭纤黑简体" w:cs="仿宋"/>
                <w:kern w:val="0"/>
                <w:sz w:val="21"/>
                <w:szCs w:val="21"/>
                <w:lang w:bidi="ar"/>
              </w:rPr>
              <w:t>490100</w:t>
            </w:r>
            <w:r>
              <w:rPr>
                <w:rFonts w:hint="eastAsia" w:ascii="Batang" w:hAnsi="Batang" w:eastAsia="Batang" w:cs="Batang"/>
                <w:kern w:val="0"/>
                <w:sz w:val="21"/>
                <w:szCs w:val="21"/>
                <w:lang w:bidi="ar"/>
              </w:rPr>
              <w:t>㎡</w:t>
            </w:r>
            <w:r>
              <w:rPr>
                <w:rFonts w:hint="eastAsia" w:ascii="方正兰亭纤黑简体" w:hAnsi="方正兰亭纤黑简体" w:eastAsia="方正兰亭纤黑简体" w:cs="方正兰亭纤黑简体"/>
                <w:kern w:val="0"/>
                <w:sz w:val="21"/>
                <w:szCs w:val="21"/>
                <w:lang w:bidi="ar"/>
              </w:rPr>
              <w:t>，活化商业店铺，打造慢行系统，激活母城区域夜间经济。对北山路、双塔路、龙岗中路、滨河路雨污管网、绿化进行整治提升。新建停车场等。</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14000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14000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8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14000</w:t>
            </w:r>
          </w:p>
        </w:tc>
        <w:tc>
          <w:tcPr>
            <w:tcW w:w="7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70"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40" w:hRule="atLeast"/>
        </w:trPr>
        <w:tc>
          <w:tcPr>
            <w:tcW w:w="562"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15</w:t>
            </w:r>
          </w:p>
        </w:tc>
        <w:tc>
          <w:tcPr>
            <w:tcW w:w="139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大足区大南山片区综合提升项目（南山片区）</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海棠新城开发区/区城管局</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257"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利用南山及西下道口周边土地，进行环境综合整治，加强城市建设，美化城乡环境，进行防火通道建设等，项目占地面积约4000亩，建筑面积约1万平方米。</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8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7000</w:t>
            </w:r>
          </w:p>
        </w:tc>
        <w:tc>
          <w:tcPr>
            <w:tcW w:w="7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70"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40" w:hRule="atLeast"/>
        </w:trPr>
        <w:tc>
          <w:tcPr>
            <w:tcW w:w="562"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16</w:t>
            </w:r>
          </w:p>
        </w:tc>
        <w:tc>
          <w:tcPr>
            <w:tcW w:w="139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北厅城乡融合项目（宝顶小镇焕新）</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海棠新城开发区/区住房城乡建委</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257"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场镇环境治理，宝顶政府至慈航社区、公交站台至卫生院段主要街道绿化系统、临街面房屋适度梳理整治，化龙街道强电弱电线网下地等方面</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8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4000</w:t>
            </w:r>
          </w:p>
        </w:tc>
        <w:tc>
          <w:tcPr>
            <w:tcW w:w="7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70"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040" w:hRule="atLeast"/>
        </w:trPr>
        <w:tc>
          <w:tcPr>
            <w:tcW w:w="562"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17</w:t>
            </w:r>
          </w:p>
        </w:tc>
        <w:tc>
          <w:tcPr>
            <w:tcW w:w="139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北厅城乡融合项目（宝顶镇东岳村美丽家园建设工程）</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海棠新城开发区/区水利局</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257"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：该项目位于宝顶镇东庙村，整治改造移民安置区道路、房屋庭院、污水管网、景观及生态环境等。</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8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w:t>
            </w:r>
          </w:p>
        </w:tc>
        <w:tc>
          <w:tcPr>
            <w:tcW w:w="7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70"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140" w:hRule="atLeast"/>
        </w:trPr>
        <w:tc>
          <w:tcPr>
            <w:tcW w:w="562"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18</w:t>
            </w:r>
          </w:p>
        </w:tc>
        <w:tc>
          <w:tcPr>
            <w:tcW w:w="139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海棠中学学生宿舍建设工程</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区教委</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257"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建设学生宿舍6600平方米和篮球场，以及设备设施</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4500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4500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4500</w:t>
            </w:r>
          </w:p>
        </w:tc>
        <w:tc>
          <w:tcPr>
            <w:tcW w:w="98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70"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5" w:hRule="atLeast"/>
        </w:trPr>
        <w:tc>
          <w:tcPr>
            <w:tcW w:w="562"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19</w:t>
            </w:r>
          </w:p>
        </w:tc>
        <w:tc>
          <w:tcPr>
            <w:tcW w:w="139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荷棠小学建设工程</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区教委</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257"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规划4</w:t>
            </w:r>
            <w:r>
              <w:rPr>
                <w:rFonts w:ascii="方正兰亭纤黑简体" w:hAnsi="仿宋" w:eastAsia="方正兰亭纤黑简体" w:cs="仿宋"/>
                <w:kern w:val="0"/>
                <w:sz w:val="21"/>
                <w:szCs w:val="21"/>
                <w:lang w:bidi="ar"/>
              </w:rPr>
              <w:t>8</w:t>
            </w:r>
            <w:r>
              <w:rPr>
                <w:rFonts w:hint="eastAsia" w:ascii="方正兰亭纤黑简体" w:hAnsi="仿宋" w:eastAsia="方正兰亭纤黑简体" w:cs="仿宋"/>
                <w:kern w:val="0"/>
                <w:sz w:val="21"/>
                <w:szCs w:val="21"/>
                <w:lang w:bidi="ar"/>
              </w:rPr>
              <w:t>个班2000人，新征地71亩，总建筑面积约24200平方米，以及设备设施</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25000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25000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2000</w:t>
            </w:r>
          </w:p>
        </w:tc>
        <w:tc>
          <w:tcPr>
            <w:tcW w:w="11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18000</w:t>
            </w:r>
          </w:p>
        </w:tc>
        <w:tc>
          <w:tcPr>
            <w:tcW w:w="98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70"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95" w:hRule="atLeast"/>
        </w:trPr>
        <w:tc>
          <w:tcPr>
            <w:tcW w:w="562"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w:t>
            </w:r>
          </w:p>
        </w:tc>
        <w:tc>
          <w:tcPr>
            <w:tcW w:w="139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五星学校</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海棠新城开发区/区教委</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257"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规划54个班2500人，新征地85亩，总建筑面积约3.25万平方米，以及设备设施</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32000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32000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32000</w:t>
            </w:r>
          </w:p>
        </w:tc>
        <w:tc>
          <w:tcPr>
            <w:tcW w:w="98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70"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2595" w:hRule="atLeast"/>
        </w:trPr>
        <w:tc>
          <w:tcPr>
            <w:tcW w:w="562"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21</w:t>
            </w:r>
          </w:p>
        </w:tc>
        <w:tc>
          <w:tcPr>
            <w:tcW w:w="139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宝顶镇希望小学扩建</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海棠新城开发区/区教委</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257"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新征地15亩，新建校舍面积6000平方米，运动场及附属工程，设备设施。</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6000</w:t>
            </w:r>
          </w:p>
        </w:tc>
        <w:tc>
          <w:tcPr>
            <w:tcW w:w="98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70"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5" w:hRule="atLeast"/>
        </w:trPr>
        <w:tc>
          <w:tcPr>
            <w:tcW w:w="562"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22</w:t>
            </w:r>
          </w:p>
        </w:tc>
        <w:tc>
          <w:tcPr>
            <w:tcW w:w="139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中医院特色重点医院</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海棠新城开发区/区卫生健康委</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257"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占地面积约7.37亩，建筑面积约3.6万平方米，主要建设内容为一号楼（</w:t>
            </w:r>
            <w:r>
              <w:rPr>
                <w:rFonts w:hint="eastAsia" w:ascii="方正兰亭纤黑简体" w:hAnsi="仿宋" w:eastAsia="方正兰亭纤黑简体" w:cs="仿宋"/>
                <w:kern w:val="0"/>
                <w:sz w:val="21"/>
                <w:szCs w:val="21"/>
                <w:lang w:eastAsia="zh-CN" w:bidi="ar"/>
              </w:rPr>
              <w:t>老干部局</w:t>
            </w:r>
            <w:r>
              <w:rPr>
                <w:rFonts w:hint="eastAsia" w:ascii="方正兰亭纤黑简体" w:hAnsi="仿宋" w:eastAsia="方正兰亭纤黑简体" w:cs="仿宋"/>
                <w:kern w:val="0"/>
                <w:sz w:val="21"/>
                <w:szCs w:val="21"/>
                <w:lang w:bidi="ar"/>
              </w:rPr>
              <w:t>），负一、二层为设备用房，及部分医用设备采购。</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w:t>
            </w:r>
            <w:r>
              <w:rPr>
                <w:rFonts w:ascii="方正兰亭纤黑简体" w:hAnsi="仿宋" w:eastAsia="方正兰亭纤黑简体" w:cs="仿宋"/>
                <w:kern w:val="0"/>
                <w:sz w:val="21"/>
                <w:szCs w:val="21"/>
                <w:lang w:bidi="ar"/>
              </w:rPr>
              <w:t>39</w:t>
            </w:r>
            <w:r>
              <w:rPr>
                <w:rFonts w:hint="eastAsia" w:ascii="方正兰亭纤黑简体" w:hAnsi="仿宋" w:eastAsia="方正兰亭纤黑简体" w:cs="仿宋"/>
                <w:kern w:val="0"/>
                <w:sz w:val="21"/>
                <w:szCs w:val="21"/>
                <w:lang w:bidi="ar"/>
              </w:rPr>
              <w:t>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w:t>
            </w:r>
            <w:r>
              <w:rPr>
                <w:rFonts w:ascii="方正兰亭纤黑简体" w:hAnsi="仿宋" w:eastAsia="方正兰亭纤黑简体" w:cs="仿宋"/>
                <w:kern w:val="0"/>
                <w:sz w:val="21"/>
                <w:szCs w:val="21"/>
                <w:lang w:bidi="ar"/>
              </w:rPr>
              <w:t>39</w:t>
            </w:r>
            <w:r>
              <w:rPr>
                <w:rFonts w:hint="eastAsia" w:ascii="方正兰亭纤黑简体" w:hAnsi="仿宋" w:eastAsia="方正兰亭纤黑简体" w:cs="仿宋"/>
                <w:kern w:val="0"/>
                <w:sz w:val="21"/>
                <w:szCs w:val="21"/>
                <w:lang w:bidi="ar"/>
              </w:rPr>
              <w:t>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w:t>
            </w:r>
            <w:r>
              <w:rPr>
                <w:rFonts w:ascii="方正兰亭纤黑简体" w:hAnsi="仿宋" w:eastAsia="方正兰亭纤黑简体" w:cs="仿宋"/>
                <w:kern w:val="0"/>
                <w:sz w:val="21"/>
                <w:szCs w:val="21"/>
                <w:lang w:bidi="ar"/>
              </w:rPr>
              <w:t>39</w:t>
            </w:r>
            <w:r>
              <w:rPr>
                <w:rFonts w:hint="eastAsia" w:ascii="方正兰亭纤黑简体" w:hAnsi="仿宋" w:eastAsia="方正兰亭纤黑简体" w:cs="仿宋"/>
                <w:kern w:val="0"/>
                <w:sz w:val="21"/>
                <w:szCs w:val="21"/>
                <w:lang w:bidi="ar"/>
              </w:rPr>
              <w:t>00</w:t>
            </w:r>
          </w:p>
        </w:tc>
        <w:tc>
          <w:tcPr>
            <w:tcW w:w="98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70"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75" w:hRule="atLeast"/>
        </w:trPr>
        <w:tc>
          <w:tcPr>
            <w:tcW w:w="562"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23</w:t>
            </w:r>
          </w:p>
        </w:tc>
        <w:tc>
          <w:tcPr>
            <w:tcW w:w="139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区域医疗康养中心（医疗中心）</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海棠新城开发区/区卫生健康委/区中医院</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257"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建设地点位于高铁新城，占地面积约114亩，建筑面积约6万平方米，主要承接体检、医疗、培训、康养等服务。</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56000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56000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98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56000</w:t>
            </w:r>
          </w:p>
        </w:tc>
        <w:tc>
          <w:tcPr>
            <w:tcW w:w="7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70"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5" w:hRule="atLeast"/>
        </w:trPr>
        <w:tc>
          <w:tcPr>
            <w:tcW w:w="562"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24</w:t>
            </w:r>
          </w:p>
        </w:tc>
        <w:tc>
          <w:tcPr>
            <w:tcW w:w="139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重庆市大足区化龙溪流域综合整治项目（河道整治及绿化）</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海棠新城开发区/区水利局</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257"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建设地点位于宝顶镇、棠香街道，占地面积约1620亩，河道长度7.8公里，项目以化龙溪为主线，对流域、绿化、管网、照明、河道整治、周边绿化环境等综合整治提升开发。</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239000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239000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239000</w:t>
            </w:r>
          </w:p>
        </w:tc>
        <w:tc>
          <w:tcPr>
            <w:tcW w:w="98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70"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5" w:hRule="atLeast"/>
        </w:trPr>
        <w:tc>
          <w:tcPr>
            <w:tcW w:w="562"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25</w:t>
            </w:r>
          </w:p>
        </w:tc>
        <w:tc>
          <w:tcPr>
            <w:tcW w:w="139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天宫河片区景城融合项目一期（海棠公园二期）</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海棠新城开发区</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257"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建设地点位于智凤镇茅里堡社区、智凤镇田坝社区，占地面积约249亩，建设内容包括土石方工程、景观工程、建筑工程、桥梁工程、绿化工程、安装工程、拦河堰工程、水体范围防渗处理工程等。</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31000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31000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31000</w:t>
            </w:r>
          </w:p>
        </w:tc>
        <w:tc>
          <w:tcPr>
            <w:tcW w:w="98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70"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95" w:hRule="atLeast"/>
        </w:trPr>
        <w:tc>
          <w:tcPr>
            <w:tcW w:w="562"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26</w:t>
            </w:r>
          </w:p>
        </w:tc>
        <w:tc>
          <w:tcPr>
            <w:tcW w:w="139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大足区大南山片区综合提升项目（西下道口至东厅绿廊）</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海棠新城开发区</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257"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连接南山至海棠公园的城市绿廊，位于三环南路三合片区。</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14000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14000</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14000</w:t>
            </w:r>
          </w:p>
        </w:tc>
        <w:tc>
          <w:tcPr>
            <w:tcW w:w="98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c>
          <w:tcPr>
            <w:tcW w:w="770"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397" w:hRule="atLeast"/>
        </w:trPr>
        <w:tc>
          <w:tcPr>
            <w:tcW w:w="562"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w:t>
            </w:r>
            <w:r>
              <w:rPr>
                <w:rFonts w:ascii="方正兰亭纤黑简体" w:hAnsi="仿宋" w:eastAsia="方正兰亭纤黑简体" w:cs="仿宋"/>
                <w:kern w:val="0"/>
                <w:sz w:val="21"/>
                <w:szCs w:val="21"/>
                <w:lang w:bidi="ar"/>
              </w:rPr>
              <w:t>7</w:t>
            </w:r>
          </w:p>
        </w:tc>
        <w:tc>
          <w:tcPr>
            <w:tcW w:w="139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大足石刻数字博物馆</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大足石刻研究院</w:t>
            </w:r>
          </w:p>
        </w:tc>
        <w:tc>
          <w:tcPr>
            <w:tcW w:w="86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完工</w:t>
            </w:r>
          </w:p>
        </w:tc>
        <w:tc>
          <w:tcPr>
            <w:tcW w:w="3257"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1.建设大足石刻云上博物馆。以大足石刻“五山”石窟为重点，集中采集大足石刻数据资源，利用数字化技术对石刻文物进行全方位的展示，满足公众线上游览观赏大足石刻的服务需求。</w:t>
            </w:r>
            <w:r>
              <w:rPr>
                <w:rFonts w:hint="eastAsia" w:ascii="方正兰亭纤黑简体" w:hAnsi="仿宋" w:eastAsia="方正兰亭纤黑简体" w:cs="仿宋"/>
                <w:kern w:val="0"/>
                <w:sz w:val="21"/>
                <w:szCs w:val="21"/>
                <w:lang w:bidi="ar"/>
              </w:rPr>
              <w:br w:type="textWrapping"/>
            </w:r>
            <w:r>
              <w:rPr>
                <w:rFonts w:hint="eastAsia" w:ascii="方正兰亭纤黑简体" w:hAnsi="仿宋" w:eastAsia="方正兰亭纤黑简体" w:cs="仿宋"/>
                <w:kern w:val="0"/>
                <w:sz w:val="21"/>
                <w:szCs w:val="21"/>
                <w:lang w:bidi="ar"/>
              </w:rPr>
              <w:t>2.建设大足石刻中英文门户网站。网站涵盖数字游览、学术研究、社会教育、咨询服务等功能模块，推出中文版、英文版、移动版三个版本，满足公众了解认知大足石刻的各种层次的文化需求，实现网站对标国际化的建设目标。</w:t>
            </w:r>
            <w:r>
              <w:rPr>
                <w:rFonts w:hint="eastAsia" w:ascii="方正兰亭纤黑简体" w:hAnsi="仿宋" w:eastAsia="方正兰亭纤黑简体" w:cs="仿宋"/>
                <w:kern w:val="0"/>
                <w:sz w:val="21"/>
                <w:szCs w:val="21"/>
                <w:lang w:bidi="ar"/>
              </w:rPr>
              <w:br w:type="textWrapping"/>
            </w:r>
            <w:r>
              <w:rPr>
                <w:rFonts w:hint="eastAsia" w:ascii="方正兰亭纤黑简体" w:hAnsi="仿宋" w:eastAsia="方正兰亭纤黑简体" w:cs="仿宋"/>
                <w:kern w:val="0"/>
                <w:sz w:val="21"/>
                <w:szCs w:val="21"/>
                <w:lang w:bidi="ar"/>
              </w:rPr>
              <w:t>3.建设大足石刻数字化工作室。用于持续生产保护、研究和传承利用的数字内容，以满足数字博物馆和网站内容运维更新需求。</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365</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365</w:t>
            </w:r>
          </w:p>
        </w:tc>
        <w:tc>
          <w:tcPr>
            <w:tcW w:w="1134"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11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365</w:t>
            </w:r>
          </w:p>
        </w:tc>
        <w:tc>
          <w:tcPr>
            <w:tcW w:w="983"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w:t>
            </w:r>
          </w:p>
        </w:tc>
        <w:tc>
          <w:tcPr>
            <w:tcW w:w="726"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2022</w:t>
            </w:r>
          </w:p>
        </w:tc>
        <w:tc>
          <w:tcPr>
            <w:tcW w:w="770" w:type="dxa"/>
            <w:vAlign w:val="center"/>
          </w:tcPr>
          <w:p>
            <w:pPr>
              <w:pStyle w:val="2"/>
              <w:ind w:firstLine="0" w:firstLineChars="0"/>
              <w:jc w:val="center"/>
              <w:rPr>
                <w:rFonts w:ascii="方正兰亭纤黑简体" w:hAnsi="仿宋" w:eastAsia="方正兰亭纤黑简体" w:cs="仿宋"/>
                <w:kern w:val="0"/>
                <w:sz w:val="21"/>
                <w:szCs w:val="21"/>
                <w:lang w:bidi="ar"/>
              </w:rPr>
            </w:pPr>
            <w:r>
              <w:rPr>
                <w:rFonts w:hint="eastAsia" w:ascii="方正兰亭纤黑简体" w:hAnsi="仿宋" w:eastAsia="方正兰亭纤黑简体" w:cs="仿宋"/>
                <w:kern w:val="0"/>
                <w:sz w:val="21"/>
                <w:szCs w:val="21"/>
                <w:lang w:bidi="ar"/>
              </w:rPr>
              <w:t>2023</w:t>
            </w:r>
          </w:p>
        </w:tc>
      </w:tr>
    </w:tbl>
    <w:p>
      <w:pPr>
        <w:pStyle w:val="2"/>
        <w:ind w:firstLine="640"/>
        <w:rPr>
          <w:rFonts w:ascii="方正兰亭纤黑简体" w:eastAsia="方正兰亭纤黑简体"/>
        </w:rPr>
      </w:pPr>
    </w:p>
    <w:sectPr>
      <w:pgSz w:w="16838" w:h="11906" w:orient="landscape"/>
      <w:pgMar w:top="1800" w:right="1440" w:bottom="1800" w:left="1440" w:header="851" w:footer="992" w:gutter="0"/>
      <w:pgNumType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embedRegular r:id="rId1" w:fontKey="{C9CDF4A7-40E3-4070-9839-C4D97FBA42E1}"/>
  </w:font>
  <w:font w:name="方正仿宋_GBK">
    <w:panose1 w:val="03000509000000000000"/>
    <w:charset w:val="86"/>
    <w:family w:val="auto"/>
    <w:pitch w:val="default"/>
    <w:sig w:usb0="00000001" w:usb1="080E0000" w:usb2="00000000" w:usb3="00000000" w:csb0="00040000" w:csb1="00000000"/>
    <w:embedRegular r:id="rId2" w:fontKey="{B1025930-910C-4378-AE9B-0CEF417D5BDB}"/>
  </w:font>
  <w:font w:name="方正黑体_GBK">
    <w:panose1 w:val="03000509000000000000"/>
    <w:charset w:val="86"/>
    <w:family w:val="script"/>
    <w:pitch w:val="default"/>
    <w:sig w:usb0="00000001" w:usb1="080E0000" w:usb2="00000000" w:usb3="00000000" w:csb0="00040000" w:csb1="00000000"/>
  </w:font>
  <w:font w:name="方正楷体_GBK">
    <w:panose1 w:val="03000509000000000000"/>
    <w:charset w:val="86"/>
    <w:family w:val="auto"/>
    <w:pitch w:val="default"/>
    <w:sig w:usb0="00000001" w:usb1="080E0000" w:usb2="00000000" w:usb3="00000000" w:csb0="00040000" w:csb1="00000000"/>
  </w:font>
  <w:font w:name="Calibri Light">
    <w:altName w:val="Calibri"/>
    <w:panose1 w:val="020F0302020204030204"/>
    <w:charset w:val="00"/>
    <w:family w:val="swiss"/>
    <w:pitch w:val="default"/>
    <w:sig w:usb0="00000000" w:usb1="00000000" w:usb2="00000009" w:usb3="00000000" w:csb0="200001FF" w:csb1="00000000"/>
  </w:font>
  <w:font w:name="仿宋_GB2312">
    <w:altName w:val="仿宋"/>
    <w:panose1 w:val="02010609030101010101"/>
    <w:charset w:val="86"/>
    <w:family w:val="modern"/>
    <w:pitch w:val="default"/>
    <w:sig w:usb0="00000000" w:usb1="00000000" w:usb2="00000010" w:usb3="00000000" w:csb0="00040000" w:csb1="00000000"/>
  </w:font>
  <w:font w:name="Tahoma">
    <w:panose1 w:val="020B0604030504040204"/>
    <w:charset w:val="00"/>
    <w:family w:val="swiss"/>
    <w:pitch w:val="default"/>
    <w:sig w:usb0="E1002EFF" w:usb1="C000605B" w:usb2="00000029" w:usb3="00000000" w:csb0="200101FF" w:csb1="20280000"/>
  </w:font>
  <w:font w:name="仿宋">
    <w:panose1 w:val="02010609060101010101"/>
    <w:charset w:val="86"/>
    <w:family w:val="modern"/>
    <w:pitch w:val="default"/>
    <w:sig w:usb0="800002BF" w:usb1="38CF7CFA" w:usb2="00000016" w:usb3="00000000" w:csb0="00040001" w:csb1="00000000"/>
    <w:embedRegular r:id="rId3" w:fontKey="{18069B9A-2C1C-4C9A-BD8A-070AEC2A9C3A}"/>
  </w:font>
  <w:font w:name="方正兰亭粗黑简体">
    <w:panose1 w:val="02000000000000000000"/>
    <w:charset w:val="86"/>
    <w:family w:val="auto"/>
    <w:pitch w:val="default"/>
    <w:sig w:usb0="00000000" w:usb1="00000000" w:usb2="00000000" w:usb3="00000000" w:csb0="00000000" w:csb1="00000000"/>
    <w:embedRegular r:id="rId4" w:fontKey="{DC42CA84-B997-4816-9943-AF1C5C8A8C5A}"/>
  </w:font>
  <w:font w:name="方正兰亭纤黑简体">
    <w:panose1 w:val="03000509000000000000"/>
    <w:charset w:val="86"/>
    <w:family w:val="script"/>
    <w:pitch w:val="default"/>
    <w:sig w:usb0="00000000" w:usb1="00000000" w:usb2="00000000" w:usb3="00000000" w:csb0="00000000" w:csb1="00000000"/>
    <w:embedRegular r:id="rId5" w:fontKey="{D33CD5CC-5C55-4DC7-B47C-204C7B815986}"/>
  </w:font>
  <w:font w:name="Batang">
    <w:panose1 w:val="02030600000101010101"/>
    <w:charset w:val="81"/>
    <w:family w:val="roman"/>
    <w:pitch w:val="default"/>
    <w:sig w:usb0="B00002AF" w:usb1="69D77CFB" w:usb2="00000030" w:usb3="00000000" w:csb0="4008009F" w:csb1="DFD70000"/>
    <w:embedRegular r:id="rId6" w:fontKey="{3AB72086-35C2-4C8E-9D06-6325CC2BD9E3}"/>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360"/>
      <w:jc w:val="center"/>
    </w:pPr>
  </w:p>
  <w:p>
    <w:pPr>
      <w:pStyle w:val="14"/>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4"/>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862743242"/>
    </w:sdtPr>
    <w:sdtContent>
      <w:p>
        <w:pPr>
          <w:pStyle w:val="14"/>
          <w:ind w:firstLine="360"/>
          <w:jc w:val="center"/>
        </w:pPr>
        <w:r>
          <w:fldChar w:fldCharType="begin"/>
        </w:r>
        <w:r>
          <w:instrText xml:space="preserve">PAGE   \* MERGEFORMAT</w:instrText>
        </w:r>
        <w:r>
          <w:fldChar w:fldCharType="separate"/>
        </w:r>
        <w:r>
          <w:rPr>
            <w:lang w:val="zh-CN"/>
          </w:rPr>
          <w:t>5</w:t>
        </w:r>
        <w:r>
          <w:fldChar w:fldCharType="end"/>
        </w:r>
      </w:p>
    </w:sdtContent>
  </w:sdt>
  <w:p>
    <w:pPr>
      <w:pStyle w:val="14"/>
      <w:ind w:firstLine="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45975627"/>
    </w:sdtPr>
    <w:sdtContent>
      <w:p>
        <w:pPr>
          <w:pStyle w:val="14"/>
          <w:ind w:firstLine="360"/>
          <w:jc w:val="center"/>
        </w:pPr>
        <w:r>
          <w:fldChar w:fldCharType="begin"/>
        </w:r>
        <w:r>
          <w:instrText xml:space="preserve">PAGE   \* MERGEFORMAT</w:instrText>
        </w:r>
        <w:r>
          <w:fldChar w:fldCharType="separate"/>
        </w:r>
        <w:r>
          <w:rPr>
            <w:lang w:val="zh-CN"/>
          </w:rPr>
          <w:t>1</w:t>
        </w:r>
        <w:r>
          <w:fldChar w:fldCharType="end"/>
        </w:r>
      </w:p>
    </w:sdtContent>
  </w:sdt>
  <w:p>
    <w:pPr>
      <w:pStyle w:val="14"/>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175488769"/>
    </w:sdtPr>
    <w:sdtContent>
      <w:p>
        <w:pPr>
          <w:pStyle w:val="14"/>
          <w:ind w:firstLine="360"/>
          <w:jc w:val="center"/>
        </w:pPr>
        <w:r>
          <w:fldChar w:fldCharType="begin"/>
        </w:r>
        <w:r>
          <w:instrText xml:space="preserve">PAGE   \* MERGEFORMAT</w:instrText>
        </w:r>
        <w:r>
          <w:fldChar w:fldCharType="separate"/>
        </w:r>
        <w:r>
          <w:rPr>
            <w:lang w:val="zh-CN"/>
          </w:rPr>
          <w:t>60</w:t>
        </w:r>
        <w:r>
          <w:fldChar w:fldCharType="end"/>
        </w:r>
      </w:p>
    </w:sdtContent>
  </w:sdt>
  <w:p>
    <w:pPr>
      <w:pStyle w:val="14"/>
      <w:ind w:firstLine="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none" w:color="auto" w:sz="0" w:space="0"/>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Bdr>
        <w:bottom w:val="none" w:color="auto" w:sz="0" w:space="0"/>
      </w:pBdr>
      <w:ind w:firstLine="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1"/>
      </w:pBdr>
      <w:tabs>
        <w:tab w:val="right" w:pos="8306"/>
      </w:tabs>
      <w:spacing w:line="240" w:lineRule="auto"/>
      <w:ind w:firstLine="770" w:firstLineChars="350"/>
      <w:rPr>
        <w:rFonts w:ascii="方正兰亭纤黑简体" w:eastAsia="方正兰亭纤黑简体"/>
        <w:sz w:val="24"/>
      </w:rPr>
    </w:pPr>
    <w:r>
      <w:rPr>
        <w:rFonts w:hint="eastAsia" w:ascii="方正兰亭纤黑简体" w:eastAsia="方正兰亭纤黑简体"/>
        <w:sz w:val="22"/>
      </w:rPr>
      <w:drawing>
        <wp:anchor distT="0" distB="0" distL="114300" distR="114300" simplePos="0" relativeHeight="251660288" behindDoc="1" locked="0" layoutInCell="1" allowOverlap="1">
          <wp:simplePos x="0" y="0"/>
          <wp:positionH relativeFrom="column">
            <wp:posOffset>7620</wp:posOffset>
          </wp:positionH>
          <wp:positionV relativeFrom="paragraph">
            <wp:posOffset>-6985</wp:posOffset>
          </wp:positionV>
          <wp:extent cx="457200" cy="219710"/>
          <wp:effectExtent l="0" t="0" r="0" b="9525"/>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457200" cy="219600"/>
                  </a:xfrm>
                  <a:prstGeom prst="rect">
                    <a:avLst/>
                  </a:prstGeom>
                </pic:spPr>
              </pic:pic>
            </a:graphicData>
          </a:graphic>
        </wp:anchor>
      </w:drawing>
    </w:r>
    <w:r>
      <w:rPr>
        <w:rFonts w:hint="eastAsia" w:ascii="方正兰亭纤黑简体" w:eastAsia="方正兰亭纤黑简体"/>
        <w:sz w:val="21"/>
      </w:rPr>
      <w:t>大足区城市基础设施建设规划（2021-2025年）</w:t>
    </w:r>
    <w:r>
      <w:rPr>
        <w:rFonts w:hint="eastAsia" w:ascii="方正兰亭纤黑简体" w:eastAsia="方正兰亭纤黑简体"/>
        <w:sz w:val="22"/>
      </w:rPr>
      <w:tab/>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Bdr>
        <w:bottom w:val="single" w:color="auto" w:sz="4" w:space="1"/>
      </w:pBdr>
      <w:tabs>
        <w:tab w:val="right" w:pos="8306"/>
      </w:tabs>
      <w:spacing w:line="240" w:lineRule="auto"/>
      <w:ind w:firstLine="770" w:firstLineChars="350"/>
      <w:rPr>
        <w:rFonts w:ascii="方正兰亭纤黑简体" w:eastAsia="方正兰亭纤黑简体"/>
        <w:sz w:val="24"/>
      </w:rPr>
    </w:pPr>
    <w:r>
      <w:rPr>
        <w:rFonts w:hint="eastAsia" w:ascii="方正兰亭纤黑简体" w:eastAsia="方正兰亭纤黑简体"/>
        <w:sz w:val="22"/>
      </w:rPr>
      <w:drawing>
        <wp:anchor distT="0" distB="0" distL="114300" distR="114300" simplePos="0" relativeHeight="251659264" behindDoc="1" locked="0" layoutInCell="1" allowOverlap="1">
          <wp:simplePos x="0" y="0"/>
          <wp:positionH relativeFrom="column">
            <wp:posOffset>7620</wp:posOffset>
          </wp:positionH>
          <wp:positionV relativeFrom="paragraph">
            <wp:posOffset>-6985</wp:posOffset>
          </wp:positionV>
          <wp:extent cx="457200" cy="219710"/>
          <wp:effectExtent l="0" t="0" r="0" b="9525"/>
          <wp:wrapNone/>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457200" cy="219600"/>
                  </a:xfrm>
                  <a:prstGeom prst="rect">
                    <a:avLst/>
                  </a:prstGeom>
                </pic:spPr>
              </pic:pic>
            </a:graphicData>
          </a:graphic>
        </wp:anchor>
      </w:drawing>
    </w:r>
    <w:r>
      <w:rPr>
        <w:rFonts w:hint="eastAsia" w:ascii="方正兰亭纤黑简体" w:eastAsia="方正兰亭纤黑简体"/>
        <w:sz w:val="21"/>
      </w:rPr>
      <w:t>大足区城市基础设施建设2021-2025规划（2021-2025年）</w:t>
    </w:r>
    <w:r>
      <w:rPr>
        <w:rFonts w:hint="eastAsia" w:ascii="方正兰亭纤黑简体" w:eastAsia="方正兰亭纤黑简体"/>
        <w:sz w:val="22"/>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B9A46DD2"/>
    <w:multiLevelType w:val="singleLevel"/>
    <w:tmpl w:val="B9A46DD2"/>
    <w:lvl w:ilvl="0" w:tentative="0">
      <w:start w:val="1"/>
      <w:numFmt w:val="chineseCounting"/>
      <w:suff w:val="nothing"/>
      <w:lvlText w:val="（%1）"/>
      <w:lvlJc w:val="left"/>
      <w:rPr>
        <w:rFonts w:hint="eastAsia"/>
      </w:rPr>
    </w:lvl>
  </w:abstractNum>
  <w:abstractNum w:abstractNumId="1">
    <w:nsid w:val="0B8E7533"/>
    <w:multiLevelType w:val="singleLevel"/>
    <w:tmpl w:val="0B8E7533"/>
    <w:lvl w:ilvl="0" w:tentative="0">
      <w:start w:val="1"/>
      <w:numFmt w:val="chineseCounting"/>
      <w:suff w:val="nothing"/>
      <w:lvlText w:val="（%1）"/>
      <w:lvlJc w:val="left"/>
      <w:rPr>
        <w:rFonts w:hint="eastAsia"/>
      </w:rPr>
    </w:lvl>
  </w:abstractNum>
  <w:abstractNum w:abstractNumId="2">
    <w:nsid w:val="44955BE8"/>
    <w:multiLevelType w:val="multilevel"/>
    <w:tmpl w:val="44955BE8"/>
    <w:lvl w:ilvl="0" w:tentative="0">
      <w:start w:val="1"/>
      <w:numFmt w:val="chineseCountingThousand"/>
      <w:pStyle w:val="3"/>
      <w:lvlText w:val="第%1篇 "/>
      <w:lvlJc w:val="left"/>
      <w:pPr>
        <w:ind w:left="0" w:firstLine="0"/>
      </w:pPr>
      <w:rPr>
        <w:rFonts w:hint="eastAsia"/>
      </w:rPr>
    </w:lvl>
    <w:lvl w:ilvl="1" w:tentative="0">
      <w:start w:val="1"/>
      <w:numFmt w:val="chineseCountingThousand"/>
      <w:pStyle w:val="4"/>
      <w:lvlText w:val="第%2章 "/>
      <w:lvlJc w:val="left"/>
      <w:pPr>
        <w:ind w:left="5388" w:firstLine="0"/>
      </w:pPr>
      <w:rPr>
        <w:rFonts w:hint="eastAsia"/>
      </w:rPr>
    </w:lvl>
    <w:lvl w:ilvl="2" w:tentative="0">
      <w:start w:val="1"/>
      <w:numFmt w:val="chineseCountingThousand"/>
      <w:pStyle w:val="5"/>
      <w:lvlText w:val="第%3节"/>
      <w:lvlJc w:val="left"/>
      <w:pPr>
        <w:ind w:left="4395" w:firstLine="0"/>
      </w:pPr>
      <w:rPr>
        <w:rFonts w:hint="eastAsia"/>
      </w:rPr>
    </w:lvl>
    <w:lvl w:ilvl="3" w:tentative="0">
      <w:start w:val="1"/>
      <w:numFmt w:val="decimal"/>
      <w:lvlText w:val="%1.%2.%3.%4"/>
      <w:lvlJc w:val="left"/>
      <w:pPr>
        <w:ind w:left="0" w:firstLine="0"/>
      </w:pPr>
      <w:rPr>
        <w:rFonts w:hint="eastAsia"/>
      </w:rPr>
    </w:lvl>
    <w:lvl w:ilvl="4" w:tentative="0">
      <w:start w:val="1"/>
      <w:numFmt w:val="decimal"/>
      <w:isLgl/>
      <w:lvlText w:val="表%1-%5 "/>
      <w:lvlJc w:val="left"/>
      <w:pPr>
        <w:ind w:left="2551" w:hanging="850"/>
      </w:pPr>
      <w:rPr>
        <w:rFonts w:hint="eastAsia"/>
      </w:rPr>
    </w:lvl>
    <w:lvl w:ilvl="5" w:tentative="0">
      <w:start w:val="1"/>
      <w:numFmt w:val="decimal"/>
      <w:lvlText w:val="%1.%2.%3.%4.%5.%6"/>
      <w:lvlJc w:val="left"/>
      <w:pPr>
        <w:ind w:left="3260" w:hanging="1134"/>
      </w:pPr>
      <w:rPr>
        <w:rFonts w:hint="eastAsia"/>
      </w:rPr>
    </w:lvl>
    <w:lvl w:ilvl="6" w:tentative="0">
      <w:start w:val="1"/>
      <w:numFmt w:val="decimal"/>
      <w:lvlText w:val="%1.%2.%3.%4.%5.%6.%7"/>
      <w:lvlJc w:val="left"/>
      <w:pPr>
        <w:ind w:left="3827" w:hanging="1276"/>
      </w:pPr>
      <w:rPr>
        <w:rFonts w:hint="eastAsia"/>
      </w:rPr>
    </w:lvl>
    <w:lvl w:ilvl="7" w:tentative="0">
      <w:start w:val="1"/>
      <w:numFmt w:val="decimal"/>
      <w:lvlText w:val="%1.%2.%3.%4.%5.%6.%7.%8"/>
      <w:lvlJc w:val="left"/>
      <w:pPr>
        <w:ind w:left="4394" w:hanging="1418"/>
      </w:pPr>
      <w:rPr>
        <w:rFonts w:hint="eastAsia"/>
      </w:rPr>
    </w:lvl>
    <w:lvl w:ilvl="8" w:tentative="0">
      <w:start w:val="1"/>
      <w:numFmt w:val="decimal"/>
      <w:lvlText w:val="%1.%2.%3.%4.%5.%6.%7.%8.%9"/>
      <w:lvlJc w:val="left"/>
      <w:pPr>
        <w:ind w:left="5102" w:hanging="1700"/>
      </w:pPr>
      <w:rPr>
        <w:rFonts w:hint="eastAsia"/>
      </w:rPr>
    </w:lvl>
  </w:abstractNum>
  <w:num w:numId="1">
    <w:abstractNumId w:val="2"/>
  </w:num>
  <w:num w:numId="2">
    <w:abstractNumId w:val="2"/>
    <w:lvlOverride w:ilvl="0">
      <w:startOverride w:val="1"/>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saveSubsetFonts/>
  <w:bordersDoNotSurroundHeader w:val="1"/>
  <w:bordersDoNotSurroundFooter w:val="1"/>
  <w:hideSpellingErrors/>
  <w:hideGrammaticalErrors/>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zk5MzQ5NmFiYWNmZTFhMGMzODI1M2VjMjRiODkzZjQifQ=="/>
    <w:docVar w:name="KSO_WPS_MARK_KEY" w:val="f239252a-6d66-43c0-877a-27785bdde452"/>
  </w:docVars>
  <w:rsids>
    <w:rsidRoot w:val="00172A27"/>
    <w:rsid w:val="00000808"/>
    <w:rsid w:val="00003A59"/>
    <w:rsid w:val="000050FF"/>
    <w:rsid w:val="000111DA"/>
    <w:rsid w:val="000161C7"/>
    <w:rsid w:val="00017B46"/>
    <w:rsid w:val="00023BF4"/>
    <w:rsid w:val="000303C4"/>
    <w:rsid w:val="0003191E"/>
    <w:rsid w:val="000329BE"/>
    <w:rsid w:val="00034B2E"/>
    <w:rsid w:val="00036ED4"/>
    <w:rsid w:val="0003726F"/>
    <w:rsid w:val="0003755E"/>
    <w:rsid w:val="00041C8D"/>
    <w:rsid w:val="00042C22"/>
    <w:rsid w:val="00044BB0"/>
    <w:rsid w:val="00046356"/>
    <w:rsid w:val="00050193"/>
    <w:rsid w:val="00052707"/>
    <w:rsid w:val="00052F27"/>
    <w:rsid w:val="00053CB3"/>
    <w:rsid w:val="0005691C"/>
    <w:rsid w:val="00063B28"/>
    <w:rsid w:val="00063EFE"/>
    <w:rsid w:val="00064168"/>
    <w:rsid w:val="00067D22"/>
    <w:rsid w:val="0007577B"/>
    <w:rsid w:val="0008160F"/>
    <w:rsid w:val="0009195A"/>
    <w:rsid w:val="0009258D"/>
    <w:rsid w:val="0009587F"/>
    <w:rsid w:val="00096215"/>
    <w:rsid w:val="000A05FC"/>
    <w:rsid w:val="000A6819"/>
    <w:rsid w:val="000B6FDF"/>
    <w:rsid w:val="000C3B23"/>
    <w:rsid w:val="000C3B71"/>
    <w:rsid w:val="000C5C99"/>
    <w:rsid w:val="000C71CB"/>
    <w:rsid w:val="000D0B54"/>
    <w:rsid w:val="000D6089"/>
    <w:rsid w:val="000D73C7"/>
    <w:rsid w:val="000E1E7B"/>
    <w:rsid w:val="000E3C90"/>
    <w:rsid w:val="000E52AE"/>
    <w:rsid w:val="000E6341"/>
    <w:rsid w:val="000E64F2"/>
    <w:rsid w:val="000E6F4D"/>
    <w:rsid w:val="000F38B0"/>
    <w:rsid w:val="000F4E3A"/>
    <w:rsid w:val="000F56CE"/>
    <w:rsid w:val="000F586C"/>
    <w:rsid w:val="000F767E"/>
    <w:rsid w:val="00100BCA"/>
    <w:rsid w:val="001060B2"/>
    <w:rsid w:val="0011455A"/>
    <w:rsid w:val="001177D2"/>
    <w:rsid w:val="00121E74"/>
    <w:rsid w:val="00125014"/>
    <w:rsid w:val="00127822"/>
    <w:rsid w:val="00127E7B"/>
    <w:rsid w:val="00137B27"/>
    <w:rsid w:val="00137B58"/>
    <w:rsid w:val="0014069F"/>
    <w:rsid w:val="001412E4"/>
    <w:rsid w:val="00143C82"/>
    <w:rsid w:val="0014601A"/>
    <w:rsid w:val="00146E2E"/>
    <w:rsid w:val="00150553"/>
    <w:rsid w:val="00151E11"/>
    <w:rsid w:val="001524BA"/>
    <w:rsid w:val="00152871"/>
    <w:rsid w:val="00153612"/>
    <w:rsid w:val="001548D0"/>
    <w:rsid w:val="00154C5C"/>
    <w:rsid w:val="00157458"/>
    <w:rsid w:val="001578A7"/>
    <w:rsid w:val="00160AE1"/>
    <w:rsid w:val="0016335D"/>
    <w:rsid w:val="00163707"/>
    <w:rsid w:val="00165B14"/>
    <w:rsid w:val="001670F9"/>
    <w:rsid w:val="00172A27"/>
    <w:rsid w:val="00173276"/>
    <w:rsid w:val="00173BC3"/>
    <w:rsid w:val="001778AD"/>
    <w:rsid w:val="00177F77"/>
    <w:rsid w:val="00181447"/>
    <w:rsid w:val="001905E3"/>
    <w:rsid w:val="00192904"/>
    <w:rsid w:val="00193B29"/>
    <w:rsid w:val="00195729"/>
    <w:rsid w:val="001962E2"/>
    <w:rsid w:val="001A2999"/>
    <w:rsid w:val="001A6289"/>
    <w:rsid w:val="001B13B5"/>
    <w:rsid w:val="001B2BB7"/>
    <w:rsid w:val="001B2EC4"/>
    <w:rsid w:val="001B4743"/>
    <w:rsid w:val="001B72EA"/>
    <w:rsid w:val="001C0DD4"/>
    <w:rsid w:val="001C5A91"/>
    <w:rsid w:val="001D70CF"/>
    <w:rsid w:val="001E6340"/>
    <w:rsid w:val="001F45D6"/>
    <w:rsid w:val="001F4746"/>
    <w:rsid w:val="001F6F32"/>
    <w:rsid w:val="00200F6B"/>
    <w:rsid w:val="00201FEE"/>
    <w:rsid w:val="00207AE2"/>
    <w:rsid w:val="002153CF"/>
    <w:rsid w:val="002165C4"/>
    <w:rsid w:val="0022069B"/>
    <w:rsid w:val="00221B29"/>
    <w:rsid w:val="00224184"/>
    <w:rsid w:val="00225778"/>
    <w:rsid w:val="002301C4"/>
    <w:rsid w:val="0023096D"/>
    <w:rsid w:val="002311D7"/>
    <w:rsid w:val="0023175E"/>
    <w:rsid w:val="00235473"/>
    <w:rsid w:val="00241745"/>
    <w:rsid w:val="002450AA"/>
    <w:rsid w:val="002451A4"/>
    <w:rsid w:val="002476E4"/>
    <w:rsid w:val="0025712D"/>
    <w:rsid w:val="0025739B"/>
    <w:rsid w:val="00260D89"/>
    <w:rsid w:val="00265C59"/>
    <w:rsid w:val="00266450"/>
    <w:rsid w:val="0027000E"/>
    <w:rsid w:val="00270A25"/>
    <w:rsid w:val="00275BDB"/>
    <w:rsid w:val="00276BDF"/>
    <w:rsid w:val="00284722"/>
    <w:rsid w:val="00285346"/>
    <w:rsid w:val="002A0269"/>
    <w:rsid w:val="002A08B0"/>
    <w:rsid w:val="002A5125"/>
    <w:rsid w:val="002A57AA"/>
    <w:rsid w:val="002A79A9"/>
    <w:rsid w:val="002B0437"/>
    <w:rsid w:val="002B0C23"/>
    <w:rsid w:val="002B19D0"/>
    <w:rsid w:val="002B4D7D"/>
    <w:rsid w:val="002B6AFF"/>
    <w:rsid w:val="002C04E8"/>
    <w:rsid w:val="002C3CEF"/>
    <w:rsid w:val="002C56B1"/>
    <w:rsid w:val="002D100C"/>
    <w:rsid w:val="002D1770"/>
    <w:rsid w:val="002D233B"/>
    <w:rsid w:val="002D2DC9"/>
    <w:rsid w:val="002D3E79"/>
    <w:rsid w:val="002D6FAC"/>
    <w:rsid w:val="002D74F4"/>
    <w:rsid w:val="002E1E51"/>
    <w:rsid w:val="002E2CC6"/>
    <w:rsid w:val="002E5015"/>
    <w:rsid w:val="002E52D0"/>
    <w:rsid w:val="002E6972"/>
    <w:rsid w:val="002E6F9E"/>
    <w:rsid w:val="002E7D01"/>
    <w:rsid w:val="002F6F17"/>
    <w:rsid w:val="003072E5"/>
    <w:rsid w:val="00313744"/>
    <w:rsid w:val="0031409B"/>
    <w:rsid w:val="0031733C"/>
    <w:rsid w:val="0031738E"/>
    <w:rsid w:val="00317DF3"/>
    <w:rsid w:val="00320630"/>
    <w:rsid w:val="00323CF3"/>
    <w:rsid w:val="00330CC3"/>
    <w:rsid w:val="003312CF"/>
    <w:rsid w:val="003316FB"/>
    <w:rsid w:val="003321EF"/>
    <w:rsid w:val="003327AA"/>
    <w:rsid w:val="00333A9B"/>
    <w:rsid w:val="00340498"/>
    <w:rsid w:val="003427B1"/>
    <w:rsid w:val="003429A5"/>
    <w:rsid w:val="003434F3"/>
    <w:rsid w:val="00346363"/>
    <w:rsid w:val="003501B9"/>
    <w:rsid w:val="0035110F"/>
    <w:rsid w:val="00356C35"/>
    <w:rsid w:val="00360572"/>
    <w:rsid w:val="00361EF1"/>
    <w:rsid w:val="00363106"/>
    <w:rsid w:val="00367B9B"/>
    <w:rsid w:val="00372A8B"/>
    <w:rsid w:val="003731CD"/>
    <w:rsid w:val="00387584"/>
    <w:rsid w:val="00391C79"/>
    <w:rsid w:val="00394F83"/>
    <w:rsid w:val="00395AE7"/>
    <w:rsid w:val="003A137E"/>
    <w:rsid w:val="003A17D7"/>
    <w:rsid w:val="003A2C48"/>
    <w:rsid w:val="003A386E"/>
    <w:rsid w:val="003A5612"/>
    <w:rsid w:val="003B04BD"/>
    <w:rsid w:val="003B0555"/>
    <w:rsid w:val="003B4F41"/>
    <w:rsid w:val="003B52D9"/>
    <w:rsid w:val="003B6369"/>
    <w:rsid w:val="003B6D2F"/>
    <w:rsid w:val="003C03C8"/>
    <w:rsid w:val="003C2A23"/>
    <w:rsid w:val="003C35E8"/>
    <w:rsid w:val="003C71A8"/>
    <w:rsid w:val="003C7C7F"/>
    <w:rsid w:val="003D160E"/>
    <w:rsid w:val="003D71F4"/>
    <w:rsid w:val="003E043B"/>
    <w:rsid w:val="003E3A77"/>
    <w:rsid w:val="003E3E96"/>
    <w:rsid w:val="003F1A79"/>
    <w:rsid w:val="003F4B71"/>
    <w:rsid w:val="003F586E"/>
    <w:rsid w:val="00405262"/>
    <w:rsid w:val="00405547"/>
    <w:rsid w:val="00412235"/>
    <w:rsid w:val="00412EAF"/>
    <w:rsid w:val="004156F2"/>
    <w:rsid w:val="004221DA"/>
    <w:rsid w:val="004244E7"/>
    <w:rsid w:val="00425E34"/>
    <w:rsid w:val="00426940"/>
    <w:rsid w:val="00426BBB"/>
    <w:rsid w:val="00431D85"/>
    <w:rsid w:val="0043292C"/>
    <w:rsid w:val="00433534"/>
    <w:rsid w:val="00433702"/>
    <w:rsid w:val="00433EEE"/>
    <w:rsid w:val="004347FF"/>
    <w:rsid w:val="00436519"/>
    <w:rsid w:val="004367B5"/>
    <w:rsid w:val="00440907"/>
    <w:rsid w:val="0044113E"/>
    <w:rsid w:val="00444DE3"/>
    <w:rsid w:val="00446DBE"/>
    <w:rsid w:val="00451647"/>
    <w:rsid w:val="0045343A"/>
    <w:rsid w:val="0045564A"/>
    <w:rsid w:val="00460018"/>
    <w:rsid w:val="00463F22"/>
    <w:rsid w:val="00470317"/>
    <w:rsid w:val="00470D14"/>
    <w:rsid w:val="00471DAC"/>
    <w:rsid w:val="00472DF7"/>
    <w:rsid w:val="00472DFB"/>
    <w:rsid w:val="00472E7A"/>
    <w:rsid w:val="0048594B"/>
    <w:rsid w:val="00486CA5"/>
    <w:rsid w:val="004905E3"/>
    <w:rsid w:val="00494596"/>
    <w:rsid w:val="00496C9D"/>
    <w:rsid w:val="004A62DE"/>
    <w:rsid w:val="004B07F5"/>
    <w:rsid w:val="004B3084"/>
    <w:rsid w:val="004B3E02"/>
    <w:rsid w:val="004C0CCC"/>
    <w:rsid w:val="004C1668"/>
    <w:rsid w:val="004C16A6"/>
    <w:rsid w:val="004C1967"/>
    <w:rsid w:val="004C220D"/>
    <w:rsid w:val="004C404F"/>
    <w:rsid w:val="004C54EB"/>
    <w:rsid w:val="004C5685"/>
    <w:rsid w:val="004C5BC1"/>
    <w:rsid w:val="004C6A60"/>
    <w:rsid w:val="004D0670"/>
    <w:rsid w:val="004D750E"/>
    <w:rsid w:val="004E11BD"/>
    <w:rsid w:val="004E2554"/>
    <w:rsid w:val="004E6DDB"/>
    <w:rsid w:val="004F0FCB"/>
    <w:rsid w:val="004F2601"/>
    <w:rsid w:val="004F3B63"/>
    <w:rsid w:val="004F3DD7"/>
    <w:rsid w:val="004F661D"/>
    <w:rsid w:val="00501807"/>
    <w:rsid w:val="005022CD"/>
    <w:rsid w:val="00502CCE"/>
    <w:rsid w:val="005053E6"/>
    <w:rsid w:val="005054E1"/>
    <w:rsid w:val="00511BD6"/>
    <w:rsid w:val="00513528"/>
    <w:rsid w:val="00515D4B"/>
    <w:rsid w:val="0052051B"/>
    <w:rsid w:val="00521AEE"/>
    <w:rsid w:val="00523208"/>
    <w:rsid w:val="005306AE"/>
    <w:rsid w:val="0053138C"/>
    <w:rsid w:val="0053181E"/>
    <w:rsid w:val="00531CEB"/>
    <w:rsid w:val="005352C3"/>
    <w:rsid w:val="00541C4A"/>
    <w:rsid w:val="005425C5"/>
    <w:rsid w:val="00546FD7"/>
    <w:rsid w:val="00552107"/>
    <w:rsid w:val="0055291C"/>
    <w:rsid w:val="00555542"/>
    <w:rsid w:val="00565921"/>
    <w:rsid w:val="00565F55"/>
    <w:rsid w:val="0057351E"/>
    <w:rsid w:val="00573EE8"/>
    <w:rsid w:val="005741C7"/>
    <w:rsid w:val="005746F0"/>
    <w:rsid w:val="00577026"/>
    <w:rsid w:val="00577FDB"/>
    <w:rsid w:val="00582D5F"/>
    <w:rsid w:val="005834B0"/>
    <w:rsid w:val="005850FA"/>
    <w:rsid w:val="00590E56"/>
    <w:rsid w:val="00591F0E"/>
    <w:rsid w:val="00595039"/>
    <w:rsid w:val="005A1299"/>
    <w:rsid w:val="005A1F98"/>
    <w:rsid w:val="005B089C"/>
    <w:rsid w:val="005B2C2C"/>
    <w:rsid w:val="005C3507"/>
    <w:rsid w:val="005C6E4C"/>
    <w:rsid w:val="005D0B80"/>
    <w:rsid w:val="005E49B4"/>
    <w:rsid w:val="005E5688"/>
    <w:rsid w:val="005F0609"/>
    <w:rsid w:val="005F0C3C"/>
    <w:rsid w:val="005F0F47"/>
    <w:rsid w:val="005F5E09"/>
    <w:rsid w:val="005F7A3C"/>
    <w:rsid w:val="00601642"/>
    <w:rsid w:val="006019C5"/>
    <w:rsid w:val="00601BAF"/>
    <w:rsid w:val="0060430D"/>
    <w:rsid w:val="00604EE2"/>
    <w:rsid w:val="00613124"/>
    <w:rsid w:val="00613EE8"/>
    <w:rsid w:val="00623036"/>
    <w:rsid w:val="00625B68"/>
    <w:rsid w:val="00625CB0"/>
    <w:rsid w:val="00631C47"/>
    <w:rsid w:val="006375A4"/>
    <w:rsid w:val="00642828"/>
    <w:rsid w:val="00643718"/>
    <w:rsid w:val="00645688"/>
    <w:rsid w:val="006501E7"/>
    <w:rsid w:val="006526E3"/>
    <w:rsid w:val="00655F1D"/>
    <w:rsid w:val="00663324"/>
    <w:rsid w:val="00665E57"/>
    <w:rsid w:val="00666486"/>
    <w:rsid w:val="00673245"/>
    <w:rsid w:val="00680DA2"/>
    <w:rsid w:val="0068480D"/>
    <w:rsid w:val="00687C9A"/>
    <w:rsid w:val="006A06E1"/>
    <w:rsid w:val="006A0EF0"/>
    <w:rsid w:val="006B0B6B"/>
    <w:rsid w:val="006B3507"/>
    <w:rsid w:val="006B5426"/>
    <w:rsid w:val="006B776A"/>
    <w:rsid w:val="006C29C1"/>
    <w:rsid w:val="006C7769"/>
    <w:rsid w:val="006D1313"/>
    <w:rsid w:val="006D3717"/>
    <w:rsid w:val="006E18E2"/>
    <w:rsid w:val="006E3120"/>
    <w:rsid w:val="006E43B7"/>
    <w:rsid w:val="006F10B6"/>
    <w:rsid w:val="00700C7A"/>
    <w:rsid w:val="00703008"/>
    <w:rsid w:val="0070380D"/>
    <w:rsid w:val="00706DE6"/>
    <w:rsid w:val="00707346"/>
    <w:rsid w:val="007076CE"/>
    <w:rsid w:val="00711949"/>
    <w:rsid w:val="0072119F"/>
    <w:rsid w:val="00722CDC"/>
    <w:rsid w:val="00722D60"/>
    <w:rsid w:val="00722EBC"/>
    <w:rsid w:val="007243A7"/>
    <w:rsid w:val="00725B33"/>
    <w:rsid w:val="00725DBF"/>
    <w:rsid w:val="00726377"/>
    <w:rsid w:val="007273B2"/>
    <w:rsid w:val="00731368"/>
    <w:rsid w:val="007317FB"/>
    <w:rsid w:val="007362E8"/>
    <w:rsid w:val="0073737A"/>
    <w:rsid w:val="0074076A"/>
    <w:rsid w:val="007460DE"/>
    <w:rsid w:val="00751EA1"/>
    <w:rsid w:val="007534A8"/>
    <w:rsid w:val="0075732A"/>
    <w:rsid w:val="00766D26"/>
    <w:rsid w:val="00767CD0"/>
    <w:rsid w:val="00771154"/>
    <w:rsid w:val="00774FC3"/>
    <w:rsid w:val="00780A65"/>
    <w:rsid w:val="00782F9F"/>
    <w:rsid w:val="00786778"/>
    <w:rsid w:val="00790C37"/>
    <w:rsid w:val="0079450E"/>
    <w:rsid w:val="007A289E"/>
    <w:rsid w:val="007A4BFC"/>
    <w:rsid w:val="007A4F53"/>
    <w:rsid w:val="007A5D5C"/>
    <w:rsid w:val="007A7AD6"/>
    <w:rsid w:val="007B2191"/>
    <w:rsid w:val="007B6EA2"/>
    <w:rsid w:val="007B7B55"/>
    <w:rsid w:val="007B7FC5"/>
    <w:rsid w:val="007C2BF7"/>
    <w:rsid w:val="007D03D6"/>
    <w:rsid w:val="007E622E"/>
    <w:rsid w:val="007E67BB"/>
    <w:rsid w:val="007F0809"/>
    <w:rsid w:val="007F0F0B"/>
    <w:rsid w:val="007F3918"/>
    <w:rsid w:val="007F4A16"/>
    <w:rsid w:val="007F68E9"/>
    <w:rsid w:val="00800CA6"/>
    <w:rsid w:val="00802538"/>
    <w:rsid w:val="0080502E"/>
    <w:rsid w:val="00806F4F"/>
    <w:rsid w:val="00810308"/>
    <w:rsid w:val="00812334"/>
    <w:rsid w:val="008213E5"/>
    <w:rsid w:val="00821DE4"/>
    <w:rsid w:val="00827AF1"/>
    <w:rsid w:val="00830DC6"/>
    <w:rsid w:val="00831A8D"/>
    <w:rsid w:val="00836028"/>
    <w:rsid w:val="00836153"/>
    <w:rsid w:val="00841A93"/>
    <w:rsid w:val="008424D5"/>
    <w:rsid w:val="0084252E"/>
    <w:rsid w:val="0084423F"/>
    <w:rsid w:val="0084659B"/>
    <w:rsid w:val="008471E7"/>
    <w:rsid w:val="00850191"/>
    <w:rsid w:val="00850934"/>
    <w:rsid w:val="00860927"/>
    <w:rsid w:val="008611F9"/>
    <w:rsid w:val="008615EE"/>
    <w:rsid w:val="008617D1"/>
    <w:rsid w:val="008619B6"/>
    <w:rsid w:val="00867226"/>
    <w:rsid w:val="00867311"/>
    <w:rsid w:val="00871A21"/>
    <w:rsid w:val="008738D6"/>
    <w:rsid w:val="008755EB"/>
    <w:rsid w:val="00882099"/>
    <w:rsid w:val="00884EDA"/>
    <w:rsid w:val="00886B99"/>
    <w:rsid w:val="00887A46"/>
    <w:rsid w:val="0089393A"/>
    <w:rsid w:val="00896D7E"/>
    <w:rsid w:val="008A0A4D"/>
    <w:rsid w:val="008A245F"/>
    <w:rsid w:val="008A5997"/>
    <w:rsid w:val="008A7025"/>
    <w:rsid w:val="008B1705"/>
    <w:rsid w:val="008B3153"/>
    <w:rsid w:val="008B33E9"/>
    <w:rsid w:val="008B5EB1"/>
    <w:rsid w:val="008C026C"/>
    <w:rsid w:val="008C067D"/>
    <w:rsid w:val="008C0EC8"/>
    <w:rsid w:val="008C28A4"/>
    <w:rsid w:val="008C79D1"/>
    <w:rsid w:val="008D02DD"/>
    <w:rsid w:val="008D06BB"/>
    <w:rsid w:val="008D0C3D"/>
    <w:rsid w:val="008D1C5B"/>
    <w:rsid w:val="008D2801"/>
    <w:rsid w:val="008D2AA9"/>
    <w:rsid w:val="008D382C"/>
    <w:rsid w:val="008D48A1"/>
    <w:rsid w:val="008E08AC"/>
    <w:rsid w:val="008E0EEB"/>
    <w:rsid w:val="008E0F2A"/>
    <w:rsid w:val="008E2449"/>
    <w:rsid w:val="008F05EF"/>
    <w:rsid w:val="008F202B"/>
    <w:rsid w:val="008F2EB2"/>
    <w:rsid w:val="008F3F3D"/>
    <w:rsid w:val="008F4F78"/>
    <w:rsid w:val="008F6B83"/>
    <w:rsid w:val="00900FF5"/>
    <w:rsid w:val="0090387D"/>
    <w:rsid w:val="009041C2"/>
    <w:rsid w:val="00905926"/>
    <w:rsid w:val="00905F3C"/>
    <w:rsid w:val="00907ABA"/>
    <w:rsid w:val="009139A6"/>
    <w:rsid w:val="0091496C"/>
    <w:rsid w:val="009149F1"/>
    <w:rsid w:val="009159FB"/>
    <w:rsid w:val="00916FBC"/>
    <w:rsid w:val="009234C8"/>
    <w:rsid w:val="009235B7"/>
    <w:rsid w:val="00934521"/>
    <w:rsid w:val="00935F4C"/>
    <w:rsid w:val="0094061B"/>
    <w:rsid w:val="00940AB5"/>
    <w:rsid w:val="00941E14"/>
    <w:rsid w:val="009447D9"/>
    <w:rsid w:val="00945E88"/>
    <w:rsid w:val="0095052C"/>
    <w:rsid w:val="00952F9A"/>
    <w:rsid w:val="0095483A"/>
    <w:rsid w:val="0096331E"/>
    <w:rsid w:val="00963C09"/>
    <w:rsid w:val="00963F30"/>
    <w:rsid w:val="009661AD"/>
    <w:rsid w:val="00970FB6"/>
    <w:rsid w:val="0097670C"/>
    <w:rsid w:val="00981463"/>
    <w:rsid w:val="00981F07"/>
    <w:rsid w:val="0098587E"/>
    <w:rsid w:val="00987B55"/>
    <w:rsid w:val="0099154A"/>
    <w:rsid w:val="009961A1"/>
    <w:rsid w:val="009A1EFF"/>
    <w:rsid w:val="009A4A72"/>
    <w:rsid w:val="009A542E"/>
    <w:rsid w:val="009A6A1D"/>
    <w:rsid w:val="009B10A5"/>
    <w:rsid w:val="009B3590"/>
    <w:rsid w:val="009B58B1"/>
    <w:rsid w:val="009B6321"/>
    <w:rsid w:val="009B6D9E"/>
    <w:rsid w:val="009C154E"/>
    <w:rsid w:val="009C26F0"/>
    <w:rsid w:val="009C3151"/>
    <w:rsid w:val="009C6273"/>
    <w:rsid w:val="009D021E"/>
    <w:rsid w:val="009D7623"/>
    <w:rsid w:val="009E0DF3"/>
    <w:rsid w:val="009E22E2"/>
    <w:rsid w:val="009E496F"/>
    <w:rsid w:val="009F1A22"/>
    <w:rsid w:val="009F2346"/>
    <w:rsid w:val="009F4B83"/>
    <w:rsid w:val="009F66B4"/>
    <w:rsid w:val="00A00488"/>
    <w:rsid w:val="00A034C2"/>
    <w:rsid w:val="00A06769"/>
    <w:rsid w:val="00A1367D"/>
    <w:rsid w:val="00A14457"/>
    <w:rsid w:val="00A1469B"/>
    <w:rsid w:val="00A14BC8"/>
    <w:rsid w:val="00A16352"/>
    <w:rsid w:val="00A164A3"/>
    <w:rsid w:val="00A1684E"/>
    <w:rsid w:val="00A17848"/>
    <w:rsid w:val="00A2046C"/>
    <w:rsid w:val="00A217DE"/>
    <w:rsid w:val="00A220EB"/>
    <w:rsid w:val="00A304C4"/>
    <w:rsid w:val="00A32937"/>
    <w:rsid w:val="00A364EC"/>
    <w:rsid w:val="00A37343"/>
    <w:rsid w:val="00A44498"/>
    <w:rsid w:val="00A45BEF"/>
    <w:rsid w:val="00A4758D"/>
    <w:rsid w:val="00A47641"/>
    <w:rsid w:val="00A5329C"/>
    <w:rsid w:val="00A54E6F"/>
    <w:rsid w:val="00A56978"/>
    <w:rsid w:val="00A62391"/>
    <w:rsid w:val="00A64951"/>
    <w:rsid w:val="00A66355"/>
    <w:rsid w:val="00A67C86"/>
    <w:rsid w:val="00A73BD9"/>
    <w:rsid w:val="00A75460"/>
    <w:rsid w:val="00A76292"/>
    <w:rsid w:val="00A76AB2"/>
    <w:rsid w:val="00A8200A"/>
    <w:rsid w:val="00A83628"/>
    <w:rsid w:val="00A85F84"/>
    <w:rsid w:val="00A87010"/>
    <w:rsid w:val="00A92D70"/>
    <w:rsid w:val="00A969ED"/>
    <w:rsid w:val="00AA00D2"/>
    <w:rsid w:val="00AA51A8"/>
    <w:rsid w:val="00AB37C3"/>
    <w:rsid w:val="00AB38E7"/>
    <w:rsid w:val="00AB39DA"/>
    <w:rsid w:val="00AB658B"/>
    <w:rsid w:val="00AC3ED0"/>
    <w:rsid w:val="00AC5B43"/>
    <w:rsid w:val="00AC5C43"/>
    <w:rsid w:val="00AD2E67"/>
    <w:rsid w:val="00AD42F6"/>
    <w:rsid w:val="00AE176C"/>
    <w:rsid w:val="00AE1BB8"/>
    <w:rsid w:val="00AE2AB0"/>
    <w:rsid w:val="00AE4999"/>
    <w:rsid w:val="00AE77E0"/>
    <w:rsid w:val="00AF11F8"/>
    <w:rsid w:val="00AF39A0"/>
    <w:rsid w:val="00B0050A"/>
    <w:rsid w:val="00B01ABD"/>
    <w:rsid w:val="00B01CA1"/>
    <w:rsid w:val="00B057D8"/>
    <w:rsid w:val="00B05CFF"/>
    <w:rsid w:val="00B07DA5"/>
    <w:rsid w:val="00B14485"/>
    <w:rsid w:val="00B15336"/>
    <w:rsid w:val="00B23BC5"/>
    <w:rsid w:val="00B2601A"/>
    <w:rsid w:val="00B317BA"/>
    <w:rsid w:val="00B31CED"/>
    <w:rsid w:val="00B35B36"/>
    <w:rsid w:val="00B367C4"/>
    <w:rsid w:val="00B41580"/>
    <w:rsid w:val="00B43085"/>
    <w:rsid w:val="00B46400"/>
    <w:rsid w:val="00B47BF6"/>
    <w:rsid w:val="00B47DDE"/>
    <w:rsid w:val="00B51B90"/>
    <w:rsid w:val="00B53551"/>
    <w:rsid w:val="00B5425D"/>
    <w:rsid w:val="00B54E2E"/>
    <w:rsid w:val="00B5523C"/>
    <w:rsid w:val="00B55F54"/>
    <w:rsid w:val="00B561B6"/>
    <w:rsid w:val="00B56EE0"/>
    <w:rsid w:val="00B60D2B"/>
    <w:rsid w:val="00B6206A"/>
    <w:rsid w:val="00B67AC3"/>
    <w:rsid w:val="00B701E3"/>
    <w:rsid w:val="00B712F0"/>
    <w:rsid w:val="00B71607"/>
    <w:rsid w:val="00B72D37"/>
    <w:rsid w:val="00B75414"/>
    <w:rsid w:val="00B756FD"/>
    <w:rsid w:val="00B776DC"/>
    <w:rsid w:val="00B8079D"/>
    <w:rsid w:val="00B80AE7"/>
    <w:rsid w:val="00B83D86"/>
    <w:rsid w:val="00B9456A"/>
    <w:rsid w:val="00BA40E9"/>
    <w:rsid w:val="00BA4456"/>
    <w:rsid w:val="00BA5B92"/>
    <w:rsid w:val="00BA64A0"/>
    <w:rsid w:val="00BB196A"/>
    <w:rsid w:val="00BB1FFB"/>
    <w:rsid w:val="00BB475B"/>
    <w:rsid w:val="00BB6634"/>
    <w:rsid w:val="00BC0BC7"/>
    <w:rsid w:val="00BC4725"/>
    <w:rsid w:val="00BC5C13"/>
    <w:rsid w:val="00BC7978"/>
    <w:rsid w:val="00BD2070"/>
    <w:rsid w:val="00BD4924"/>
    <w:rsid w:val="00BD621F"/>
    <w:rsid w:val="00BE138C"/>
    <w:rsid w:val="00BE13C7"/>
    <w:rsid w:val="00BE29D9"/>
    <w:rsid w:val="00BE3975"/>
    <w:rsid w:val="00BE540D"/>
    <w:rsid w:val="00BE597F"/>
    <w:rsid w:val="00BE5B3D"/>
    <w:rsid w:val="00BF1837"/>
    <w:rsid w:val="00BF2459"/>
    <w:rsid w:val="00BF5977"/>
    <w:rsid w:val="00BF6D0D"/>
    <w:rsid w:val="00BF77AB"/>
    <w:rsid w:val="00C00947"/>
    <w:rsid w:val="00C1167C"/>
    <w:rsid w:val="00C15749"/>
    <w:rsid w:val="00C17707"/>
    <w:rsid w:val="00C17D94"/>
    <w:rsid w:val="00C21480"/>
    <w:rsid w:val="00C221F9"/>
    <w:rsid w:val="00C231E2"/>
    <w:rsid w:val="00C274D6"/>
    <w:rsid w:val="00C276CD"/>
    <w:rsid w:val="00C30417"/>
    <w:rsid w:val="00C30590"/>
    <w:rsid w:val="00C32D08"/>
    <w:rsid w:val="00C330AF"/>
    <w:rsid w:val="00C35E70"/>
    <w:rsid w:val="00C36AE6"/>
    <w:rsid w:val="00C432B1"/>
    <w:rsid w:val="00C44344"/>
    <w:rsid w:val="00C47A58"/>
    <w:rsid w:val="00C52A3D"/>
    <w:rsid w:val="00C52BA0"/>
    <w:rsid w:val="00C536E7"/>
    <w:rsid w:val="00C53E2A"/>
    <w:rsid w:val="00C55026"/>
    <w:rsid w:val="00C601C7"/>
    <w:rsid w:val="00C613C2"/>
    <w:rsid w:val="00C6183B"/>
    <w:rsid w:val="00C714CB"/>
    <w:rsid w:val="00C715AC"/>
    <w:rsid w:val="00C7252A"/>
    <w:rsid w:val="00C7636E"/>
    <w:rsid w:val="00C80E2E"/>
    <w:rsid w:val="00C826FF"/>
    <w:rsid w:val="00C856B8"/>
    <w:rsid w:val="00C86769"/>
    <w:rsid w:val="00C8732F"/>
    <w:rsid w:val="00C91E19"/>
    <w:rsid w:val="00C92440"/>
    <w:rsid w:val="00C92937"/>
    <w:rsid w:val="00CA5DD6"/>
    <w:rsid w:val="00CB4CFF"/>
    <w:rsid w:val="00CB586D"/>
    <w:rsid w:val="00CB5C15"/>
    <w:rsid w:val="00CB6865"/>
    <w:rsid w:val="00CC0F6C"/>
    <w:rsid w:val="00CC6C45"/>
    <w:rsid w:val="00CD0291"/>
    <w:rsid w:val="00CD138F"/>
    <w:rsid w:val="00CD2641"/>
    <w:rsid w:val="00CD5244"/>
    <w:rsid w:val="00CD7BC7"/>
    <w:rsid w:val="00CE2E12"/>
    <w:rsid w:val="00CE4775"/>
    <w:rsid w:val="00CF3903"/>
    <w:rsid w:val="00CF41C5"/>
    <w:rsid w:val="00CF472C"/>
    <w:rsid w:val="00CF684C"/>
    <w:rsid w:val="00CF6F08"/>
    <w:rsid w:val="00CF762F"/>
    <w:rsid w:val="00D024FB"/>
    <w:rsid w:val="00D0302C"/>
    <w:rsid w:val="00D06FC7"/>
    <w:rsid w:val="00D1215D"/>
    <w:rsid w:val="00D122D8"/>
    <w:rsid w:val="00D14746"/>
    <w:rsid w:val="00D2203C"/>
    <w:rsid w:val="00D23557"/>
    <w:rsid w:val="00D23D7F"/>
    <w:rsid w:val="00D24C18"/>
    <w:rsid w:val="00D26CEE"/>
    <w:rsid w:val="00D27EA9"/>
    <w:rsid w:val="00D3271E"/>
    <w:rsid w:val="00D3322F"/>
    <w:rsid w:val="00D338FA"/>
    <w:rsid w:val="00D3527B"/>
    <w:rsid w:val="00D46D0E"/>
    <w:rsid w:val="00D47804"/>
    <w:rsid w:val="00D535A8"/>
    <w:rsid w:val="00D5441D"/>
    <w:rsid w:val="00D62270"/>
    <w:rsid w:val="00D6537E"/>
    <w:rsid w:val="00D678F3"/>
    <w:rsid w:val="00D67B27"/>
    <w:rsid w:val="00D74411"/>
    <w:rsid w:val="00D77086"/>
    <w:rsid w:val="00D81C35"/>
    <w:rsid w:val="00D83641"/>
    <w:rsid w:val="00D86175"/>
    <w:rsid w:val="00D866A4"/>
    <w:rsid w:val="00D927DF"/>
    <w:rsid w:val="00D977FA"/>
    <w:rsid w:val="00DA1678"/>
    <w:rsid w:val="00DA2E1E"/>
    <w:rsid w:val="00DA464A"/>
    <w:rsid w:val="00DA48C1"/>
    <w:rsid w:val="00DB06D0"/>
    <w:rsid w:val="00DB0AA4"/>
    <w:rsid w:val="00DB53B8"/>
    <w:rsid w:val="00DB55B2"/>
    <w:rsid w:val="00DC0131"/>
    <w:rsid w:val="00DC0DAB"/>
    <w:rsid w:val="00DC2684"/>
    <w:rsid w:val="00DD1A01"/>
    <w:rsid w:val="00DD48B4"/>
    <w:rsid w:val="00DD4B7C"/>
    <w:rsid w:val="00DD7F47"/>
    <w:rsid w:val="00DE2347"/>
    <w:rsid w:val="00DE401F"/>
    <w:rsid w:val="00DE4A51"/>
    <w:rsid w:val="00DE6E5C"/>
    <w:rsid w:val="00DF1571"/>
    <w:rsid w:val="00DF24AF"/>
    <w:rsid w:val="00DF5E40"/>
    <w:rsid w:val="00E00867"/>
    <w:rsid w:val="00E013B8"/>
    <w:rsid w:val="00E01D89"/>
    <w:rsid w:val="00E03BAB"/>
    <w:rsid w:val="00E03BDF"/>
    <w:rsid w:val="00E04926"/>
    <w:rsid w:val="00E11A90"/>
    <w:rsid w:val="00E21760"/>
    <w:rsid w:val="00E2517E"/>
    <w:rsid w:val="00E33A60"/>
    <w:rsid w:val="00E34DDE"/>
    <w:rsid w:val="00E36D22"/>
    <w:rsid w:val="00E413F9"/>
    <w:rsid w:val="00E43315"/>
    <w:rsid w:val="00E43E25"/>
    <w:rsid w:val="00E43FF0"/>
    <w:rsid w:val="00E4578E"/>
    <w:rsid w:val="00E508E6"/>
    <w:rsid w:val="00E51D1B"/>
    <w:rsid w:val="00E5521A"/>
    <w:rsid w:val="00E650DC"/>
    <w:rsid w:val="00E71F9C"/>
    <w:rsid w:val="00E72DDD"/>
    <w:rsid w:val="00E77C62"/>
    <w:rsid w:val="00E77EF3"/>
    <w:rsid w:val="00E82E77"/>
    <w:rsid w:val="00E84670"/>
    <w:rsid w:val="00E966FC"/>
    <w:rsid w:val="00E97F6C"/>
    <w:rsid w:val="00EA05C7"/>
    <w:rsid w:val="00EA299A"/>
    <w:rsid w:val="00EA44F0"/>
    <w:rsid w:val="00EA4591"/>
    <w:rsid w:val="00EA5D0F"/>
    <w:rsid w:val="00EA5EF3"/>
    <w:rsid w:val="00EA5F69"/>
    <w:rsid w:val="00EA6226"/>
    <w:rsid w:val="00EB01ED"/>
    <w:rsid w:val="00EB170E"/>
    <w:rsid w:val="00EC0D6B"/>
    <w:rsid w:val="00EC55DD"/>
    <w:rsid w:val="00ED0A2D"/>
    <w:rsid w:val="00ED316D"/>
    <w:rsid w:val="00ED6564"/>
    <w:rsid w:val="00EE2F37"/>
    <w:rsid w:val="00EE6DBE"/>
    <w:rsid w:val="00EE7BAD"/>
    <w:rsid w:val="00EF026B"/>
    <w:rsid w:val="00EF117F"/>
    <w:rsid w:val="00F0179E"/>
    <w:rsid w:val="00F01FF6"/>
    <w:rsid w:val="00F03D7D"/>
    <w:rsid w:val="00F052AB"/>
    <w:rsid w:val="00F05512"/>
    <w:rsid w:val="00F065B2"/>
    <w:rsid w:val="00F112F6"/>
    <w:rsid w:val="00F233E8"/>
    <w:rsid w:val="00F244D3"/>
    <w:rsid w:val="00F26090"/>
    <w:rsid w:val="00F260C4"/>
    <w:rsid w:val="00F264EF"/>
    <w:rsid w:val="00F30B2B"/>
    <w:rsid w:val="00F408EB"/>
    <w:rsid w:val="00F4398A"/>
    <w:rsid w:val="00F44046"/>
    <w:rsid w:val="00F444BC"/>
    <w:rsid w:val="00F46832"/>
    <w:rsid w:val="00F605FA"/>
    <w:rsid w:val="00F60908"/>
    <w:rsid w:val="00F613ED"/>
    <w:rsid w:val="00F634DB"/>
    <w:rsid w:val="00F64C04"/>
    <w:rsid w:val="00F65C1B"/>
    <w:rsid w:val="00F729FA"/>
    <w:rsid w:val="00F75390"/>
    <w:rsid w:val="00F758C2"/>
    <w:rsid w:val="00F763B8"/>
    <w:rsid w:val="00F819FC"/>
    <w:rsid w:val="00F8425C"/>
    <w:rsid w:val="00F86D45"/>
    <w:rsid w:val="00F86EA9"/>
    <w:rsid w:val="00F87358"/>
    <w:rsid w:val="00F87BC3"/>
    <w:rsid w:val="00F90848"/>
    <w:rsid w:val="00F94D50"/>
    <w:rsid w:val="00F965A0"/>
    <w:rsid w:val="00FA7DE4"/>
    <w:rsid w:val="00FB15E6"/>
    <w:rsid w:val="00FB4F4D"/>
    <w:rsid w:val="00FC515A"/>
    <w:rsid w:val="00FE1EAD"/>
    <w:rsid w:val="00FE30D7"/>
    <w:rsid w:val="00FF261A"/>
    <w:rsid w:val="00FF5326"/>
    <w:rsid w:val="03364ED1"/>
    <w:rsid w:val="03B50DB5"/>
    <w:rsid w:val="0440420A"/>
    <w:rsid w:val="047B7375"/>
    <w:rsid w:val="04E622BB"/>
    <w:rsid w:val="060729F7"/>
    <w:rsid w:val="06927CF7"/>
    <w:rsid w:val="07CC7565"/>
    <w:rsid w:val="08FF042B"/>
    <w:rsid w:val="09E82B90"/>
    <w:rsid w:val="0A3E36F7"/>
    <w:rsid w:val="0B1956E3"/>
    <w:rsid w:val="0B9E516F"/>
    <w:rsid w:val="0BD433D3"/>
    <w:rsid w:val="0C2A525B"/>
    <w:rsid w:val="0CC30264"/>
    <w:rsid w:val="0CC64E0A"/>
    <w:rsid w:val="0E2441A3"/>
    <w:rsid w:val="0EAF2129"/>
    <w:rsid w:val="0F2F5FFC"/>
    <w:rsid w:val="10306B91"/>
    <w:rsid w:val="103A2F9B"/>
    <w:rsid w:val="106612B1"/>
    <w:rsid w:val="11803795"/>
    <w:rsid w:val="11CE648F"/>
    <w:rsid w:val="11FB082C"/>
    <w:rsid w:val="11FC3056"/>
    <w:rsid w:val="121B10F7"/>
    <w:rsid w:val="12481DA9"/>
    <w:rsid w:val="127174C7"/>
    <w:rsid w:val="12844F3C"/>
    <w:rsid w:val="12901120"/>
    <w:rsid w:val="139B4EDC"/>
    <w:rsid w:val="13C537D2"/>
    <w:rsid w:val="14361141"/>
    <w:rsid w:val="149311DD"/>
    <w:rsid w:val="15064A6F"/>
    <w:rsid w:val="151D59AF"/>
    <w:rsid w:val="15F110D6"/>
    <w:rsid w:val="16632783"/>
    <w:rsid w:val="16C83D1F"/>
    <w:rsid w:val="18A3607E"/>
    <w:rsid w:val="190858A2"/>
    <w:rsid w:val="198B7357"/>
    <w:rsid w:val="19AB0E12"/>
    <w:rsid w:val="19B46FFB"/>
    <w:rsid w:val="1A763AF0"/>
    <w:rsid w:val="1A8E701D"/>
    <w:rsid w:val="1AC92B69"/>
    <w:rsid w:val="1B362119"/>
    <w:rsid w:val="1B490BB9"/>
    <w:rsid w:val="1B9730F5"/>
    <w:rsid w:val="1C83242E"/>
    <w:rsid w:val="1D0338F7"/>
    <w:rsid w:val="1D587C22"/>
    <w:rsid w:val="1E6215AC"/>
    <w:rsid w:val="1EC31624"/>
    <w:rsid w:val="1F1D18F8"/>
    <w:rsid w:val="20051753"/>
    <w:rsid w:val="203B0065"/>
    <w:rsid w:val="2173566C"/>
    <w:rsid w:val="224376A4"/>
    <w:rsid w:val="22807BB8"/>
    <w:rsid w:val="22C038DF"/>
    <w:rsid w:val="22EF552E"/>
    <w:rsid w:val="23122038"/>
    <w:rsid w:val="232A082F"/>
    <w:rsid w:val="24A07F1A"/>
    <w:rsid w:val="24AA201D"/>
    <w:rsid w:val="26F84E36"/>
    <w:rsid w:val="276633A4"/>
    <w:rsid w:val="2849766A"/>
    <w:rsid w:val="295D104C"/>
    <w:rsid w:val="2A72238D"/>
    <w:rsid w:val="2ADF4C99"/>
    <w:rsid w:val="2B0669DD"/>
    <w:rsid w:val="2D276B38"/>
    <w:rsid w:val="2E2A2367"/>
    <w:rsid w:val="2E536EC1"/>
    <w:rsid w:val="2E6E02D1"/>
    <w:rsid w:val="2E772D84"/>
    <w:rsid w:val="2EAC4EA3"/>
    <w:rsid w:val="2F2B3629"/>
    <w:rsid w:val="30487AFC"/>
    <w:rsid w:val="30E37491"/>
    <w:rsid w:val="32635D27"/>
    <w:rsid w:val="33B11F2E"/>
    <w:rsid w:val="351F18AB"/>
    <w:rsid w:val="36205326"/>
    <w:rsid w:val="36755C0A"/>
    <w:rsid w:val="37BF30E5"/>
    <w:rsid w:val="37DF6EF6"/>
    <w:rsid w:val="386862D8"/>
    <w:rsid w:val="388B4437"/>
    <w:rsid w:val="389F012D"/>
    <w:rsid w:val="395512CB"/>
    <w:rsid w:val="3BA46902"/>
    <w:rsid w:val="3C184DDB"/>
    <w:rsid w:val="3CDB6C59"/>
    <w:rsid w:val="3D00655D"/>
    <w:rsid w:val="3D7479E3"/>
    <w:rsid w:val="3DA6130F"/>
    <w:rsid w:val="3DBF02AB"/>
    <w:rsid w:val="3DE678FF"/>
    <w:rsid w:val="3F4D3FD0"/>
    <w:rsid w:val="3F5E0DCB"/>
    <w:rsid w:val="3F766437"/>
    <w:rsid w:val="3F840C6E"/>
    <w:rsid w:val="3FC51C6A"/>
    <w:rsid w:val="402E5098"/>
    <w:rsid w:val="406E4BA6"/>
    <w:rsid w:val="40BA6A38"/>
    <w:rsid w:val="40C96B6F"/>
    <w:rsid w:val="41DE0A91"/>
    <w:rsid w:val="421E4629"/>
    <w:rsid w:val="42241421"/>
    <w:rsid w:val="42AB14D2"/>
    <w:rsid w:val="42ED1829"/>
    <w:rsid w:val="43200C90"/>
    <w:rsid w:val="441C673E"/>
    <w:rsid w:val="445C6D03"/>
    <w:rsid w:val="4477066A"/>
    <w:rsid w:val="447940C7"/>
    <w:rsid w:val="44F24887"/>
    <w:rsid w:val="46E64373"/>
    <w:rsid w:val="47623EA1"/>
    <w:rsid w:val="47FC07BE"/>
    <w:rsid w:val="48381405"/>
    <w:rsid w:val="48656705"/>
    <w:rsid w:val="48796C8C"/>
    <w:rsid w:val="494E0101"/>
    <w:rsid w:val="49C45B39"/>
    <w:rsid w:val="4A3B55B5"/>
    <w:rsid w:val="4B330F20"/>
    <w:rsid w:val="4CDD14CE"/>
    <w:rsid w:val="4CE026CF"/>
    <w:rsid w:val="4D0A3F76"/>
    <w:rsid w:val="4D407386"/>
    <w:rsid w:val="4D9B3DAA"/>
    <w:rsid w:val="4DF9516D"/>
    <w:rsid w:val="4E044900"/>
    <w:rsid w:val="4E7C656B"/>
    <w:rsid w:val="4EF21E92"/>
    <w:rsid w:val="4F3F4C1E"/>
    <w:rsid w:val="4F4679A2"/>
    <w:rsid w:val="502B7F09"/>
    <w:rsid w:val="50CC54A1"/>
    <w:rsid w:val="50F25C6E"/>
    <w:rsid w:val="51560926"/>
    <w:rsid w:val="52310CBE"/>
    <w:rsid w:val="5273158A"/>
    <w:rsid w:val="533113DD"/>
    <w:rsid w:val="54320A3F"/>
    <w:rsid w:val="54DE1F99"/>
    <w:rsid w:val="55B4454B"/>
    <w:rsid w:val="55E33556"/>
    <w:rsid w:val="56012A3E"/>
    <w:rsid w:val="560C1580"/>
    <w:rsid w:val="56AE2F53"/>
    <w:rsid w:val="58C85C32"/>
    <w:rsid w:val="58E501FB"/>
    <w:rsid w:val="59421300"/>
    <w:rsid w:val="59C45B69"/>
    <w:rsid w:val="5AAD6F6A"/>
    <w:rsid w:val="5B8C78FA"/>
    <w:rsid w:val="5BB66216"/>
    <w:rsid w:val="5C9D4FF9"/>
    <w:rsid w:val="5D810D06"/>
    <w:rsid w:val="606A26FC"/>
    <w:rsid w:val="617E2341"/>
    <w:rsid w:val="61A777C7"/>
    <w:rsid w:val="621F2A50"/>
    <w:rsid w:val="630A3BD8"/>
    <w:rsid w:val="630E1E92"/>
    <w:rsid w:val="638371F7"/>
    <w:rsid w:val="638E67FA"/>
    <w:rsid w:val="63C86026"/>
    <w:rsid w:val="63D74018"/>
    <w:rsid w:val="64A9305F"/>
    <w:rsid w:val="663C761D"/>
    <w:rsid w:val="66EF4C6E"/>
    <w:rsid w:val="67775E16"/>
    <w:rsid w:val="67B11979"/>
    <w:rsid w:val="67F27ADA"/>
    <w:rsid w:val="68002622"/>
    <w:rsid w:val="685078FA"/>
    <w:rsid w:val="68DE28E3"/>
    <w:rsid w:val="6ACF5927"/>
    <w:rsid w:val="6B8A4436"/>
    <w:rsid w:val="6C894A30"/>
    <w:rsid w:val="6E781599"/>
    <w:rsid w:val="6E841E6B"/>
    <w:rsid w:val="6F760EA8"/>
    <w:rsid w:val="70DA6AD2"/>
    <w:rsid w:val="715916C6"/>
    <w:rsid w:val="716F6B00"/>
    <w:rsid w:val="71755BA0"/>
    <w:rsid w:val="72F5541E"/>
    <w:rsid w:val="72FB7984"/>
    <w:rsid w:val="7581139E"/>
    <w:rsid w:val="759E1D9D"/>
    <w:rsid w:val="762322A2"/>
    <w:rsid w:val="76530C47"/>
    <w:rsid w:val="76771D91"/>
    <w:rsid w:val="76C75A53"/>
    <w:rsid w:val="771F50BF"/>
    <w:rsid w:val="77982A12"/>
    <w:rsid w:val="77D97642"/>
    <w:rsid w:val="784A05EC"/>
    <w:rsid w:val="784F5E51"/>
    <w:rsid w:val="78CD12D1"/>
    <w:rsid w:val="78F4767B"/>
    <w:rsid w:val="791F05C4"/>
    <w:rsid w:val="796F5C1E"/>
    <w:rsid w:val="7B615B89"/>
    <w:rsid w:val="7BA71A3D"/>
    <w:rsid w:val="7BB36308"/>
    <w:rsid w:val="7C497FEE"/>
    <w:rsid w:val="7D825DB0"/>
    <w:rsid w:val="7D8C23B7"/>
    <w:rsid w:val="7E794A83"/>
    <w:rsid w:val="7EC64471"/>
    <w:rsid w:val="7F8D333B"/>
    <w:rsid w:val="7F8E5BD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3"/>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iPriority="9" w:semiHidden="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unhideWhenUsed="0" w:uiPriority="0" w:semiHidden="0" w:name="toc 4"/>
    <w:lsdException w:qFormat="1" w:uiPriority="39"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iPriority="99" w:semiHidden="0" w:name="header"/>
    <w:lsdException w:qFormat="1"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qFormat="1"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semiHidden="0"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200" w:firstLineChars="200"/>
      <w:jc w:val="both"/>
    </w:pPr>
    <w:rPr>
      <w:rFonts w:ascii="Times New Roman" w:hAnsi="Times New Roman" w:eastAsia="方正仿宋_GBK" w:cs="Times New Roman"/>
      <w:kern w:val="2"/>
      <w:sz w:val="32"/>
      <w:szCs w:val="24"/>
      <w:lang w:val="en-US" w:eastAsia="zh-CN" w:bidi="ar-SA"/>
    </w:rPr>
  </w:style>
  <w:style w:type="paragraph" w:styleId="3">
    <w:name w:val="heading 1"/>
    <w:basedOn w:val="1"/>
    <w:next w:val="1"/>
    <w:qFormat/>
    <w:uiPriority w:val="0"/>
    <w:pPr>
      <w:keepNext/>
      <w:keepLines/>
      <w:numPr>
        <w:ilvl w:val="0"/>
        <w:numId w:val="1"/>
      </w:numPr>
      <w:spacing w:before="340" w:after="156" w:afterLines="50"/>
      <w:ind w:firstLineChars="0"/>
      <w:jc w:val="center"/>
      <w:outlineLvl w:val="0"/>
    </w:pPr>
    <w:rPr>
      <w:rFonts w:eastAsia="方正黑体_GBK"/>
      <w:b/>
      <w:bCs/>
      <w:kern w:val="44"/>
      <w:szCs w:val="44"/>
    </w:rPr>
  </w:style>
  <w:style w:type="paragraph" w:styleId="4">
    <w:name w:val="heading 2"/>
    <w:basedOn w:val="1"/>
    <w:next w:val="1"/>
    <w:unhideWhenUsed/>
    <w:qFormat/>
    <w:uiPriority w:val="9"/>
    <w:pPr>
      <w:numPr>
        <w:ilvl w:val="1"/>
        <w:numId w:val="1"/>
      </w:numPr>
      <w:ind w:left="1419" w:firstLineChars="0"/>
      <w:jc w:val="center"/>
      <w:outlineLvl w:val="1"/>
    </w:pPr>
    <w:rPr>
      <w:rFonts w:ascii="方正楷体_GBK" w:eastAsia="方正楷体_GBK" w:hAnsiTheme="majorHAnsi" w:cstheme="majorBidi"/>
      <w:bCs/>
      <w:szCs w:val="32"/>
    </w:rPr>
  </w:style>
  <w:style w:type="paragraph" w:styleId="5">
    <w:name w:val="heading 3"/>
    <w:basedOn w:val="1"/>
    <w:next w:val="1"/>
    <w:unhideWhenUsed/>
    <w:qFormat/>
    <w:uiPriority w:val="9"/>
    <w:pPr>
      <w:keepNext/>
      <w:keepLines/>
      <w:numPr>
        <w:ilvl w:val="2"/>
        <w:numId w:val="1"/>
      </w:numPr>
      <w:ind w:firstLineChars="0"/>
      <w:jc w:val="center"/>
      <w:outlineLvl w:val="2"/>
    </w:pPr>
    <w:rPr>
      <w:bCs/>
      <w:szCs w:val="32"/>
    </w:rPr>
  </w:style>
  <w:style w:type="paragraph" w:styleId="6">
    <w:name w:val="heading 4"/>
    <w:basedOn w:val="1"/>
    <w:next w:val="1"/>
    <w:qFormat/>
    <w:uiPriority w:val="0"/>
    <w:pPr>
      <w:keepNext/>
      <w:keepLines/>
      <w:spacing w:line="372" w:lineRule="auto"/>
      <w:outlineLvl w:val="3"/>
    </w:pPr>
    <w:rPr>
      <w:rFonts w:ascii="Arial" w:hAnsi="Arial" w:eastAsia="黑体"/>
      <w:b/>
      <w:sz w:val="28"/>
    </w:rPr>
  </w:style>
  <w:style w:type="character" w:default="1" w:styleId="21">
    <w:name w:val="Default Paragraph Font"/>
    <w:unhideWhenUsed/>
    <w:qFormat/>
    <w:uiPriority w:val="1"/>
  </w:style>
  <w:style w:type="table" w:default="1" w:styleId="24">
    <w:name w:val="Normal Table"/>
    <w:semiHidden/>
    <w:unhideWhenUsed/>
    <w:qFormat/>
    <w:uiPriority w:val="99"/>
    <w:tblPr>
      <w:tblLayout w:type="fixed"/>
      <w:tblCellMar>
        <w:top w:w="0" w:type="dxa"/>
        <w:left w:w="108" w:type="dxa"/>
        <w:bottom w:w="0" w:type="dxa"/>
        <w:right w:w="108" w:type="dxa"/>
      </w:tblCellMar>
    </w:tblPr>
  </w:style>
  <w:style w:type="paragraph" w:customStyle="1" w:styleId="2">
    <w:name w:val="正文缩进1"/>
    <w:basedOn w:val="1"/>
    <w:qFormat/>
    <w:uiPriority w:val="0"/>
    <w:pPr>
      <w:ind w:firstLine="420"/>
    </w:pPr>
  </w:style>
  <w:style w:type="paragraph" w:styleId="7">
    <w:name w:val="table of authorities"/>
    <w:basedOn w:val="1"/>
    <w:next w:val="1"/>
    <w:qFormat/>
    <w:uiPriority w:val="0"/>
    <w:pPr>
      <w:ind w:left="420" w:leftChars="200"/>
    </w:pPr>
  </w:style>
  <w:style w:type="paragraph" w:styleId="8">
    <w:name w:val="Body Text"/>
    <w:basedOn w:val="1"/>
    <w:next w:val="9"/>
    <w:qFormat/>
    <w:uiPriority w:val="1"/>
    <w:pPr>
      <w:autoSpaceDE w:val="0"/>
      <w:autoSpaceDN w:val="0"/>
      <w:adjustRightInd w:val="0"/>
      <w:spacing w:line="240" w:lineRule="auto"/>
      <w:ind w:firstLine="0" w:firstLineChars="0"/>
      <w:jc w:val="left"/>
    </w:pPr>
    <w:rPr>
      <w:rFonts w:ascii="宋体" w:eastAsia="宋体" w:cs="宋体"/>
      <w:kern w:val="0"/>
      <w:sz w:val="28"/>
      <w:szCs w:val="28"/>
    </w:rPr>
  </w:style>
  <w:style w:type="paragraph" w:styleId="9">
    <w:name w:val="toc 5"/>
    <w:basedOn w:val="1"/>
    <w:next w:val="1"/>
    <w:unhideWhenUsed/>
    <w:qFormat/>
    <w:uiPriority w:val="39"/>
    <w:pPr>
      <w:spacing w:line="240" w:lineRule="auto"/>
      <w:ind w:left="1680" w:leftChars="800" w:firstLine="0" w:firstLineChars="0"/>
    </w:pPr>
    <w:rPr>
      <w:rFonts w:ascii="Calibri" w:hAnsi="Calibri" w:eastAsia="宋体"/>
      <w:sz w:val="21"/>
    </w:rPr>
  </w:style>
  <w:style w:type="paragraph" w:styleId="10">
    <w:name w:val="Body Text Indent"/>
    <w:basedOn w:val="1"/>
    <w:qFormat/>
    <w:uiPriority w:val="0"/>
  </w:style>
  <w:style w:type="paragraph" w:styleId="11">
    <w:name w:val="toc 3"/>
    <w:basedOn w:val="1"/>
    <w:next w:val="1"/>
    <w:qFormat/>
    <w:uiPriority w:val="39"/>
    <w:pPr>
      <w:wordWrap w:val="0"/>
      <w:ind w:left="1193"/>
    </w:pPr>
    <w:rPr>
      <w:rFonts w:ascii="宋体" w:hAnsi="宋体"/>
      <w:sz w:val="21"/>
      <w:szCs w:val="22"/>
    </w:rPr>
  </w:style>
  <w:style w:type="paragraph" w:styleId="12">
    <w:name w:val="Plain Text"/>
    <w:basedOn w:val="1"/>
    <w:qFormat/>
    <w:uiPriority w:val="0"/>
    <w:rPr>
      <w:rFonts w:ascii="宋体" w:hAnsi="宋体" w:eastAsia="仿宋_GB2312"/>
      <w:szCs w:val="20"/>
    </w:rPr>
  </w:style>
  <w:style w:type="paragraph" w:styleId="13">
    <w:name w:val="Balloon Text"/>
    <w:basedOn w:val="1"/>
    <w:link w:val="38"/>
    <w:qFormat/>
    <w:uiPriority w:val="0"/>
    <w:pPr>
      <w:spacing w:line="240" w:lineRule="auto"/>
    </w:pPr>
    <w:rPr>
      <w:sz w:val="18"/>
      <w:szCs w:val="18"/>
    </w:rPr>
  </w:style>
  <w:style w:type="paragraph" w:styleId="14">
    <w:name w:val="footer"/>
    <w:basedOn w:val="1"/>
    <w:unhideWhenUsed/>
    <w:qFormat/>
    <w:uiPriority w:val="99"/>
    <w:pPr>
      <w:tabs>
        <w:tab w:val="center" w:pos="4153"/>
        <w:tab w:val="right" w:pos="8306"/>
      </w:tabs>
      <w:snapToGrid w:val="0"/>
      <w:jc w:val="left"/>
    </w:pPr>
    <w:rPr>
      <w:sz w:val="18"/>
      <w:szCs w:val="18"/>
    </w:rPr>
  </w:style>
  <w:style w:type="paragraph" w:styleId="15">
    <w:name w:val="Body Text First Indent 2"/>
    <w:basedOn w:val="1"/>
    <w:qFormat/>
    <w:uiPriority w:val="0"/>
    <w:rPr>
      <w:sz w:val="24"/>
    </w:rPr>
  </w:style>
  <w:style w:type="paragraph" w:styleId="16">
    <w:name w:val="header"/>
    <w:basedOn w:val="1"/>
    <w:unhideWhenUsed/>
    <w:qFormat/>
    <w:uiPriority w:val="99"/>
    <w:pPr>
      <w:pBdr>
        <w:bottom w:val="single" w:color="auto" w:sz="6" w:space="1"/>
      </w:pBdr>
      <w:tabs>
        <w:tab w:val="center" w:pos="4153"/>
        <w:tab w:val="right" w:pos="8306"/>
      </w:tabs>
      <w:snapToGrid w:val="0"/>
      <w:jc w:val="center"/>
    </w:pPr>
    <w:rPr>
      <w:sz w:val="18"/>
      <w:szCs w:val="18"/>
    </w:rPr>
  </w:style>
  <w:style w:type="paragraph" w:styleId="17">
    <w:name w:val="toc 1"/>
    <w:basedOn w:val="1"/>
    <w:next w:val="1"/>
    <w:qFormat/>
    <w:uiPriority w:val="39"/>
  </w:style>
  <w:style w:type="paragraph" w:styleId="18">
    <w:name w:val="toc 2"/>
    <w:basedOn w:val="1"/>
    <w:next w:val="1"/>
    <w:qFormat/>
    <w:uiPriority w:val="39"/>
    <w:pPr>
      <w:ind w:left="420" w:leftChars="200"/>
    </w:pPr>
  </w:style>
  <w:style w:type="paragraph" w:styleId="19">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hint="eastAsia" w:ascii="宋体" w:hAnsi="宋体" w:eastAsia="宋体"/>
      <w:kern w:val="0"/>
      <w:sz w:val="24"/>
    </w:rPr>
  </w:style>
  <w:style w:type="paragraph" w:styleId="20">
    <w:name w:val="Normal (Web)"/>
    <w:basedOn w:val="1"/>
    <w:next w:val="16"/>
    <w:qFormat/>
    <w:uiPriority w:val="0"/>
    <w:pPr>
      <w:spacing w:before="100" w:beforeAutospacing="1" w:after="100" w:afterAutospacing="1"/>
    </w:pPr>
    <w:rPr>
      <w:rFonts w:ascii="宋体" w:eastAsia="宋体"/>
      <w:sz w:val="24"/>
      <w:szCs w:val="28"/>
    </w:rPr>
  </w:style>
  <w:style w:type="character" w:styleId="22">
    <w:name w:val="Strong"/>
    <w:basedOn w:val="21"/>
    <w:qFormat/>
    <w:uiPriority w:val="0"/>
    <w:rPr>
      <w:b/>
    </w:rPr>
  </w:style>
  <w:style w:type="character" w:styleId="23">
    <w:name w:val="Hyperlink"/>
    <w:basedOn w:val="21"/>
    <w:unhideWhenUsed/>
    <w:qFormat/>
    <w:uiPriority w:val="99"/>
    <w:rPr>
      <w:color w:val="0563C1" w:themeColor="hyperlink"/>
      <w:u w:val="single"/>
      <w14:textFill>
        <w14:solidFill>
          <w14:schemeClr w14:val="hlink"/>
        </w14:solidFill>
      </w14:textFill>
    </w:rPr>
  </w:style>
  <w:style w:type="table" w:styleId="25">
    <w:name w:val="Table Grid"/>
    <w:basedOn w:val="2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Pr>
  </w:style>
  <w:style w:type="paragraph" w:customStyle="1" w:styleId="26">
    <w:name w:val="正文缩进2"/>
    <w:basedOn w:val="1"/>
    <w:qFormat/>
    <w:uiPriority w:val="0"/>
    <w:pPr>
      <w:ind w:firstLine="420"/>
    </w:pPr>
  </w:style>
  <w:style w:type="character" w:customStyle="1" w:styleId="27">
    <w:name w:val="font41"/>
    <w:qFormat/>
    <w:uiPriority w:val="0"/>
    <w:rPr>
      <w:rFonts w:hint="eastAsia" w:ascii="宋体" w:hAnsi="宋体" w:eastAsia="宋体" w:cs="宋体"/>
      <w:color w:val="000000"/>
      <w:sz w:val="20"/>
      <w:u w:val="none"/>
    </w:rPr>
  </w:style>
  <w:style w:type="paragraph" w:customStyle="1" w:styleId="28">
    <w:name w:val="正文首行缩进1"/>
    <w:basedOn w:val="8"/>
    <w:qFormat/>
    <w:uiPriority w:val="0"/>
    <w:pPr>
      <w:spacing w:after="120"/>
      <w:ind w:firstLine="420" w:firstLineChars="100"/>
    </w:pPr>
    <w:rPr>
      <w:rFonts w:ascii="Calibri" w:hAnsi="Calibri"/>
      <w:kern w:val="2"/>
      <w:sz w:val="21"/>
      <w:szCs w:val="22"/>
    </w:rPr>
  </w:style>
  <w:style w:type="paragraph" w:customStyle="1" w:styleId="29">
    <w:name w:val="正文缩2"/>
    <w:basedOn w:val="1"/>
    <w:qFormat/>
    <w:uiPriority w:val="0"/>
    <w:rPr>
      <w:kern w:val="0"/>
      <w:sz w:val="24"/>
    </w:rPr>
  </w:style>
  <w:style w:type="paragraph" w:customStyle="1" w:styleId="30">
    <w:name w:val="样式 正文首行缩进 2 + 首行缩进:  2 字符"/>
    <w:basedOn w:val="15"/>
    <w:qFormat/>
    <w:uiPriority w:val="0"/>
    <w:pPr>
      <w:ind w:firstLine="480"/>
    </w:pPr>
    <w:rPr>
      <w:rFonts w:cs="宋体"/>
      <w:szCs w:val="20"/>
    </w:rPr>
  </w:style>
  <w:style w:type="paragraph" w:customStyle="1" w:styleId="31">
    <w:name w:val="普通(网站)1"/>
    <w:basedOn w:val="1"/>
    <w:next w:val="16"/>
    <w:qFormat/>
    <w:uiPriority w:val="0"/>
    <w:pPr>
      <w:spacing w:before="100" w:beforeAutospacing="1" w:after="100" w:afterAutospacing="1"/>
    </w:pPr>
    <w:rPr>
      <w:rFonts w:ascii="宋体" w:eastAsia="宋体"/>
      <w:sz w:val="24"/>
      <w:szCs w:val="28"/>
    </w:rPr>
  </w:style>
  <w:style w:type="paragraph" w:customStyle="1" w:styleId="32">
    <w:name w:val="WPSOffice手动目录 1"/>
    <w:qFormat/>
    <w:uiPriority w:val="0"/>
    <w:rPr>
      <w:rFonts w:ascii="Times New Roman" w:hAnsi="Times New Roman" w:eastAsia="宋体" w:cs="Times New Roman"/>
      <w:lang w:val="en-US" w:eastAsia="zh-CN" w:bidi="ar-SA"/>
    </w:rPr>
  </w:style>
  <w:style w:type="paragraph" w:customStyle="1" w:styleId="33">
    <w:name w:val="WPSOffice手动目录 2"/>
    <w:qFormat/>
    <w:uiPriority w:val="0"/>
    <w:pPr>
      <w:ind w:left="200" w:leftChars="200"/>
    </w:pPr>
    <w:rPr>
      <w:rFonts w:ascii="Times New Roman" w:hAnsi="Times New Roman" w:eastAsia="宋体" w:cs="Times New Roman"/>
      <w:lang w:val="en-US" w:eastAsia="zh-CN" w:bidi="ar-SA"/>
    </w:rPr>
  </w:style>
  <w:style w:type="character" w:customStyle="1" w:styleId="34">
    <w:name w:val="font31"/>
    <w:basedOn w:val="21"/>
    <w:qFormat/>
    <w:uiPriority w:val="0"/>
    <w:rPr>
      <w:rFonts w:hint="eastAsia" w:ascii="宋体" w:hAnsi="宋体" w:eastAsia="宋体" w:cs="宋体"/>
      <w:color w:val="000000"/>
      <w:sz w:val="18"/>
      <w:szCs w:val="18"/>
      <w:u w:val="none"/>
    </w:rPr>
  </w:style>
  <w:style w:type="character" w:customStyle="1" w:styleId="35">
    <w:name w:val="font61"/>
    <w:basedOn w:val="21"/>
    <w:qFormat/>
    <w:uiPriority w:val="0"/>
    <w:rPr>
      <w:rFonts w:hint="eastAsia" w:ascii="宋体" w:hAnsi="宋体" w:eastAsia="宋体" w:cs="宋体"/>
      <w:color w:val="FF0000"/>
      <w:sz w:val="18"/>
      <w:szCs w:val="18"/>
      <w:u w:val="none"/>
    </w:rPr>
  </w:style>
  <w:style w:type="paragraph" w:customStyle="1" w:styleId="36">
    <w:name w:val="Default"/>
    <w:qFormat/>
    <w:uiPriority w:val="0"/>
    <w:pPr>
      <w:widowControl w:val="0"/>
      <w:autoSpaceDE w:val="0"/>
      <w:autoSpaceDN w:val="0"/>
      <w:adjustRightInd w:val="0"/>
    </w:pPr>
    <w:rPr>
      <w:rFonts w:ascii="方正仿宋_GBK" w:hAnsi="方正仿宋_GBK" w:eastAsia="宋体" w:cs="方正仿宋_GBK"/>
      <w:color w:val="000000"/>
      <w:sz w:val="24"/>
      <w:szCs w:val="24"/>
      <w:lang w:val="en-US" w:eastAsia="zh-CN" w:bidi="ar-SA"/>
    </w:rPr>
  </w:style>
  <w:style w:type="paragraph" w:customStyle="1" w:styleId="37">
    <w:name w:val="正文缩进3"/>
    <w:basedOn w:val="1"/>
    <w:qFormat/>
    <w:uiPriority w:val="0"/>
    <w:pPr>
      <w:ind w:firstLine="420"/>
    </w:pPr>
  </w:style>
  <w:style w:type="character" w:customStyle="1" w:styleId="38">
    <w:name w:val="批注框文本 Char"/>
    <w:basedOn w:val="21"/>
    <w:link w:val="13"/>
    <w:qFormat/>
    <w:uiPriority w:val="0"/>
    <w:rPr>
      <w:rFonts w:eastAsia="方正仿宋_GBK"/>
      <w:kern w:val="2"/>
      <w:sz w:val="18"/>
      <w:szCs w:val="18"/>
    </w:rPr>
  </w:style>
  <w:style w:type="paragraph" w:customStyle="1" w:styleId="39">
    <w:name w:val="TOC 标题1"/>
    <w:basedOn w:val="3"/>
    <w:next w:val="1"/>
    <w:unhideWhenUsed/>
    <w:qFormat/>
    <w:uiPriority w:val="39"/>
    <w:pPr>
      <w:widowControl/>
      <w:numPr>
        <w:numId w:val="0"/>
      </w:numPr>
      <w:spacing w:before="240" w:after="0" w:afterLines="0" w:line="259" w:lineRule="auto"/>
      <w:jc w:val="left"/>
      <w:outlineLvl w:val="9"/>
    </w:pPr>
    <w:rPr>
      <w:rFonts w:asciiTheme="majorHAnsi" w:hAnsiTheme="majorHAnsi" w:eastAsiaTheme="majorEastAsia" w:cstheme="majorBidi"/>
      <w:b w:val="0"/>
      <w:bCs w:val="0"/>
      <w:color w:val="2E75B6" w:themeColor="accent1" w:themeShade="BF"/>
      <w:kern w:val="0"/>
      <w:szCs w:val="32"/>
    </w:rPr>
  </w:style>
  <w:style w:type="paragraph" w:customStyle="1" w:styleId="40">
    <w:name w:val="Body Text First Indent1"/>
    <w:basedOn w:val="8"/>
    <w:qFormat/>
    <w:uiPriority w:val="0"/>
    <w:pPr>
      <w:spacing w:line="275" w:lineRule="atLeast"/>
      <w:ind w:firstLine="420"/>
      <w:textAlignment w:val="baseline"/>
    </w:pPr>
  </w:style>
  <w:style w:type="paragraph" w:customStyle="1" w:styleId="41">
    <w:name w:val="默认段落字体 Para Char Char"/>
    <w:basedOn w:val="1"/>
    <w:qFormat/>
    <w:uiPriority w:val="0"/>
    <w:pPr>
      <w:spacing w:before="156" w:after="156" w:line="240" w:lineRule="auto"/>
      <w:ind w:firstLine="0" w:firstLineChars="0"/>
    </w:pPr>
    <w:rPr>
      <w:rFonts w:ascii="Tahoma" w:hAnsi="Tahoma"/>
      <w:sz w:val="24"/>
      <w:szCs w:val="20"/>
    </w:rPr>
  </w:style>
  <w:style w:type="paragraph" w:styleId="42">
    <w:name w:val="List Paragraph"/>
    <w:basedOn w:val="1"/>
    <w:qFormat/>
    <w:uiPriority w:val="99"/>
    <w:pPr>
      <w:ind w:firstLine="420"/>
    </w:pPr>
  </w:style>
</w:styles>
</file>

<file path=word/_rels/document.xml.rels><?xml version="1.0" encoding="UTF-8" standalone="yes"?>
<Relationships xmlns="http://schemas.openxmlformats.org/package/2006/relationships"><Relationship Id="rId9" Type="http://schemas.openxmlformats.org/officeDocument/2006/relationships/header" Target="header4.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3" Type="http://schemas.openxmlformats.org/officeDocument/2006/relationships/fontTable" Target="fontTable.xml"/><Relationship Id="rId32" Type="http://schemas.openxmlformats.org/officeDocument/2006/relationships/customXml" Target="../customXml/item2.xml"/><Relationship Id="rId31" Type="http://schemas.openxmlformats.org/officeDocument/2006/relationships/numbering" Target="numbering.xml"/><Relationship Id="rId30" Type="http://schemas.openxmlformats.org/officeDocument/2006/relationships/customXml" Target="../customXml/item1.xml"/><Relationship Id="rId3" Type="http://schemas.openxmlformats.org/officeDocument/2006/relationships/header" Target="header1.xml"/><Relationship Id="rId29" Type="http://schemas.openxmlformats.org/officeDocument/2006/relationships/image" Target="media/image15.png"/><Relationship Id="rId28" Type="http://schemas.openxmlformats.org/officeDocument/2006/relationships/image" Target="media/image14.png"/><Relationship Id="rId27" Type="http://schemas.openxmlformats.org/officeDocument/2006/relationships/image" Target="media/image13.png"/><Relationship Id="rId26" Type="http://schemas.openxmlformats.org/officeDocument/2006/relationships/image" Target="media/image12.png"/><Relationship Id="rId25" Type="http://schemas.openxmlformats.org/officeDocument/2006/relationships/image" Target="media/image11.png"/><Relationship Id="rId24" Type="http://schemas.openxmlformats.org/officeDocument/2006/relationships/image" Target="media/image10.png"/><Relationship Id="rId23" Type="http://schemas.openxmlformats.org/officeDocument/2006/relationships/image" Target="media/image9.png"/><Relationship Id="rId22" Type="http://schemas.openxmlformats.org/officeDocument/2006/relationships/image" Target="media/image8.png"/><Relationship Id="rId21" Type="http://schemas.openxmlformats.org/officeDocument/2006/relationships/image" Target="media/image7.png"/><Relationship Id="rId20" Type="http://schemas.openxmlformats.org/officeDocument/2006/relationships/image" Target="media/image6.png"/><Relationship Id="rId2" Type="http://schemas.openxmlformats.org/officeDocument/2006/relationships/settings" Target="settings.xml"/><Relationship Id="rId19" Type="http://schemas.openxmlformats.org/officeDocument/2006/relationships/image" Target="media/image5.png"/><Relationship Id="rId18" Type="http://schemas.openxmlformats.org/officeDocument/2006/relationships/image" Target="media/image4.png"/><Relationship Id="rId17" Type="http://schemas.openxmlformats.org/officeDocument/2006/relationships/image" Target="media/image3.png"/><Relationship Id="rId16" Type="http://schemas.openxmlformats.org/officeDocument/2006/relationships/image" Target="media/image2.png"/><Relationship Id="rId15" Type="http://schemas.openxmlformats.org/officeDocument/2006/relationships/theme" Target="theme/theme1.xml"/><Relationship Id="rId14" Type="http://schemas.openxmlformats.org/officeDocument/2006/relationships/footer" Target="footer6.xml"/><Relationship Id="rId13" Type="http://schemas.openxmlformats.org/officeDocument/2006/relationships/header" Target="header6.xml"/><Relationship Id="rId12" Type="http://schemas.openxmlformats.org/officeDocument/2006/relationships/footer" Target="footer5.xml"/><Relationship Id="rId11" Type="http://schemas.openxmlformats.org/officeDocument/2006/relationships/header" Target="header5.xml"/><Relationship Id="rId10" Type="http://schemas.openxmlformats.org/officeDocument/2006/relationships/footer" Target="footer4.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3086"/>
    <customShpInfo spid="_x0000_s3087"/>
    <customShpInfo spid="_x0000_s3088"/>
    <customShpInfo spid="_x0000_s3089"/>
    <customShpInfo spid="_x0000_s3090"/>
    <customShpInfo spid="_x0000_s3091"/>
    <customShpInfo spid="_x0000_s3092"/>
    <customShpInfo spid="_x0000_s3093"/>
    <customShpInfo spid="_x0000_s3094"/>
    <customShpInfo spid="_x0000_s3095"/>
    <customShpInfo spid="_x0000_s3096"/>
    <customShpInfo spid="_x0000_s3097"/>
    <customShpInfo spid="_x0000_s3098"/>
    <customShpInfo spid="_x0000_s3099"/>
    <customShpInfo spid="_x0000_s3100"/>
    <customShpInfo spid="_x0000_s3101"/>
    <customShpInfo spid="_x0000_s3102"/>
    <customShpInfo spid="_x0000_s3103"/>
    <customShpInfo spid="_x0000_s3104"/>
    <customShpInfo spid="_x0000_s3105"/>
    <customShpInfo spid="_x0000_s3106"/>
    <customShpInfo spid="_x0000_s3107"/>
    <customShpInfo spid="_x0000_s3108"/>
    <customShpInfo spid="_x0000_s3109"/>
    <customShpInfo spid="_x0000_s3110"/>
    <customShpInfo spid="_x0000_s3111"/>
    <customShpInfo spid="_x0000_s3112"/>
    <customShpInfo spid="_x0000_s3113"/>
    <customShpInfo spid="_x0000_s3114"/>
    <customShpInfo spid="_x0000_s3115"/>
    <customShpInfo spid="_x0000_s3116"/>
    <customShpInfo spid="_x0000_s3117"/>
    <customShpInfo spid="_x0000_s3118"/>
    <customShpInfo spid="_x0000_s3119"/>
    <customShpInfo spid="_x0000_s3120"/>
    <customShpInfo spid="_x0000_s3121"/>
    <customShpInfo spid="_x0000_s3122"/>
    <customShpInfo spid="_x0000_s3123"/>
    <customShpInfo spid="_x0000_s3124"/>
    <customShpInfo spid="_x0000_s3125"/>
    <customShpInfo spid="_x0000_s3126"/>
    <customShpInfo spid="_x0000_s3127"/>
    <customShpInfo spid="_x0000_s3128"/>
    <customShpInfo spid="_x0000_s3129"/>
    <customShpInfo spid="_x0000_s3130"/>
    <customShpInfo spid="_x0000_s3131"/>
    <customShpInfo spid="_x0000_s3132"/>
    <customShpInfo spid="_x0000_s3133"/>
    <customShpInfo spid="_x0000_s3134"/>
    <customShpInfo spid="_x0000_s3135"/>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BD2EBAC6-1A8C-414F-BAB6-8E38579272E2}">
  <ds:schemaRefs/>
</ds:datastoreItem>
</file>

<file path=docProps/app.xml><?xml version="1.0" encoding="utf-8"?>
<Properties xmlns="http://schemas.openxmlformats.org/officeDocument/2006/extended-properties" xmlns:vt="http://schemas.openxmlformats.org/officeDocument/2006/docPropsVTypes">
  <Template>Normal.dotm</Template>
  <Company>daohangxitong.com</Company>
  <Pages>230</Pages>
  <Words>79291</Words>
  <Characters>89425</Characters>
  <Lines>708</Lines>
  <Paragraphs>199</Paragraphs>
  <TotalTime>2406</TotalTime>
  <ScaleCrop>false</ScaleCrop>
  <LinksUpToDate>false</LinksUpToDate>
  <CharactersWithSpaces>89789</CharactersWithSpaces>
  <Application>WPS Office_10.8.2.6613_F1E327BC-269C-435d-A152-05C5408002CA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2023-04-19T02:44:00Z</dcterms:created>
  <dc:creator>戴眼镜的包子</dc:creator>
  <cp:lastModifiedBy>梁思丹</cp:lastModifiedBy>
  <cp:lastPrinted>2022-07-29T09:18:00Z</cp:lastPrinted>
  <dcterms:modified xsi:type="dcterms:W3CDTF">2025-01-15T01:11:59Z</dcterms:modified>
  <cp:revision>16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2052-10.8.2.6613</vt:lpwstr>
  </property>
  <property fmtid="{D5CDD505-2E9C-101B-9397-08002B2CF9AE}" pid="3" name="ICV">
    <vt:lpwstr>1004C5419D4B4795B8F266AEA8DA06C9</vt:lpwstr>
  </property>
  <property fmtid="{D5CDD505-2E9C-101B-9397-08002B2CF9AE}" pid="4" name="commondata">
    <vt:lpwstr>eyJoZGlkIjoiMDY0YjI3MDRlMTFjMjljNTA1YTRmOTM4YzI1ZmFlNDUifQ==</vt:lpwstr>
  </property>
</Properties>
</file>