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sz w:val="44"/>
          <w:szCs w:val="24"/>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sz w:val="44"/>
          <w:szCs w:val="24"/>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_GBK" w:hAnsi="方正小标宋_GBK" w:eastAsia="方正小标宋_GBK" w:cs="方正小标宋_GBK"/>
          <w:sz w:val="44"/>
          <w:szCs w:val="24"/>
          <w:lang w:eastAsia="zh-CN"/>
        </w:rPr>
      </w:pPr>
      <w:r>
        <w:rPr>
          <w:rFonts w:hint="eastAsia" w:ascii="方正小标宋_GBK" w:hAnsi="方正小标宋_GBK" w:eastAsia="方正小标宋_GBK" w:cs="方正小标宋_GBK"/>
          <w:sz w:val="44"/>
          <w:szCs w:val="24"/>
        </w:rPr>
        <w:t>重庆市大足区“十五五”建设国际文旅名城、打造巴蜀文化会客厅规划</w:t>
      </w:r>
      <w:r>
        <w:rPr>
          <w:rFonts w:hint="eastAsia" w:ascii="方正小标宋_GBK" w:hAnsi="方正小标宋_GBK" w:eastAsia="方正小标宋_GBK" w:cs="方正小标宋_GBK"/>
          <w:sz w:val="44"/>
          <w:szCs w:val="24"/>
          <w:lang w:eastAsia="zh-CN"/>
        </w:rPr>
        <w:t>（</w:t>
      </w:r>
      <w:r>
        <w:rPr>
          <w:rFonts w:hint="eastAsia" w:ascii="方正小标宋_GBK" w:hAnsi="方正小标宋_GBK" w:eastAsia="方正小标宋_GBK" w:cs="方正小标宋_GBK"/>
          <w:sz w:val="44"/>
          <w:szCs w:val="24"/>
          <w:lang w:val="en-US" w:eastAsia="zh-CN"/>
        </w:rPr>
        <w:t>2026—2030年</w:t>
      </w:r>
      <w:r>
        <w:rPr>
          <w:rFonts w:hint="eastAsia" w:ascii="方正小标宋_GBK" w:hAnsi="方正小标宋_GBK" w:eastAsia="方正小标宋_GBK" w:cs="方正小标宋_GBK"/>
          <w:sz w:val="44"/>
          <w:szCs w:val="24"/>
          <w:lang w:eastAsia="zh-CN"/>
        </w:rPr>
        <w:t>）</w:t>
      </w:r>
    </w:p>
    <w:p>
      <w:pPr>
        <w:bidi w:val="0"/>
        <w:rPr>
          <w:rFonts w:hint="eastAsia"/>
        </w:rPr>
      </w:pPr>
    </w:p>
    <w:p>
      <w:pPr>
        <w:bidi w:val="0"/>
        <w:ind w:left="0" w:leftChars="0" w:right="0" w:rightChars="0" w:firstLine="0" w:firstLineChars="0"/>
        <w:jc w:val="center"/>
        <w:rPr>
          <w:rFonts w:hint="eastAsia" w:ascii="方正楷体_GBK" w:hAnsi="方正楷体_GBK" w:eastAsia="方正楷体_GBK" w:cs="方正楷体_GBK"/>
        </w:rPr>
      </w:pPr>
      <w:r>
        <w:rPr>
          <w:rFonts w:hint="eastAsia" w:ascii="方正楷体_GBK" w:hAnsi="方正楷体_GBK" w:eastAsia="方正楷体_GBK" w:cs="方正楷体_GBK"/>
        </w:rPr>
        <w:t>（</w:t>
      </w:r>
      <w:r>
        <w:rPr>
          <w:rFonts w:hint="eastAsia" w:ascii="方正楷体_GBK" w:hAnsi="方正楷体_GBK" w:eastAsia="方正楷体_GBK" w:cs="方正楷体_GBK"/>
          <w:lang w:val="en-US" w:eastAsia="zh-CN"/>
        </w:rPr>
        <w:t>征求意见稿</w:t>
      </w:r>
      <w:r>
        <w:rPr>
          <w:rFonts w:hint="eastAsia" w:ascii="方正楷体_GBK" w:hAnsi="方正楷体_GBK" w:eastAsia="方正楷体_GBK" w:cs="方正楷体_GBK"/>
        </w:rPr>
        <w:t>）</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sdt>
      <w:sdtPr>
        <w:rPr>
          <w:rFonts w:ascii="宋体" w:hAnsi="宋体" w:eastAsia="宋体" w:cs="Times New Roman"/>
          <w:kern w:val="2"/>
          <w:sz w:val="21"/>
          <w:lang w:val="en-US" w:eastAsia="zh-CN"/>
        </w:rPr>
        <w:id w:val="147464392"/>
        <w15:color w:val="DBDBDB"/>
        <w:docPartObj>
          <w:docPartGallery w:val="Table of Contents"/>
          <w:docPartUnique/>
        </w:docPartObj>
      </w:sdtPr>
      <w:sdtEndPr>
        <w:rPr>
          <w:rFonts w:hint="eastAsia" w:ascii="Times New Roman" w:hAnsi="Times New Roman" w:eastAsia="方正仿宋_GBK" w:cs="Times New Roman"/>
          <w:kern w:val="2"/>
          <w:sz w:val="32"/>
          <w:lang w:val="en-US" w:eastAsia="zh-CN"/>
        </w:rPr>
      </w:sdtEndPr>
      <w:sdtContent>
        <w:p>
          <w:pPr>
            <w:spacing w:before="0" w:beforeLines="0" w:after="0" w:afterLines="0" w:line="240" w:lineRule="auto"/>
            <w:ind w:left="0" w:leftChars="0" w:right="0" w:rightChars="0" w:firstLine="0" w:firstLineChars="0"/>
            <w:jc w:val="center"/>
          </w:pPr>
          <w:r>
            <w:rPr>
              <w:rFonts w:hint="eastAsia" w:ascii="方正小标宋_GBK" w:hAnsi="方正小标宋_GBK" w:eastAsia="方正小标宋_GBK" w:cs="方正小标宋_GBK"/>
              <w:sz w:val="52"/>
              <w:szCs w:val="48"/>
            </w:rPr>
            <w:t>目</w:t>
          </w:r>
          <w:r>
            <w:rPr>
              <w:rFonts w:hint="eastAsia" w:ascii="方正小标宋_GBK" w:hAnsi="方正小标宋_GBK" w:eastAsia="方正小标宋_GBK" w:cs="方正小标宋_GBK"/>
              <w:sz w:val="52"/>
              <w:szCs w:val="48"/>
              <w:lang w:val="en-US" w:eastAsia="zh-CN"/>
            </w:rPr>
            <w:t xml:space="preserve">   </w:t>
          </w:r>
          <w:r>
            <w:rPr>
              <w:rFonts w:hint="eastAsia" w:ascii="方正小标宋_GBK" w:hAnsi="方正小标宋_GBK" w:eastAsia="方正小标宋_GBK" w:cs="方正小标宋_GBK"/>
              <w:sz w:val="52"/>
              <w:szCs w:val="48"/>
            </w:rPr>
            <w:t>录</w:t>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_Toc13360 </w:instrText>
          </w:r>
          <w:r>
            <w:rPr>
              <w:rFonts w:hint="eastAsia"/>
              <w:lang w:val="en-US" w:eastAsia="zh-CN"/>
            </w:rPr>
            <w:fldChar w:fldCharType="separate"/>
          </w:r>
          <w:r>
            <w:rPr>
              <w:rFonts w:hint="eastAsia" w:ascii="方正小标宋_GBK" w:hAnsi="方正小标宋_GBK" w:eastAsia="方正小标宋_GBK" w:cs="方正小标宋_GBK"/>
              <w:szCs w:val="24"/>
              <w:lang w:val="en-US" w:eastAsia="zh-CN"/>
            </w:rPr>
            <w:t>第一篇  继往开来谱写发展新篇章</w:t>
          </w:r>
          <w:r>
            <w:tab/>
          </w:r>
          <w:r>
            <w:fldChar w:fldCharType="begin"/>
          </w:r>
          <w:r>
            <w:instrText xml:space="preserve"> PAGEREF _Toc13360 \h </w:instrText>
          </w:r>
          <w:r>
            <w:fldChar w:fldCharType="separate"/>
          </w:r>
          <w:r>
            <w:t>6</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_Toc16554 </w:instrText>
          </w:r>
          <w:r>
            <w:rPr>
              <w:rFonts w:hint="eastAsia"/>
              <w:lang w:val="en-US" w:eastAsia="zh-CN"/>
            </w:rPr>
            <w:fldChar w:fldCharType="separate"/>
          </w:r>
          <w:r>
            <w:rPr>
              <w:rFonts w:hint="eastAsia" w:ascii="方正黑体_GBK" w:hAnsi="方正黑体_GBK" w:eastAsia="方正黑体_GBK" w:cs="方正黑体_GBK"/>
              <w:lang w:val="en-US" w:eastAsia="zh-CN"/>
            </w:rPr>
            <w:t>第一章  发展基础和环境</w:t>
          </w:r>
          <w:r>
            <w:tab/>
          </w:r>
          <w:r>
            <w:fldChar w:fldCharType="begin"/>
          </w:r>
          <w:r>
            <w:instrText xml:space="preserve"> PAGEREF _Toc16554 \h </w:instrText>
          </w:r>
          <w:r>
            <w:fldChar w:fldCharType="separate"/>
          </w:r>
          <w:r>
            <w:t>6</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lang w:val="en-US" w:eastAsia="zh-CN"/>
            </w:rPr>
            <w:fldChar w:fldCharType="begin"/>
          </w:r>
          <w:r>
            <w:rPr>
              <w:rFonts w:hint="eastAsia"/>
              <w:lang w:val="en-US" w:eastAsia="zh-CN"/>
            </w:rPr>
            <w:instrText xml:space="preserve"> HYPERLINK \l _Toc10857 </w:instrText>
          </w:r>
          <w:r>
            <w:rPr>
              <w:rFonts w:hint="eastAsia"/>
              <w:lang w:val="en-US" w:eastAsia="zh-CN"/>
            </w:rPr>
            <w:fldChar w:fldCharType="separate"/>
          </w:r>
          <w:r>
            <w:rPr>
              <w:rFonts w:hint="eastAsia" w:ascii="方正楷体_GBK" w:hAnsi="方正楷体_GBK" w:eastAsia="方正楷体_GBK" w:cs="方正楷体_GBK"/>
              <w:lang w:val="en-US" w:eastAsia="zh-CN"/>
            </w:rPr>
            <w:t>第一节  “十四五”发展成绩</w:t>
          </w:r>
          <w:r>
            <w:tab/>
          </w:r>
          <w:r>
            <w:fldChar w:fldCharType="begin"/>
          </w:r>
          <w:r>
            <w:instrText xml:space="preserve"> PAGEREF _Toc10857 \h </w:instrText>
          </w:r>
          <w:r>
            <w:fldChar w:fldCharType="separate"/>
          </w:r>
          <w:r>
            <w:t>6</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lang w:val="en-US" w:eastAsia="zh-CN"/>
            </w:rPr>
            <w:fldChar w:fldCharType="begin"/>
          </w:r>
          <w:r>
            <w:rPr>
              <w:rFonts w:hint="eastAsia"/>
              <w:lang w:val="en-US" w:eastAsia="zh-CN"/>
            </w:rPr>
            <w:instrText xml:space="preserve"> HYPERLINK \l _Toc21911 </w:instrText>
          </w:r>
          <w:r>
            <w:rPr>
              <w:rFonts w:hint="eastAsia"/>
              <w:lang w:val="en-US" w:eastAsia="zh-CN"/>
            </w:rPr>
            <w:fldChar w:fldCharType="separate"/>
          </w:r>
          <w:r>
            <w:rPr>
              <w:rFonts w:hint="eastAsia" w:ascii="方正楷体_GBK" w:hAnsi="方正楷体_GBK" w:eastAsia="方正楷体_GBK" w:cs="方正楷体_GBK"/>
              <w:lang w:val="en-US" w:eastAsia="zh-CN"/>
            </w:rPr>
            <w:t>第二节  “十五五”发展环境</w:t>
          </w:r>
          <w:r>
            <w:tab/>
          </w:r>
          <w:r>
            <w:fldChar w:fldCharType="begin"/>
          </w:r>
          <w:r>
            <w:instrText xml:space="preserve"> PAGEREF _Toc21911 \h </w:instrText>
          </w:r>
          <w:r>
            <w:fldChar w:fldCharType="separate"/>
          </w:r>
          <w:r>
            <w:t>10</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_Toc6399 </w:instrText>
          </w:r>
          <w:r>
            <w:rPr>
              <w:rFonts w:hint="eastAsia"/>
              <w:lang w:val="en-US" w:eastAsia="zh-CN"/>
            </w:rPr>
            <w:fldChar w:fldCharType="separate"/>
          </w:r>
          <w:r>
            <w:rPr>
              <w:rFonts w:hint="eastAsia" w:ascii="方正黑体_GBK" w:hAnsi="方正黑体_GBK" w:eastAsia="方正黑体_GBK" w:cs="方正黑体_GBK"/>
              <w:lang w:val="en-US" w:eastAsia="zh-CN"/>
            </w:rPr>
            <w:t>第二章  总体要求</w:t>
          </w:r>
          <w:r>
            <w:tab/>
          </w:r>
          <w:r>
            <w:fldChar w:fldCharType="begin"/>
          </w:r>
          <w:r>
            <w:instrText xml:space="preserve"> PAGEREF _Toc6399 \h </w:instrText>
          </w:r>
          <w:r>
            <w:fldChar w:fldCharType="separate"/>
          </w:r>
          <w:r>
            <w:t>14</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_Toc17758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指导思想</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_Toc17758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14</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_Toc19498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发展原则</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_Toc19498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15</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cs="Times New Roman"/>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_Toc1279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发展目标</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_Toc1279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16</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_Toc24578 </w:instrText>
          </w:r>
          <w:r>
            <w:rPr>
              <w:rFonts w:hint="eastAsia"/>
              <w:lang w:val="en-US" w:eastAsia="zh-CN"/>
            </w:rPr>
            <w:fldChar w:fldCharType="separate"/>
          </w:r>
          <w:r>
            <w:rPr>
              <w:rFonts w:hint="eastAsia" w:ascii="方正小标宋_GBK" w:hAnsi="方正小标宋_GBK" w:eastAsia="方正小标宋_GBK" w:cs="方正小标宋_GBK"/>
              <w:szCs w:val="24"/>
            </w:rPr>
            <w:t xml:space="preserve">第二篇 </w:t>
          </w:r>
          <w:r>
            <w:rPr>
              <w:rFonts w:hint="eastAsia" w:ascii="方正小标宋_GBK" w:hAnsi="方正小标宋_GBK" w:eastAsia="方正小标宋_GBK" w:cs="方正小标宋_GBK"/>
              <w:szCs w:val="24"/>
              <w:lang w:val="en-US" w:eastAsia="zh-CN"/>
            </w:rPr>
            <w:t xml:space="preserve"> </w:t>
          </w:r>
          <w:r>
            <w:rPr>
              <w:rFonts w:hint="eastAsia" w:ascii="方正小标宋_GBK" w:hAnsi="方正小标宋_GBK" w:eastAsia="方正小标宋_GBK" w:cs="方正小标宋_GBK"/>
              <w:szCs w:val="24"/>
            </w:rPr>
            <w:t>打造近悦远来的国际文旅名城</w:t>
          </w:r>
          <w:r>
            <w:tab/>
          </w:r>
          <w:r>
            <w:fldChar w:fldCharType="begin"/>
          </w:r>
          <w:r>
            <w:instrText xml:space="preserve"> PAGEREF _Toc24578 \h </w:instrText>
          </w:r>
          <w:r>
            <w:fldChar w:fldCharType="separate"/>
          </w:r>
          <w:r>
            <w:t>20</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_Toc14047 </w:instrText>
          </w:r>
          <w:r>
            <w:rPr>
              <w:rFonts w:hint="eastAsia"/>
              <w:lang w:val="en-US" w:eastAsia="zh-CN"/>
            </w:rPr>
            <w:fldChar w:fldCharType="separate"/>
          </w:r>
          <w:r>
            <w:rPr>
              <w:rFonts w:hint="eastAsia" w:ascii="方正黑体_GBK" w:hAnsi="方正黑体_GBK" w:eastAsia="方正黑体_GBK" w:cs="方正黑体_GBK"/>
            </w:rPr>
            <w:t xml:space="preserve">第三章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优化全域旅游发展空间布局</w:t>
          </w:r>
          <w:r>
            <w:tab/>
          </w:r>
          <w:r>
            <w:fldChar w:fldCharType="begin"/>
          </w:r>
          <w:r>
            <w:instrText xml:space="preserve"> PAGEREF _Toc14047 \h </w:instrText>
          </w:r>
          <w:r>
            <w:fldChar w:fldCharType="separate"/>
          </w:r>
          <w:r>
            <w:t>20</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_Toc20807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空间结构</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_Toc20807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20</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_Toc24837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发展指引</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_Toc24837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20</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_Toc8475 </w:instrText>
          </w:r>
          <w:r>
            <w:rPr>
              <w:rFonts w:hint="eastAsia"/>
              <w:lang w:val="en-US" w:eastAsia="zh-CN"/>
            </w:rPr>
            <w:fldChar w:fldCharType="separate"/>
          </w:r>
          <w:r>
            <w:rPr>
              <w:rFonts w:hint="eastAsia" w:ascii="方正黑体_GBK" w:hAnsi="方正黑体_GBK" w:eastAsia="方正黑体_GBK" w:cs="方正黑体_GBK"/>
            </w:rPr>
            <w:t xml:space="preserve">第四章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构建大足特色旅游产品矩阵</w:t>
          </w:r>
          <w:r>
            <w:tab/>
          </w:r>
          <w:r>
            <w:fldChar w:fldCharType="begin"/>
          </w:r>
          <w:r>
            <w:instrText xml:space="preserve"> PAGEREF _Toc8475 \h </w:instrText>
          </w:r>
          <w:r>
            <w:fldChar w:fldCharType="separate"/>
          </w:r>
          <w:r>
            <w:t>22</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_Toc11864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持续推动大足石刻旅游区提档升级</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_Toc11864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22</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_Toc3026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推进龙水湖创建国家级旅游度假区</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_Toc3026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23</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_Toc23235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发展乡村旅游培育都市微度假产品</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_Toc23235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25</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_Toc4872 </w:instrText>
          </w:r>
          <w:r>
            <w:rPr>
              <w:rFonts w:hint="eastAsia"/>
              <w:lang w:val="en-US" w:eastAsia="zh-CN"/>
            </w:rPr>
            <w:fldChar w:fldCharType="separate"/>
          </w:r>
          <w:r>
            <w:rPr>
              <w:rFonts w:hint="eastAsia" w:ascii="方正黑体_GBK" w:hAnsi="方正黑体_GBK" w:eastAsia="方正黑体_GBK" w:cs="方正黑体_GBK"/>
            </w:rPr>
            <w:t xml:space="preserve">第五章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串珠成链打造旅游精品线路</w:t>
          </w:r>
          <w:r>
            <w:tab/>
          </w:r>
          <w:r>
            <w:fldChar w:fldCharType="begin"/>
          </w:r>
          <w:r>
            <w:instrText xml:space="preserve"> PAGEREF _Toc4872 \h </w:instrText>
          </w:r>
          <w:r>
            <w:fldChar w:fldCharType="separate"/>
          </w:r>
          <w:r>
            <w:t>26</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_Toc10591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推出国际范石刻艺术精品线路</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_Toc10591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26</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_Toc23962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优化大足风主题旅游精品线路</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_Toc23962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26</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_Toc32026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培育巴蜀韵区域联动旅游线路</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_Toc32026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27</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_Toc17463 </w:instrText>
          </w:r>
          <w:r>
            <w:rPr>
              <w:rFonts w:hint="eastAsia"/>
              <w:lang w:val="en-US" w:eastAsia="zh-CN"/>
            </w:rPr>
            <w:fldChar w:fldCharType="separate"/>
          </w:r>
          <w:r>
            <w:rPr>
              <w:rFonts w:hint="eastAsia" w:ascii="方正黑体_GBK" w:hAnsi="方正黑体_GBK" w:eastAsia="方正黑体_GBK" w:cs="方正黑体_GBK"/>
            </w:rPr>
            <w:t xml:space="preserve">第六章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全面提升旅游公共服务品质</w:t>
          </w:r>
          <w:r>
            <w:tab/>
          </w:r>
          <w:r>
            <w:fldChar w:fldCharType="begin"/>
          </w:r>
          <w:r>
            <w:instrText xml:space="preserve"> PAGEREF _Toc17463 \h </w:instrText>
          </w:r>
          <w:r>
            <w:fldChar w:fldCharType="separate"/>
          </w:r>
          <w:r>
            <w:t>28</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_Toc12151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完善便捷化旅游基础服务设施</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_Toc12151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28</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_Toc22433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打造高品质旅游接待服务体系</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_Toc22433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29</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_Toc24147 </w:instrText>
          </w:r>
          <w:r>
            <w:rPr>
              <w:rFonts w:hint="eastAsia"/>
              <w:lang w:val="en-US" w:eastAsia="zh-CN"/>
            </w:rPr>
            <w:fldChar w:fldCharType="separate"/>
          </w:r>
          <w:r>
            <w:rPr>
              <w:rFonts w:hint="eastAsia" w:ascii="方正黑体_GBK" w:hAnsi="方正黑体_GBK" w:eastAsia="方正黑体_GBK" w:cs="方正黑体_GBK"/>
            </w:rPr>
            <w:t>第七章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深化文旅融合促进休闲消费</w:t>
          </w:r>
          <w:r>
            <w:tab/>
          </w:r>
          <w:r>
            <w:fldChar w:fldCharType="begin"/>
          </w:r>
          <w:r>
            <w:instrText xml:space="preserve"> PAGEREF _Toc24147 \h </w:instrText>
          </w:r>
          <w:r>
            <w:fldChar w:fldCharType="separate"/>
          </w:r>
          <w:r>
            <w:t>30</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_Toc21979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推动文化旅游双向深度融合</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_Toc21979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30</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_Toc28889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培育“文旅+百业”跨界融合生态</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_Toc28889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31</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_Toc28112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实施文旅消费能级提升工程</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_Toc28112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34</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_Toc21766 </w:instrText>
          </w:r>
          <w:r>
            <w:rPr>
              <w:rFonts w:hint="eastAsia"/>
              <w:lang w:val="en-US" w:eastAsia="zh-CN"/>
            </w:rPr>
            <w:fldChar w:fldCharType="separate"/>
          </w:r>
          <w:r>
            <w:rPr>
              <w:rFonts w:hint="eastAsia" w:ascii="方正小标宋_GBK" w:hAnsi="方正小标宋_GBK" w:eastAsia="方正小标宋_GBK" w:cs="方正小标宋_GBK"/>
              <w:szCs w:val="24"/>
            </w:rPr>
            <w:t xml:space="preserve">第三篇 </w:t>
          </w:r>
          <w:r>
            <w:rPr>
              <w:rFonts w:hint="eastAsia" w:ascii="方正小标宋_GBK" w:hAnsi="方正小标宋_GBK" w:eastAsia="方正小标宋_GBK" w:cs="方正小标宋_GBK"/>
              <w:szCs w:val="24"/>
              <w:lang w:val="en-US" w:eastAsia="zh-CN"/>
            </w:rPr>
            <w:t xml:space="preserve"> </w:t>
          </w:r>
          <w:r>
            <w:rPr>
              <w:rFonts w:hint="eastAsia" w:ascii="方正小标宋_GBK" w:hAnsi="方正小标宋_GBK" w:eastAsia="方正小标宋_GBK" w:cs="方正小标宋_GBK"/>
              <w:szCs w:val="24"/>
            </w:rPr>
            <w:t>着力打造成渝中部文化高地</w:t>
          </w:r>
          <w:r>
            <w:tab/>
          </w:r>
          <w:r>
            <w:fldChar w:fldCharType="begin"/>
          </w:r>
          <w:r>
            <w:instrText xml:space="preserve"> PAGEREF _Toc21766 \h </w:instrText>
          </w:r>
          <w:r>
            <w:fldChar w:fldCharType="separate"/>
          </w:r>
          <w:r>
            <w:t>36</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_Toc27967 </w:instrText>
          </w:r>
          <w:r>
            <w:rPr>
              <w:rFonts w:hint="eastAsia"/>
              <w:lang w:val="en-US" w:eastAsia="zh-CN"/>
            </w:rPr>
            <w:fldChar w:fldCharType="separate"/>
          </w:r>
          <w:r>
            <w:rPr>
              <w:rFonts w:hint="eastAsia" w:ascii="方正黑体_GBK" w:hAnsi="方正黑体_GBK" w:eastAsia="方正黑体_GBK" w:cs="方正黑体_GBK"/>
            </w:rPr>
            <w:t>第八章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加强文化遗产保护传承研究</w:t>
          </w:r>
          <w:r>
            <w:tab/>
          </w:r>
          <w:r>
            <w:fldChar w:fldCharType="begin"/>
          </w:r>
          <w:r>
            <w:instrText xml:space="preserve"> PAGEREF _Toc27967 \h </w:instrText>
          </w:r>
          <w:r>
            <w:fldChar w:fldCharType="separate"/>
          </w:r>
          <w:r>
            <w:t>36</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_Toc17012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推进大足石刻系统性保护</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_Toc17012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36</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_Toc4842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深化大足石刻研究与阐释</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_Toc4842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37</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_Toc29755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强化文物保护管理与安全</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_Toc29755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38</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_Toc20314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第四节  推动非遗文化保护与传承</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_Toc20314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39</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_Toc6962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第五节  加强文化遗产活化与利用</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_Toc6962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40</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_Toc20671 </w:instrText>
          </w:r>
          <w:r>
            <w:rPr>
              <w:rFonts w:hint="eastAsia"/>
              <w:lang w:val="en-US" w:eastAsia="zh-CN"/>
            </w:rPr>
            <w:fldChar w:fldCharType="separate"/>
          </w:r>
          <w:r>
            <w:rPr>
              <w:rFonts w:hint="eastAsia" w:ascii="方正黑体_GBK" w:hAnsi="方正黑体_GBK" w:eastAsia="方正黑体_GBK" w:cs="方正黑体_GBK"/>
            </w:rPr>
            <w:t>第九章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推动公共文化服务提质增效</w:t>
          </w:r>
          <w:r>
            <w:tab/>
          </w:r>
          <w:r>
            <w:fldChar w:fldCharType="begin"/>
          </w:r>
          <w:r>
            <w:instrText xml:space="preserve"> PAGEREF _Toc20671 \h </w:instrText>
          </w:r>
          <w:r>
            <w:fldChar w:fldCharType="separate"/>
          </w:r>
          <w:r>
            <w:t>41</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_Toc4816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全面提升社会文明程度</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_Toc4816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41</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_Toc23205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健全公共文化服务体系</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_Toc23205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42</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_Toc30333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创新公共文化服务模式</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_Toc30333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43</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_Toc12450 </w:instrText>
          </w:r>
          <w:r>
            <w:rPr>
              <w:rFonts w:hint="eastAsia"/>
              <w:lang w:val="en-US" w:eastAsia="zh-CN"/>
            </w:rPr>
            <w:fldChar w:fldCharType="separate"/>
          </w:r>
          <w:r>
            <w:rPr>
              <w:rFonts w:hint="eastAsia" w:ascii="方正黑体_GBK" w:hAnsi="方正黑体_GBK" w:eastAsia="方正黑体_GBK" w:cs="方正黑体_GBK"/>
            </w:rPr>
            <w:t>第十章  推动文艺精品创作繁荣发展</w:t>
          </w:r>
          <w:r>
            <w:tab/>
          </w:r>
          <w:r>
            <w:fldChar w:fldCharType="begin"/>
          </w:r>
          <w:r>
            <w:instrText xml:space="preserve"> PAGEREF _Toc12450 \h </w:instrText>
          </w:r>
          <w:r>
            <w:fldChar w:fldCharType="separate"/>
          </w:r>
          <w:r>
            <w:t>44</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_Toc25115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加强文艺精品创作生产</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_Toc25115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44</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_Toc21289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创新文艺精品传播交流</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_Toc21289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45</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_Toc16386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扶持文艺团体健康发展</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_Toc16386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46</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_Toc2076 </w:instrText>
          </w:r>
          <w:r>
            <w:rPr>
              <w:rFonts w:hint="eastAsia"/>
              <w:lang w:val="en-US" w:eastAsia="zh-CN"/>
            </w:rPr>
            <w:fldChar w:fldCharType="separate"/>
          </w:r>
          <w:r>
            <w:rPr>
              <w:rFonts w:hint="eastAsia" w:ascii="方正黑体_GBK" w:hAnsi="方正黑体_GBK" w:eastAsia="方正黑体_GBK" w:cs="方正黑体_GBK"/>
            </w:rPr>
            <w:t xml:space="preserve">第十一章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大力构建现代文化产业体系</w:t>
          </w:r>
          <w:r>
            <w:tab/>
          </w:r>
          <w:r>
            <w:fldChar w:fldCharType="begin"/>
          </w:r>
          <w:r>
            <w:instrText xml:space="preserve"> PAGEREF _Toc2076 \h </w:instrText>
          </w:r>
          <w:r>
            <w:fldChar w:fldCharType="separate"/>
          </w:r>
          <w:r>
            <w:t>46</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_Toc22479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聚力发展文化创意产业</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_Toc22479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46</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_Toc13532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拓展数字文化产业赛道</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_Toc13532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47</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_Toc11444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扶持文化装备制造产业</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_Toc11444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48</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_Toc32226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第四节  引导文化产业集聚发展</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_Toc32226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49</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_Toc28452 </w:instrText>
          </w:r>
          <w:r>
            <w:rPr>
              <w:rFonts w:hint="eastAsia"/>
              <w:lang w:val="en-US" w:eastAsia="zh-CN"/>
            </w:rPr>
            <w:fldChar w:fldCharType="separate"/>
          </w:r>
          <w:r>
            <w:rPr>
              <w:rFonts w:hint="eastAsia" w:ascii="方正黑体_GBK" w:hAnsi="方正黑体_GBK" w:eastAsia="方正黑体_GBK" w:cs="方正黑体_GBK"/>
            </w:rPr>
            <w:t>第十二章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开创现代化广电视听新格局</w:t>
          </w:r>
          <w:r>
            <w:tab/>
          </w:r>
          <w:r>
            <w:fldChar w:fldCharType="begin"/>
          </w:r>
          <w:r>
            <w:instrText xml:space="preserve"> PAGEREF _Toc28452 \h </w:instrText>
          </w:r>
          <w:r>
            <w:fldChar w:fldCharType="separate"/>
          </w:r>
          <w:r>
            <w:t>50</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_Toc45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广电媒体系统性变革实现新跃升</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_Toc45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50</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_Toc9492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广电公共服务不断优化升级</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_Toc9492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51</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_Toc23301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全面提升宣传舆论引导力</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_Toc23301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51</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_Toc1330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第四节  精心打造广电视听特色品牌</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_Toc1330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51</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_Toc13534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第五节  推动广电视听内容跨界融合</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_Toc13534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52</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_Toc9392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第六节  推动构建新型广电网络。</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_Toc9392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52</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_Toc31849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第七节  加强安全播出和行业治理</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_Toc31849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53</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_Toc21662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第八节  稳步推进AI技术应用</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_Toc21662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54</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_Toc28434 </w:instrText>
          </w:r>
          <w:r>
            <w:rPr>
              <w:rFonts w:hint="eastAsia"/>
              <w:lang w:val="en-US" w:eastAsia="zh-CN"/>
            </w:rPr>
            <w:fldChar w:fldCharType="separate"/>
          </w:r>
          <w:r>
            <w:rPr>
              <w:rFonts w:hint="eastAsia" w:ascii="方正小标宋_GBK" w:hAnsi="方正小标宋_GBK" w:eastAsia="方正小标宋_GBK" w:cs="方正小标宋_GBK"/>
              <w:szCs w:val="24"/>
            </w:rPr>
            <w:t xml:space="preserve">第四篇 </w:t>
          </w:r>
          <w:r>
            <w:rPr>
              <w:rFonts w:hint="eastAsia" w:ascii="方正小标宋_GBK" w:hAnsi="方正小标宋_GBK" w:eastAsia="方正小标宋_GBK" w:cs="方正小标宋_GBK"/>
              <w:szCs w:val="24"/>
              <w:lang w:val="en-US" w:eastAsia="zh-CN"/>
            </w:rPr>
            <w:t xml:space="preserve"> </w:t>
          </w:r>
          <w:r>
            <w:rPr>
              <w:rFonts w:hint="eastAsia" w:ascii="方正小标宋_GBK" w:hAnsi="方正小标宋_GBK" w:eastAsia="方正小标宋_GBK" w:cs="方正小标宋_GBK"/>
              <w:szCs w:val="24"/>
            </w:rPr>
            <w:t>加快建设现代化体育强区</w:t>
          </w:r>
          <w:r>
            <w:tab/>
          </w:r>
          <w:r>
            <w:fldChar w:fldCharType="begin"/>
          </w:r>
          <w:r>
            <w:instrText xml:space="preserve"> PAGEREF _Toc28434 \h </w:instrText>
          </w:r>
          <w:r>
            <w:fldChar w:fldCharType="separate"/>
          </w:r>
          <w:r>
            <w:t>55</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_Toc13034 </w:instrText>
          </w:r>
          <w:r>
            <w:rPr>
              <w:rFonts w:hint="eastAsia"/>
              <w:lang w:val="en-US" w:eastAsia="zh-CN"/>
            </w:rPr>
            <w:fldChar w:fldCharType="separate"/>
          </w:r>
          <w:r>
            <w:rPr>
              <w:rFonts w:hint="eastAsia" w:ascii="方正黑体_GBK" w:hAnsi="方正黑体_GBK" w:eastAsia="方正黑体_GBK" w:cs="方正黑体_GBK"/>
            </w:rPr>
            <w:t xml:space="preserve">第十三章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积极构建高质高效体育事业</w:t>
          </w:r>
          <w:r>
            <w:tab/>
          </w:r>
          <w:r>
            <w:fldChar w:fldCharType="begin"/>
          </w:r>
          <w:r>
            <w:instrText xml:space="preserve"> PAGEREF _Toc13034 \h </w:instrText>
          </w:r>
          <w:r>
            <w:fldChar w:fldCharType="separate"/>
          </w:r>
          <w:r>
            <w:t>55</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_Toc30840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完善全民健身设施网络</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_Toc30840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55</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_Toc21625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大力提高竞技体育水平</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_Toc21625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56</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_Toc23207 </w:instrText>
          </w:r>
          <w:r>
            <w:rPr>
              <w:rFonts w:hint="eastAsia"/>
              <w:lang w:val="en-US" w:eastAsia="zh-CN"/>
            </w:rPr>
            <w:fldChar w:fldCharType="separate"/>
          </w:r>
          <w:r>
            <w:rPr>
              <w:rFonts w:hint="eastAsia" w:ascii="方正黑体_GBK" w:hAnsi="方正黑体_GBK" w:eastAsia="方正黑体_GBK" w:cs="方正黑体_GBK"/>
            </w:rPr>
            <w:t xml:space="preserve">第十四章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加快推动现代体育产业发展</w:t>
          </w:r>
          <w:r>
            <w:tab/>
          </w:r>
          <w:r>
            <w:fldChar w:fldCharType="begin"/>
          </w:r>
          <w:r>
            <w:instrText xml:space="preserve"> PAGEREF _Toc23207 \h </w:instrText>
          </w:r>
          <w:r>
            <w:fldChar w:fldCharType="separate"/>
          </w:r>
          <w:r>
            <w:t>57</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_Toc22779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丰富体育运动产品供给</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_Toc22779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57</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_Toc19735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推动体彩健康持续发展</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_Toc19735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58</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_Toc32357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积极承办品牌运动赛事</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_Toc32357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59</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_Toc28869 </w:instrText>
          </w:r>
          <w:r>
            <w:rPr>
              <w:rFonts w:hint="eastAsia"/>
              <w:lang w:val="en-US" w:eastAsia="zh-CN"/>
            </w:rPr>
            <w:fldChar w:fldCharType="separate"/>
          </w:r>
          <w:r>
            <w:rPr>
              <w:rFonts w:hint="eastAsia" w:ascii="方正小标宋_GBK" w:hAnsi="方正小标宋_GBK" w:eastAsia="方正小标宋_GBK" w:cs="方正小标宋_GBK"/>
              <w:szCs w:val="24"/>
            </w:rPr>
            <w:t>第五篇</w:t>
          </w:r>
          <w:r>
            <w:rPr>
              <w:rFonts w:hint="eastAsia" w:ascii="方正小标宋_GBK" w:hAnsi="方正小标宋_GBK" w:eastAsia="方正小标宋_GBK" w:cs="方正小标宋_GBK"/>
              <w:szCs w:val="24"/>
              <w:lang w:val="en-US" w:eastAsia="zh-CN"/>
            </w:rPr>
            <w:t xml:space="preserve"> </w:t>
          </w:r>
          <w:r>
            <w:rPr>
              <w:rFonts w:hint="eastAsia" w:ascii="方正小标宋_GBK" w:hAnsi="方正小标宋_GBK" w:eastAsia="方正小标宋_GBK" w:cs="方正小标宋_GBK"/>
              <w:szCs w:val="24"/>
            </w:rPr>
            <w:t xml:space="preserve"> 推动文旅体高质量发展</w:t>
          </w:r>
          <w:r>
            <w:tab/>
          </w:r>
          <w:r>
            <w:fldChar w:fldCharType="begin"/>
          </w:r>
          <w:r>
            <w:instrText xml:space="preserve"> PAGEREF _Toc28869 \h </w:instrText>
          </w:r>
          <w:r>
            <w:fldChar w:fldCharType="separate"/>
          </w:r>
          <w:r>
            <w:t>61</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_Toc14648 </w:instrText>
          </w:r>
          <w:r>
            <w:rPr>
              <w:rFonts w:hint="eastAsia"/>
              <w:lang w:val="en-US" w:eastAsia="zh-CN"/>
            </w:rPr>
            <w:fldChar w:fldCharType="separate"/>
          </w:r>
          <w:r>
            <w:rPr>
              <w:rFonts w:hint="eastAsia" w:ascii="方正黑体_GBK" w:hAnsi="方正黑体_GBK" w:eastAsia="方正黑体_GBK" w:cs="方正黑体_GBK"/>
            </w:rPr>
            <w:t xml:space="preserve">第十五章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推进文旅体智慧化转型升级</w:t>
          </w:r>
          <w:r>
            <w:tab/>
          </w:r>
          <w:r>
            <w:fldChar w:fldCharType="begin"/>
          </w:r>
          <w:r>
            <w:instrText xml:space="preserve"> PAGEREF _Toc14648 \h </w:instrText>
          </w:r>
          <w:r>
            <w:fldChar w:fldCharType="separate"/>
          </w:r>
          <w:r>
            <w:t>61</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_Toc10713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建设一体化智慧管理服务平台</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_Toc10713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61</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_Toc16378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培育智慧文旅体新场景新应用</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_Toc16378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62</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_Toc13239 </w:instrText>
          </w:r>
          <w:r>
            <w:rPr>
              <w:rFonts w:hint="eastAsia"/>
              <w:lang w:val="en-US" w:eastAsia="zh-CN"/>
            </w:rPr>
            <w:fldChar w:fldCharType="separate"/>
          </w:r>
          <w:r>
            <w:rPr>
              <w:rFonts w:hint="eastAsia" w:ascii="方正黑体_GBK" w:hAnsi="方正黑体_GBK" w:eastAsia="方正黑体_GBK" w:cs="方正黑体_GBK"/>
            </w:rPr>
            <w:t xml:space="preserve">第十六章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建设巴蜀文旅走廊重要节点</w:t>
          </w:r>
          <w:r>
            <w:tab/>
          </w:r>
          <w:r>
            <w:fldChar w:fldCharType="begin"/>
          </w:r>
          <w:r>
            <w:instrText xml:space="preserve"> PAGEREF _Toc13239 \h </w:instrText>
          </w:r>
          <w:r>
            <w:fldChar w:fldCharType="separate"/>
          </w:r>
          <w:r>
            <w:t>63</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_Toc11155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积极融入巴蜀文化旅游走廊</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_Toc11155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63</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_Toc10867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促进渝西片区文旅协同发展</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_Toc10867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64</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_Toc7016 </w:instrText>
          </w:r>
          <w:r>
            <w:rPr>
              <w:rFonts w:hint="eastAsia"/>
              <w:lang w:val="en-US" w:eastAsia="zh-CN"/>
            </w:rPr>
            <w:fldChar w:fldCharType="separate"/>
          </w:r>
          <w:r>
            <w:rPr>
              <w:rFonts w:hint="eastAsia" w:ascii="方正黑体_GBK" w:hAnsi="方正黑体_GBK" w:eastAsia="方正黑体_GBK" w:cs="方正黑体_GBK"/>
            </w:rPr>
            <w:t xml:space="preserve">第十七章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持续强化品牌营销市场推广</w:t>
          </w:r>
          <w:r>
            <w:tab/>
          </w:r>
          <w:r>
            <w:fldChar w:fldCharType="begin"/>
          </w:r>
          <w:r>
            <w:instrText xml:space="preserve"> PAGEREF _Toc7016 \h </w:instrText>
          </w:r>
          <w:r>
            <w:fldChar w:fldCharType="separate"/>
          </w:r>
          <w:r>
            <w:t>65</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_Toc23802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加强国际文化旅游交流活动</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_Toc23802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65</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_Toc868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持续推动节事活动精准营销</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_Toc868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66</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_Toc5489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构建全媒体立体化营销矩阵</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_Toc5489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67</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_Toc15197 </w:instrText>
          </w:r>
          <w:r>
            <w:rPr>
              <w:rFonts w:hint="eastAsia"/>
              <w:lang w:val="en-US" w:eastAsia="zh-CN"/>
            </w:rPr>
            <w:fldChar w:fldCharType="separate"/>
          </w:r>
          <w:r>
            <w:rPr>
              <w:rFonts w:hint="eastAsia" w:ascii="方正黑体_GBK" w:hAnsi="方正黑体_GBK" w:eastAsia="方正黑体_GBK" w:cs="方正黑体_GBK"/>
            </w:rPr>
            <w:t xml:space="preserve">第十八章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壮大市场主体培育产业生态</w:t>
          </w:r>
          <w:r>
            <w:tab/>
          </w:r>
          <w:r>
            <w:fldChar w:fldCharType="begin"/>
          </w:r>
          <w:r>
            <w:instrText xml:space="preserve"> PAGEREF _Toc15197 \h </w:instrText>
          </w:r>
          <w:r>
            <w:fldChar w:fldCharType="separate"/>
          </w:r>
          <w:r>
            <w:t>68</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_Toc12692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加大产业招商引资力度</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_Toc12692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68</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_Toc25194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推动市场主体梯级培育</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_Toc25194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68</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_Toc29479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营造公平有序市场环境</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_Toc29479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69</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_Toc32297 </w:instrText>
          </w:r>
          <w:r>
            <w:rPr>
              <w:rFonts w:hint="eastAsia"/>
              <w:lang w:val="en-US" w:eastAsia="zh-CN"/>
            </w:rPr>
            <w:fldChar w:fldCharType="separate"/>
          </w:r>
          <w:r>
            <w:rPr>
              <w:rFonts w:hint="eastAsia" w:ascii="方正黑体_GBK" w:hAnsi="方正黑体_GBK" w:eastAsia="方正黑体_GBK" w:cs="方正黑体_GBK"/>
            </w:rPr>
            <w:t>第十九章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持续提升行业高效治理水平</w:t>
          </w:r>
          <w:r>
            <w:tab/>
          </w:r>
          <w:r>
            <w:fldChar w:fldCharType="begin"/>
          </w:r>
          <w:r>
            <w:instrText xml:space="preserve"> PAGEREF _Toc32297 \h </w:instrText>
          </w:r>
          <w:r>
            <w:fldChar w:fldCharType="separate"/>
          </w:r>
          <w:r>
            <w:t>70</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_Toc28839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完善文旅市场治理</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_Toc28839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70</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_Toc15628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加强旅游文明建设</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_Toc15628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71</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_Toc4329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健全安全管理体系</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_Toc4329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72</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_Toc15392 </w:instrText>
          </w:r>
          <w:r>
            <w:rPr>
              <w:rFonts w:hint="eastAsia"/>
              <w:lang w:val="en-US" w:eastAsia="zh-CN"/>
            </w:rPr>
            <w:fldChar w:fldCharType="separate"/>
          </w:r>
          <w:r>
            <w:rPr>
              <w:rFonts w:hint="eastAsia" w:ascii="方正小标宋_GBK" w:hAnsi="方正小标宋_GBK" w:eastAsia="方正小标宋_GBK" w:cs="方正小标宋_GBK"/>
              <w:szCs w:val="24"/>
            </w:rPr>
            <w:t xml:space="preserve">第六篇 </w:t>
          </w:r>
          <w:r>
            <w:rPr>
              <w:rFonts w:hint="eastAsia" w:ascii="方正小标宋_GBK" w:hAnsi="方正小标宋_GBK" w:eastAsia="方正小标宋_GBK" w:cs="方正小标宋_GBK"/>
              <w:szCs w:val="24"/>
              <w:lang w:val="en-US" w:eastAsia="zh-CN"/>
            </w:rPr>
            <w:t xml:space="preserve"> </w:t>
          </w:r>
          <w:r>
            <w:rPr>
              <w:rFonts w:hint="eastAsia" w:ascii="方正小标宋_GBK" w:hAnsi="方正小标宋_GBK" w:eastAsia="方正小标宋_GBK" w:cs="方正小标宋_GBK"/>
              <w:szCs w:val="24"/>
            </w:rPr>
            <w:t>规划实施保障</w:t>
          </w:r>
          <w:r>
            <w:tab/>
          </w:r>
          <w:r>
            <w:fldChar w:fldCharType="begin"/>
          </w:r>
          <w:r>
            <w:instrText xml:space="preserve"> PAGEREF _Toc15392 \h </w:instrText>
          </w:r>
          <w:r>
            <w:fldChar w:fldCharType="separate"/>
          </w:r>
          <w:r>
            <w:t>74</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textAlignment w:val="auto"/>
          </w:pPr>
          <w:r>
            <w:rPr>
              <w:rFonts w:hint="eastAsia"/>
              <w:lang w:val="en-US" w:eastAsia="zh-CN"/>
            </w:rPr>
            <w:fldChar w:fldCharType="begin"/>
          </w:r>
          <w:r>
            <w:rPr>
              <w:rFonts w:hint="eastAsia"/>
              <w:lang w:val="en-US" w:eastAsia="zh-CN"/>
            </w:rPr>
            <w:instrText xml:space="preserve"> HYPERLINK \l _Toc4166 </w:instrText>
          </w:r>
          <w:r>
            <w:rPr>
              <w:rFonts w:hint="eastAsia"/>
              <w:lang w:val="en-US" w:eastAsia="zh-CN"/>
            </w:rPr>
            <w:fldChar w:fldCharType="separate"/>
          </w:r>
          <w:r>
            <w:rPr>
              <w:rFonts w:hint="eastAsia" w:ascii="方正黑体_GBK" w:hAnsi="方正黑体_GBK" w:eastAsia="方正黑体_GBK" w:cs="方正黑体_GBK"/>
            </w:rPr>
            <w:t xml:space="preserve">第二十章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保障措施</w:t>
          </w:r>
          <w:r>
            <w:tab/>
          </w:r>
          <w:r>
            <w:fldChar w:fldCharType="begin"/>
          </w:r>
          <w:r>
            <w:instrText xml:space="preserve"> PAGEREF _Toc4166 \h </w:instrText>
          </w:r>
          <w:r>
            <w:fldChar w:fldCharType="separate"/>
          </w:r>
          <w:r>
            <w:t>74</w:t>
          </w:r>
          <w:r>
            <w:fldChar w:fldCharType="end"/>
          </w:r>
          <w:r>
            <w:rPr>
              <w:rFonts w:hint="eastAsia"/>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_Toc29669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第一节  加强制度保障</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_Toc29669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74</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lang w:val="en-US" w:eastAsia="zh-CN"/>
            </w:rPr>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_Toc17535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第二节  强化政策支持</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_Toc17535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74</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pStyle w:val="24"/>
            <w:keepNext w:val="0"/>
            <w:keepLines w:val="0"/>
            <w:pageBreakBefore w:val="0"/>
            <w:widowControl w:val="0"/>
            <w:tabs>
              <w:tab w:val="right" w:leader="dot" w:pos="9014"/>
            </w:tabs>
            <w:kinsoku/>
            <w:wordWrap/>
            <w:overflowPunct/>
            <w:topLinePunct w:val="0"/>
            <w:autoSpaceDE/>
            <w:autoSpaceDN/>
            <w:bidi w:val="0"/>
            <w:adjustRightInd/>
            <w:snapToGrid/>
            <w:spacing w:line="560" w:lineRule="exact"/>
            <w:ind w:firstLine="640" w:firstLineChars="200"/>
            <w:textAlignment w:val="auto"/>
          </w:pP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HYPERLINK \l _Toc19775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第三节  落实人才保障</w:t>
          </w:r>
          <w:r>
            <w:rPr>
              <w:rFonts w:hint="eastAsia" w:ascii="方正楷体_GBK" w:hAnsi="方正楷体_GBK" w:eastAsia="方正楷体_GBK" w:cs="方正楷体_GBK"/>
              <w:lang w:val="en-US" w:eastAsia="zh-CN"/>
            </w:rPr>
            <w:tab/>
          </w:r>
          <w:r>
            <w:rPr>
              <w:rFonts w:hint="eastAsia" w:ascii="方正楷体_GBK" w:hAnsi="方正楷体_GBK" w:eastAsia="方正楷体_GBK" w:cs="方正楷体_GBK"/>
              <w:lang w:val="en-US" w:eastAsia="zh-CN"/>
            </w:rPr>
            <w:fldChar w:fldCharType="begin"/>
          </w:r>
          <w:r>
            <w:rPr>
              <w:rFonts w:hint="eastAsia" w:ascii="方正楷体_GBK" w:hAnsi="方正楷体_GBK" w:eastAsia="方正楷体_GBK" w:cs="方正楷体_GBK"/>
              <w:lang w:val="en-US" w:eastAsia="zh-CN"/>
            </w:rPr>
            <w:instrText xml:space="preserve"> PAGEREF _Toc19775 \h </w:instrText>
          </w:r>
          <w:r>
            <w:rPr>
              <w:rFonts w:hint="eastAsia" w:ascii="方正楷体_GBK" w:hAnsi="方正楷体_GBK" w:eastAsia="方正楷体_GBK" w:cs="方正楷体_GBK"/>
              <w:lang w:val="en-US" w:eastAsia="zh-CN"/>
            </w:rPr>
            <w:fldChar w:fldCharType="separate"/>
          </w:r>
          <w:r>
            <w:rPr>
              <w:rFonts w:hint="eastAsia" w:ascii="方正楷体_GBK" w:hAnsi="方正楷体_GBK" w:eastAsia="方正楷体_GBK" w:cs="方正楷体_GBK"/>
              <w:lang w:val="en-US" w:eastAsia="zh-CN"/>
            </w:rPr>
            <w:t>75</w:t>
          </w:r>
          <w:r>
            <w:rPr>
              <w:rFonts w:hint="eastAsia" w:ascii="方正楷体_GBK" w:hAnsi="方正楷体_GBK" w:eastAsia="方正楷体_GBK" w:cs="方正楷体_GBK"/>
              <w:lang w:val="en-US" w:eastAsia="zh-CN"/>
            </w:rPr>
            <w:fldChar w:fldCharType="end"/>
          </w:r>
          <w:r>
            <w:rPr>
              <w:rFonts w:hint="eastAsia" w:ascii="方正楷体_GBK" w:hAnsi="方正楷体_GBK" w:eastAsia="方正楷体_GBK" w:cs="方正楷体_GBK"/>
              <w:lang w:val="en-US" w:eastAsia="zh-CN"/>
            </w:rPr>
            <w:fldChar w:fldCharType="end"/>
          </w:r>
        </w:p>
        <w:p>
          <w:pPr>
            <w:bidi w:val="0"/>
            <w:rPr>
              <w:rFonts w:hint="eastAsia"/>
              <w:lang w:val="en-US" w:eastAsia="zh-CN"/>
            </w:rPr>
          </w:pPr>
          <w:r>
            <w:rPr>
              <w:rFonts w:hint="eastAsia"/>
              <w:lang w:val="en-US" w:eastAsia="zh-CN"/>
            </w:rPr>
            <w:fldChar w:fldCharType="end"/>
          </w:r>
        </w:p>
      </w:sdtContent>
    </w:sdt>
    <w:p>
      <w:pPr>
        <w:rPr>
          <w:rFonts w:hint="eastAsia" w:ascii="方正小标宋_GBK" w:hAnsi="方正小标宋_GBK" w:eastAsia="方正小标宋_GBK" w:cs="方正小标宋_GBK"/>
          <w:sz w:val="44"/>
          <w:szCs w:val="24"/>
          <w:lang w:val="en-US" w:eastAsia="zh-CN"/>
        </w:rPr>
      </w:pPr>
      <w:r>
        <w:rPr>
          <w:rFonts w:hint="eastAsia" w:ascii="方正小标宋_GBK" w:hAnsi="方正小标宋_GBK" w:eastAsia="方正小标宋_GBK" w:cs="方正小标宋_GBK"/>
          <w:sz w:val="4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44"/>
          <w:szCs w:val="24"/>
          <w:lang w:val="en-US" w:eastAsia="zh-CN"/>
        </w:rPr>
      </w:pPr>
      <w:bookmarkStart w:id="0" w:name="_Toc13360"/>
      <w:r>
        <w:rPr>
          <w:rFonts w:hint="eastAsia" w:ascii="方正小标宋_GBK" w:hAnsi="方正小标宋_GBK" w:eastAsia="方正小标宋_GBK" w:cs="方正小标宋_GBK"/>
          <w:sz w:val="44"/>
          <w:szCs w:val="24"/>
          <w:lang w:val="en-US" w:eastAsia="zh-CN"/>
        </w:rPr>
        <w:t>第一篇  继往开来谱写发展新篇章</w:t>
      </w:r>
      <w:bookmarkEnd w:id="0"/>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lang w:val="en-US" w:eastAsia="zh-CN"/>
        </w:rPr>
      </w:pPr>
      <w:bookmarkStart w:id="1" w:name="_Toc16554"/>
      <w:r>
        <w:rPr>
          <w:rFonts w:hint="eastAsia" w:ascii="方正黑体_GBK" w:hAnsi="方正黑体_GBK" w:eastAsia="方正黑体_GBK" w:cs="方正黑体_GBK"/>
          <w:lang w:val="en-US" w:eastAsia="zh-CN"/>
        </w:rPr>
        <w:t>第一章  发展基础和环境</w:t>
      </w:r>
      <w:bookmarkEnd w:id="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2" w:name="_Toc10857"/>
      <w:r>
        <w:rPr>
          <w:rFonts w:hint="eastAsia" w:ascii="方正楷体_GBK" w:hAnsi="方正楷体_GBK" w:eastAsia="方正楷体_GBK" w:cs="方正楷体_GBK"/>
          <w:lang w:val="en-US" w:eastAsia="zh-CN"/>
        </w:rPr>
        <w:t>第一节  “十四五”发展成绩</w:t>
      </w:r>
      <w:bookmarkEnd w:id="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一、文化事业繁荣发展，文化产业欣欣向荣</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文化遗产保护成效显著。大足率先在全国探索中小石窟保护新模式，5年来累计投入文物保护专项资金超5.3亿元，实施了川渝石窟寺保护示范项目宝顶山卧佛和小佛湾造像保护修缮工程、宝顶山广大寺修缮工程、石门山石刻抢险加固工程、北山第168窟抢救性保护工程、宝顶山大佛湾水害治理（二期）工程、大足石刻中小石窟保护设施建设项目等代表的文物保护项目30余项。建成大足石刻文物医院改造升级监测预警中心、安全技术防范中心。建立川渝石窟保护研究中心、川渝石窟保护研究联合实验室、川渝石窟保护利用科技创新基地，成功创建潮湿环境砂岩石窟保护与数字化重庆市重点实验室。制定不可移动石质文物修复行业标准1项。联合完成科技部国家重点研发计划项目2项，建成石窟寺岩体裂隙灌浆材料产学研一体化基地，南方潮湿环境下石窟寺水害治理难题取得突破。大足石刻中小石窟保护设施建设项目（第一期）和大足石刻小佛湾造像保护修复工程（第一阶段）分别荣获2022年和2025年度重庆市文物保护优质工程；中意合作大足石刻舒成岩摩崖造像保护修复工程荣获2025年度文物保护优质工程特别奖。</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公共文化服务全面提升。建成国家一级文化馆1座，一、三级图书馆各1座，美术馆1座，一级博物馆1个，二级博物馆1个，新时代文明实践中心全覆盖。年均开展文化活动600余场，惠及群众超30万人次。创作文艺作品1731件，多部作品获国家级、市级奖项，《鲤鱼跃龙门》入围中国民间文艺“山花奖”终评。拥有非遗项目104项、传承人147人，建成各级非遗保护示范基地、传习所、工坊33个，刘能风获评大足石雕国家级非遗传承人。我区获批市级历史文化名城，红岩重型汽车博物馆获全国重型汽车产学研实训基地、全国关心下一代党史国史教育基地获国家二级博物馆，区图书馆、万古鲤鱼灯舞保护传习所获全国优秀文化空间案例基层文化空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文化产业体系逐步健全。现有文旅市场主体5000家，规上企业32家。文创园区累计投资53亿元，推出400余种文创产品，获评市级文化产业示范园区、全市首批文物文化创意产业基地。“大足好礼”获市级以上奖项近20项，2项作品入选中国好礼，连续3年获评“中国工艺美术文化创意大赛”金奖。推动18道菜品入选“渝味360碗”，新增星级饭店2家，等级民宿2家，全区床位超9000张。</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二、旅游产业持续发展，旅游格局不断优化</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旅游经济总量稳健增长。2025年全区累计接待游客4360.78万人次，同比增长12.6%；实现旅游总收入351.53亿元，同比增长34.86%；接待过夜游客94.4万人次，同比增长4.87%。大足石刻景区购票163.04万人次、增长15.66%，门票收入10730.59万元、增长6.83%；其中团队游客48.88万人次、占比29.98%、增长38.14%。龙水湖旅游度假区游船购票30.14万人次、增长100.93%，游船收入765.08万元、增长59.39%。</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旅游景区建设成效斐然。推进“五山联动”，大足石刻景区实现五山同开。建成数字博物馆，上线“云游·宝顶”元宇宙景区，推出VR《无面之神》体验，数字影院入选全国智慧旅游沉浸式体验新空间培育试点，景区跻身全国文物旅游景区综合影响力第五、石窟寺及石刻文物类景区第二。做好“山水文章”，龙水湖度假区推出阳光沙滩西子湾营地等4个新场景，年均举办露营节等活动10余场，获中国体育旅游精品景区，马拉松赛事获中国田协双认证。推动“串珠成链”，新增A级景区7家，推出精品线路10余条，“雍溪里有戏”等品牌持续擦亮。</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旅游宣传营销热度攀升。新媒体矩阵曝光量破15亿，多个话题登全国热搜。实施全球招募1007名“大足石刻守护人”计划，已招募单霁翔、张国立等专家、名人为代表的“大足石刻守护人”402人。大足石刻进入国家统编历史教材、登上蛇年央视春晚、亮相《黑神话：悟空》，13项非遗登上《非遗里的中国》《诗行重庆》等节目。赴瑞士、法国推介大足文旅，走进联合国“何以文明”特展等国际展会20余场次。</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三、全民健身蔚然成风，体育产业不断壮大</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全民健身设施不断完善。“十四五”期间，全区持续加大体育设施建设投入，实现数量、覆盖、品质三重提升，体育场地总数达4201个，总面积达252.92万平方米，人均体育场地面积提升至3.22平方米，建成体育公园7个，足球场地97块，超额完成“十四五”规划目标，凭借完善的足球场地建设和浓厚的足球运动氛围，大足区被国家体育总局评为“首批全国县域足球典型”。全区27个镇街、202个行政村、102个社区体育设施全达标，城区“15分钟健身圈”与村镇“半小时健身圈”全面成型；区体育运动中心等大型场馆免费开放率100%。同时，我区注重体彩公益金规范使用，《大足区用好体彩公益金，推动打造本地赛事IP》被国家体育总局评选为典型案例，为县域体育事业发展提供了可借鉴的实践经验。</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青少年体育稳步发展。“十四五”期间，参加市级以上比赛获得金牌58枚、银牌95枚、铜牌157枚。“十四五”周期内完成试训输送队员20名；田径、跆拳道被评为市级单项基地称号。建成竞技体育特色学校、共建基地相关学校30所。2023年大足区青少年体育运动学校被国家体育总局命名为“国家高水平体育后备人才基地”，夯实了青少年体育人才培养根基。成功承办“第十七届中韩青少年体育交流活动”，这是重庆首次承办该国家级交流项目，吸引中韩160名运动员参赛，央视CGTN、《中国体育报》等全程报道，推动大足石刻文化国际传播。</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赛事活动开展精神纷呈。“十四五”期间，累计承办全国围甲比赛、全国定向锦标赛等国家级赛事8场，与川渝周边城市联合办赛6场，实现资源共享、品牌共塑。大足区获评“全国围棋之乡”称号，龙水湖半程马拉松获中国田协“银牌赛事”“自然生态特色赛事”，依托龙水湖优质生态资源，大足龙水湖汽车自驾运动营地被评为2025年国家级汽车自驾运动营地，丰富了体育赛事与休闲运动融合场景。累计举办各级各类赛事活动287场，其中围绕“大足石刻”品牌打造“大足石刻杯”系列赛事，累计举办43场。注重体育文化传承，2023年，万古鲤鱼灯舞被国家体育总局评选为“中华体育文化优秀民俗民间项目”，推动传统民俗与体育事业深度融合。大足区体育局被国家体育总局评为2021-2024年度全国群众体育先进单位，全面彰显了“十四五”期间我区群众体育工作的显著成效。</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 w:name="_Toc21911"/>
      <w:r>
        <w:rPr>
          <w:rFonts w:hint="eastAsia" w:ascii="方正楷体_GBK" w:hAnsi="方正楷体_GBK" w:eastAsia="方正楷体_GBK" w:cs="方正楷体_GBK"/>
          <w:lang w:val="en-US" w:eastAsia="zh-CN"/>
        </w:rPr>
        <w:t>第二节  “十五五”发展环境</w:t>
      </w:r>
      <w:bookmarkEnd w:id="3"/>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一、发展机遇</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国家战略指引发展新方向。党的二十届四中全会审议通过《中共中央关于制定国民经济和社会发展第十五个五年规划的建议》中明确提出“发展具有强大思想引领力、精神凝聚力、价值感召力、国际影响力的新时代中国特色社会主义文化”“扎实推进文化强国建设”“推进旅游强国建设”。习近平总书记强调，文旅产业要真正打造成为“支柱产业、民生产业、幸福产业”。大足大力推动文旅高质量发展，将撬动产业升级、城市提质、民生改善，将进一步优化产业结构，推动经济高质量发展；将有效带动城市品质提升、城乡环境改善、居民良好就业，更好地满足游客高品质旅游和全区人民高品质生活需求。</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区域协同拓展合作新空间。成渝双城经济圈建设的深入推进，巴蜀文化旅游走廊的持续建设，为大足文旅体发展创造了广阔的区域市场与合作平台。依托重庆、成都两大中心城市的强大辐射带动效应，大足将承接川渝地区高频次、短周期的度假需求，并借助区域旅游线路整合拓展客源腹地。大足将积极融入川渝文旅统一大市场，培育资阳大足跨区域文旅协同发展示范样板，做强“资足常乐”组合IP，推动建设川渝石窟寺国家遗址公园，共建“石窟寺保护示范区”“川渝石窟保护技术共享平台与联合研究基地”。</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提振消费催生产品新需求。随着居民收入水平提高与消费观念转变，文旅体消费呈现多元化、品质化、体验化趋势。大众旅游需求加速从传统观光向文化体验、康养度假、户外运动等领域延伸，体育旅游、研学旅行、国潮文创等细分市场蓬勃发展。消费行为的“场景化”与“IP化”特征日益显著，这对供给侧改革提出了更高要求。大足应围绕大足石刻这一世界级IP，打造融合演艺、美食、民宿等多要素的复合型消费生态，提供能够延长停留、深化体验的高质量产品与服务。</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数字科技赋能体验新场景。大数据、人工智能、虚拟现实等新一代信息技术正加速与文旅体产业深度融合，为创新服务体验、优化运营管理、重塑商业模式提供了强大动能。国家关于推进产业数字化转型的战略部署，明确要求强化数智技术在内容创作、场景营造、智慧管理等方面的应用。数字技术不仅催生虚拟演艺、智慧体育等新业态，更能革新公共服务模式，推动文化遗产“云端”共享、体育场馆智慧化运营、文旅产品沉浸式体验等，将为大足文旅体跨越发展提供强大驱动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中线高铁拓展发展新可能。2027年6月18日，成渝中线高铁将正式建成通车，它将大大缩短大足与成都、重庆中心城区之间的时空距离，实现半小时通达，大足旅游的客源辐射能力将大大增强，将有效激活周末游、短途游市场。旅游可达性的提升，一方面将使大足石刻成为更多前往川渝旅游的游客的观光选择，另一方面也为大足的山水生态度假、乡村休闲体验提供了发展机遇，“周末去大足”将成为更多成渝都市圈市民的选择。</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二、存在问题</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供给结构有待优化。文旅项目以观光游览为主，体验式、沉浸式、私人定制等休闲文旅项目较少。大足拥有3处五级旅游资源、15处四级旅游资源、37处三级旅游资源，但整合利用不充分，新业态、新场景匮乏，“两天一夜游”线路吸引力弱，游客规模和旅游花费等与世界文化遗产地的地位不匹配，“四少”现象较为突出（景区购票人数少、团队游客占比少、过夜游客占比少、游客人均花费少）。文旅资源向文创产品和文旅产业的转化不足，缺少有辨识度和影响力的文创产品、旅游商品及消费场景，尚未实现从过路游向目的地游的转变。夜游产品体验较为单一，香国公园、“如梦荷棠”、昌州古城等景区夜间利用率不足，“如梦荷棠”光影秀全年运营时长不足4个月。</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产品能级有待提高。要构建国际化的旅游目的地，大足尚缺乏国家级旅游度假区、国家级休闲街区和夜间文化和旅游消费集聚区等让游客留下来的高能级品牌。大足景区业态不够丰富，高品质研学旅行、主题民宿、文化演艺等新兴业态发展缓慢或规模较小，游客消费空间不足。文旅资源演化为文旅故事和文旅演艺不够，缺乏驻场演艺等沉浸式、互动式中高端产品。虽然舞剧《天下大足》等提升了大足的知名度，但立得起、叫得响、走得远的大足特色文艺精品数量较少，尚无一支专业艺术团队，无一台本土文化IP驻场演艺剧目，“群星奖”“牡丹奖”“荷花奖”等国家级奖项至今未实现零突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服务配套有待完善。一是特色餐饮配套不足。菜品“散而不精”，宣传“多而不聚”，缺乏统一标识和故事包装。游客对大足美食的了解仅局限于个别菜品，未形成如“乐山小吃”“自贡盐帮菜”般的品牌影响力。二是住宿品质有待提升。全区目前仅有1家五星级酒店、4家三星级酒店，无四星级酒店，精品民宿较少，品牌酒店床位不到400张，现有星级酒店基础设施偏旧，中高层管理人才流失较为严重，服务质量还有待提高。三是“快旅慢游”体系尚未完全形成。旅游通达性仍不佳，景区景点之间未形成有效串联，慢游设施缺乏，夜间公交班次偏少、收车时间早，网约车、出租车夜间运力有限，景区及活动场所“停车难”问题突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品牌宣传有待加强。一是方式较为单一。在活动营销、线上线下营销、全民营销等多元营销方面存在差距，数字技术赋能现代文旅的想象力、大数据挖掘能力、细分市场分析能力、游客与住餐娱的联动分析能力等尚有不足，新媒体平台运营能力较弱，尚未形成全媒体、多渠道精准营销体系。二是创意宣传较少。宣传营销内容以常态化资源推介为主，充分挖掘现代游客对沉浸式体验、网红打卡等兴趣点有待持续提高，让营销变成狂欢、受众参与式营销的办法还不够多。三是视野不够宽广。对比敦煌、云冈、龙门等同类型石窟类世界文化遗产，全球影响力仍有差距，国际声望还不够突出，国际组织、国际活动落户较少，在联动国际化传播平台、国际化营销团队等方面虽然有积极探索，但尚未形成类似敦煌“飞天”等全球高度认同的文化IP。</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项目联动有待增强。大足正全力构建‘日月繁星’文旅产品体系，然而当前日月缺乏辉映，群星不够闪耀，各项目各自为阵，项目间联动不足。大足石刻尤其是宝顶山石刻一枝独秀，既与其余四山串联不够，又未能与龙水湖互补联动，并且对其他乡村景区带动不足，这导致了“五山联动”、“大足石刻观光，龙水湖度假”的旅游格局未能成型，游客在大足旅游停留时间短、过夜率低，这也影响了大足旅游产业效益的提升。</w:t>
      </w:r>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lang w:val="en-US" w:eastAsia="zh-CN"/>
        </w:rPr>
      </w:pPr>
      <w:bookmarkStart w:id="4" w:name="_Toc6399"/>
      <w:r>
        <w:rPr>
          <w:rFonts w:hint="eastAsia" w:ascii="方正黑体_GBK" w:hAnsi="方正黑体_GBK" w:eastAsia="方正黑体_GBK" w:cs="方正黑体_GBK"/>
          <w:lang w:val="en-US" w:eastAsia="zh-CN"/>
        </w:rPr>
        <w:t>第二章  总体要求</w:t>
      </w:r>
      <w:bookmarkEnd w:id="4"/>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 w:name="_Toc17758"/>
      <w:r>
        <w:rPr>
          <w:rFonts w:hint="eastAsia" w:ascii="方正楷体_GBK" w:hAnsi="方正楷体_GBK" w:eastAsia="方正楷体_GBK" w:cs="方正楷体_GBK"/>
          <w:lang w:val="en-US" w:eastAsia="zh-CN"/>
        </w:rPr>
        <w:t>第一节  指导思想</w:t>
      </w:r>
      <w:bookmarkEnd w:id="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坚持以习近平新时代中国特色社会主义思想为指导，全面贯彻习近平文化思想、习近平总书记关于文化和旅游工作的重要论述及视察重庆重要讲话重要指示精神，始终牢记“一定要把大足石刻保护好”的重要要求，坚持守正创新、提质增效、融合发展，全面落实全市建设“一市三地”的总体部署和推动巴蜀文化旅游走廊建设“1396”行动，放大大足文旅资源优势，着力完善现代文旅产业体系，系统推进高质量文旅经济、高水平文旅供给、高品质文旅体验、高效能文旅治理，打造具有“大足辨识度、重庆影响力”的文旅高质量发展标志性成果，加快建设文化强区、旅游强区和体育强区，更好支撑现代化新大足建设。</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6" w:name="_Toc19498"/>
      <w:r>
        <w:rPr>
          <w:rFonts w:hint="eastAsia" w:ascii="方正楷体_GBK" w:hAnsi="方正楷体_GBK" w:eastAsia="方正楷体_GBK" w:cs="方正楷体_GBK"/>
          <w:lang w:val="en-US" w:eastAsia="zh-CN"/>
        </w:rPr>
        <w:t>第二节  发展原则</w:t>
      </w:r>
      <w:bookmarkEnd w:id="6"/>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全球视野，国际标准。坚持放眼全球、战略思维，深刻把握国际文化发展潮流和世界旅游城市发展趋势，对标国际国内文化旅游发展先进城市，打造国际化的文化载体、培育国际化的旅游产品、提供国际化的旅游服务、推动国际化的推广传播，创建契合国际规则和标准的国际文化旅游名城。</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以人为本，全民共享。以人民为中心，尊重人民主体地位，将满足人民文化需求和增强人民精神力量作为文化广电旅游体育发展的主题与核心，让人民享有更加多样化、多层次、多方面的文化广电旅游体育产品，不断增强人民群众的获得感和幸福感。</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区域协同，融合发展。加强区域协同，主动融入巴蜀文化旅游走廊，依托大足作为成渝轴心城的独特位置，东西牵手重庆、成都两大国际大都市，构建巴蜀文化会客厅，实现中心突破、缝合双城。以文塑旅、以旅彰文，创新驱动文化、旅游深度融合，促进文化资源向文旅产业转化，赋予旅游业丰富文化内涵，培育跨界融合新业态，打造多元化文旅融合新空间，形成文旅融合+百业消费新增长点，加速释放“大文旅”经济消费潜力活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科技引领，开放创新。加快科技创新、业态创新、模式创新，培育发展新动能。创新旅游景区旅游业态、运营模式、投资方式，释放先进生产要素潜力，激发市场发展活力。深化“三攻坚一盘活”改革突破，推动国有企业市场化转型，培育打造带动文旅产业高质量发展的重要增长极和新动力源。</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7" w:name="_Toc1279"/>
      <w:r>
        <w:rPr>
          <w:rFonts w:hint="eastAsia" w:ascii="方正楷体_GBK" w:hAnsi="方正楷体_GBK" w:eastAsia="方正楷体_GBK" w:cs="方正楷体_GBK"/>
          <w:lang w:val="en-US" w:eastAsia="zh-CN"/>
        </w:rPr>
        <w:t>第三节  发展目标</w:t>
      </w:r>
      <w:bookmarkEnd w:id="7"/>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落实“一定要把大足石刻保护好”的重要要求，以打造成渝中部文化高地以及具有国际范、中国味、巴蜀韵、大足风的国际文旅名城建设为重要抓手，构建巴蜀文化会客厅，到2030年，文化铸魂、文化赋能和旅游为民、旅游带动作用全面凸显，历史文脉更好传承，社会文明程度显著提升，高品质现代文化供给更加丰富，文体旅多元融合业态加速培育，新时代文化旅游体育强区建设实现重要突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文化遗产传承力持续增强。大足石刻保护体系更加完善，大足石刻研究院向国际知名研究院迈进。文化遗产保护传承利用体系不断完善，文物和非物质文化遗产实现系统性保护，文化遗产传承利用水平进一步提高，创新创造活力进一步增强。到2030年，争创国家文物保护利用示范区，力争申报新增全国文物保护单位2项、市级文物保护单位5项；力争申报国家级非物质文化遗产名录1项、市级非物质文化遗产名录6项以上。</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公共文化服务力持续增强。城乡公共文化服务品质全面提升，现代公共文化服务设施网络更加健全，优质公共文化资源更加丰富，供需对接更加精准，服务更加高效便捷。到2030年，“15分钟品质文化生活圈”覆盖率达100%，每万人拥有公共文化设施面积达到1200㎡、创作群众文艺精品20件，舞台艺术重点剧目1台，力争“群星奖”等国家级奖项实现突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文旅产业竞争力持续增强。文旅产业结构布局不断优化，文化和旅游产业比重不断提高。到2030年，全区年接待游客6000万人次，旅游总花费600亿元，过夜游客150万人次，境外游客20万人次。全区文化旅游规上企业数量达50家。全区文化产业增加值占GDP比重达6%，旅游业增加值占GDP比重达6%。</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文旅产品吸引力持续增强。文化创新创造活力显著提升，文化和旅游在更广范围、更深层次、更高水平上实现深度融合，旅游新场景、新产品、新业态充分发展，旅游景区、度假区实现提档升级。龙水湖旅游度假区成功创建国家级旅游度假区，新增国家4A级以上景区2个。文化旅游新场景、新业态推出10个。</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lang w:val="en-US" w:eastAsia="zh-CN"/>
        </w:rPr>
      </w:pPr>
      <w:r>
        <w:rPr>
          <w:rFonts w:hint="eastAsia"/>
          <w:lang w:val="en-US" w:eastAsia="zh-CN"/>
        </w:rPr>
        <w:t>——体育服务供给力持续增强。成功构建“15分钟健身圈”全民健身设施网络，人均体育场地面积达3.35㎡，经常性参加体育锻炼人数比例达51.5%以上，千人拥有社会体育指导员不少于3.5名，国民体质监测合格率达89%。青少年体育教育全面健康发展，普遍掌握1项体育特长，基本建成多元竞技体育人才培养体系。积极培育体育市场主体，建设智慧体育服务体系。</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bCs/>
          <w:lang w:val="en-US" w:eastAsia="zh-CN"/>
        </w:rPr>
      </w:pPr>
      <w:r>
        <w:rPr>
          <w:rFonts w:hint="eastAsia"/>
          <w:b/>
          <w:bCs/>
          <w:lang w:val="en-US" w:eastAsia="zh-CN"/>
        </w:rPr>
        <w:t>表1</w:t>
      </w:r>
      <w:r>
        <w:rPr>
          <w:rFonts w:hint="eastAsia"/>
          <w:b/>
          <w:bCs/>
        </w:rPr>
        <w:t>大足区文化旅游体育“十五五”发展主要指标</w:t>
      </w:r>
      <w:r>
        <w:rPr>
          <w:rFonts w:hint="eastAsia"/>
          <w:b/>
          <w:bCs/>
          <w:lang w:val="en-US" w:eastAsia="zh-CN"/>
        </w:rPr>
        <w:t>表</w:t>
      </w:r>
    </w:p>
    <w:tbl>
      <w:tblPr>
        <w:tblStyle w:val="34"/>
        <w:tblW w:w="51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725"/>
        <w:gridCol w:w="4113"/>
        <w:gridCol w:w="1191"/>
        <w:gridCol w:w="1089"/>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3" w:type="pct"/>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类别</w:t>
            </w: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具体指标</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指标单位</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2025年</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2030年目标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w:t>
            </w:r>
          </w:p>
        </w:tc>
        <w:tc>
          <w:tcPr>
            <w:tcW w:w="378"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建设</w:t>
            </w:r>
            <w:r>
              <w:rPr>
                <w:sz w:val="24"/>
                <w:szCs w:val="24"/>
              </w:rPr>
              <w:t>国际文旅名城</w:t>
            </w: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旅游业增加值占地区生产总值比重</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4.03</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4A级以上旅游景区数量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个</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3</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eastAsia="zh-CN"/>
              </w:rPr>
            </w:pPr>
            <w:r>
              <w:rPr>
                <w:rFonts w:hint="eastAsia"/>
                <w:sz w:val="24"/>
                <w:szCs w:val="24"/>
                <w:lang w:val="en-US" w:eastAsia="zh-CN"/>
              </w:rPr>
              <w:t>3</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国家级</w:t>
            </w:r>
            <w:r>
              <w:rPr>
                <w:sz w:val="24"/>
                <w:szCs w:val="24"/>
              </w:rPr>
              <w:t>旅游度假区</w:t>
            </w:r>
            <w:r>
              <w:rPr>
                <w:rFonts w:hint="eastAsia"/>
                <w:sz w:val="24"/>
                <w:szCs w:val="24"/>
              </w:rPr>
              <w:t>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个</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lang w:val="en-US" w:eastAsia="zh-CN"/>
              </w:rPr>
              <w:t>4</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星级旅游饭店数量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个</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5</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lang w:val="en-US" w:eastAsia="zh-CN"/>
              </w:rPr>
              <w:t>5</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等级民宿数量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个</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1</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lang w:val="en-US" w:eastAsia="zh-CN"/>
              </w:rPr>
              <w:t>6</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旅游</w:t>
            </w:r>
            <w:r>
              <w:rPr>
                <w:sz w:val="24"/>
                <w:szCs w:val="24"/>
              </w:rPr>
              <w:t>接待</w:t>
            </w:r>
            <w:r>
              <w:rPr>
                <w:rFonts w:hint="eastAsia"/>
                <w:sz w:val="24"/>
                <w:szCs w:val="24"/>
              </w:rPr>
              <w:t>总人数</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万人次</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4361</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lang w:val="en-US" w:eastAsia="zh-CN"/>
              </w:rPr>
              <w:t>7</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游客总花费</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亿元</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351</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lang w:val="en-US" w:eastAsia="zh-CN"/>
              </w:rPr>
              <w:t>8</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入境旅游人次</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万人次</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12.46</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lang w:val="en-US" w:eastAsia="zh-CN"/>
              </w:rPr>
              <w:t>9</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rPr>
              <w:t>过夜游客</w:t>
            </w:r>
            <w:r>
              <w:rPr>
                <w:rFonts w:hint="eastAsia"/>
                <w:sz w:val="24"/>
                <w:szCs w:val="24"/>
                <w:lang w:val="en-US" w:eastAsia="zh-CN"/>
              </w:rPr>
              <w:t>人数</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rPr>
            </w:pPr>
            <w:r>
              <w:rPr>
                <w:rFonts w:hint="eastAsia"/>
                <w:sz w:val="24"/>
                <w:szCs w:val="24"/>
              </w:rPr>
              <w:t>万人次</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94</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rPr>
              <w:t>1</w:t>
            </w:r>
            <w:r>
              <w:rPr>
                <w:rFonts w:hint="eastAsia"/>
                <w:sz w:val="24"/>
                <w:szCs w:val="24"/>
                <w:lang w:val="en-US" w:eastAsia="zh-CN"/>
              </w:rPr>
              <w:t>0</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大足石刻景区购票人数</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rPr>
            </w:pPr>
            <w:r>
              <w:rPr>
                <w:rFonts w:hint="eastAsia"/>
                <w:sz w:val="24"/>
                <w:szCs w:val="24"/>
              </w:rPr>
              <w:t>万人次</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163</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rPr>
              <w:t>1</w:t>
            </w:r>
            <w:r>
              <w:rPr>
                <w:rFonts w:hint="eastAsia"/>
                <w:sz w:val="24"/>
                <w:szCs w:val="24"/>
                <w:lang w:val="en-US" w:eastAsia="zh-CN"/>
              </w:rPr>
              <w:t>1</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游客</w:t>
            </w:r>
            <w:r>
              <w:rPr>
                <w:sz w:val="24"/>
                <w:szCs w:val="24"/>
              </w:rPr>
              <w:t>满意度</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分</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95</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rPr>
              <w:t>1</w:t>
            </w:r>
            <w:r>
              <w:rPr>
                <w:rFonts w:hint="eastAsia"/>
                <w:sz w:val="24"/>
                <w:szCs w:val="24"/>
                <w:lang w:val="en-US" w:eastAsia="zh-CN"/>
              </w:rPr>
              <w:t>2</w:t>
            </w:r>
          </w:p>
        </w:tc>
        <w:tc>
          <w:tcPr>
            <w:tcW w:w="378"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建设成渝中部文化高地</w:t>
            </w: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市级以上非遗代表性项目数量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个</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25</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sz w:val="24"/>
                <w:szCs w:val="24"/>
              </w:rPr>
              <w:t>1</w:t>
            </w:r>
            <w:r>
              <w:rPr>
                <w:rFonts w:hint="eastAsia"/>
                <w:sz w:val="24"/>
                <w:szCs w:val="24"/>
                <w:lang w:val="en-US" w:eastAsia="zh-CN"/>
              </w:rPr>
              <w:t>3</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市级以上非遗传承人数量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人</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23</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imes New Roman" w:hAnsi="Times New Roman" w:eastAsia="方正仿宋_GBK" w:cs="Times New Roman"/>
                <w:kern w:val="2"/>
                <w:sz w:val="24"/>
                <w:szCs w:val="24"/>
                <w:lang w:val="en-US" w:eastAsia="zh-CN"/>
              </w:rPr>
            </w:pPr>
            <w:r>
              <w:rPr>
                <w:rFonts w:hint="eastAsia"/>
                <w:sz w:val="24"/>
                <w:szCs w:val="24"/>
                <w:lang w:val="en-US" w:eastAsia="zh-CN"/>
              </w:rPr>
              <w:t>14</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博物馆（陈列馆</w:t>
            </w:r>
            <w:r>
              <w:rPr>
                <w:rFonts w:hint="eastAsia"/>
                <w:sz w:val="24"/>
                <w:szCs w:val="24"/>
              </w:rPr>
              <w:t>、纪念馆</w:t>
            </w:r>
            <w:r>
              <w:rPr>
                <w:sz w:val="24"/>
                <w:szCs w:val="24"/>
              </w:rPr>
              <w:t>）数量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个</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3</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方正仿宋_GBK" w:cs="Times New Roman"/>
                <w:kern w:val="2"/>
                <w:sz w:val="24"/>
                <w:szCs w:val="24"/>
                <w:lang w:val="en-US" w:eastAsia="zh-CN"/>
              </w:rPr>
            </w:pPr>
            <w:r>
              <w:rPr>
                <w:rFonts w:hint="eastAsia"/>
                <w:sz w:val="24"/>
                <w:szCs w:val="24"/>
                <w:lang w:val="en-US" w:eastAsia="zh-CN"/>
              </w:rPr>
              <w:t>15</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15分钟</w:t>
            </w:r>
            <w:r>
              <w:rPr>
                <w:rFonts w:hint="eastAsia"/>
                <w:sz w:val="24"/>
                <w:szCs w:val="24"/>
              </w:rPr>
              <w:t>高</w:t>
            </w:r>
            <w:r>
              <w:rPr>
                <w:sz w:val="24"/>
                <w:szCs w:val="24"/>
              </w:rPr>
              <w:t>品质文化生活圈</w:t>
            </w:r>
            <w:r>
              <w:rPr>
                <w:rFonts w:hint="eastAsia"/>
                <w:sz w:val="24"/>
                <w:szCs w:val="24"/>
              </w:rPr>
              <w:t>覆盖率</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30</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方正仿宋_GBK" w:cs="Times New Roman"/>
                <w:kern w:val="2"/>
                <w:sz w:val="24"/>
                <w:szCs w:val="24"/>
                <w:lang w:val="en-US" w:eastAsia="zh-CN"/>
              </w:rPr>
            </w:pPr>
            <w:r>
              <w:rPr>
                <w:rFonts w:hint="eastAsia"/>
                <w:sz w:val="24"/>
                <w:szCs w:val="24"/>
                <w:lang w:val="en-US" w:eastAsia="zh-CN"/>
              </w:rPr>
              <w:t>16</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万人拥有公共文化设施面积</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平方米</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1000</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方正仿宋_GBK" w:cs="Times New Roman"/>
                <w:kern w:val="2"/>
                <w:sz w:val="24"/>
                <w:szCs w:val="24"/>
                <w:lang w:val="en-US" w:eastAsia="zh-CN"/>
              </w:rPr>
            </w:pPr>
            <w:r>
              <w:rPr>
                <w:rFonts w:hint="eastAsia"/>
                <w:sz w:val="24"/>
                <w:szCs w:val="24"/>
                <w:lang w:val="en-US" w:eastAsia="zh-CN"/>
              </w:rPr>
              <w:t>17</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市级以上</w:t>
            </w:r>
            <w:r>
              <w:rPr>
                <w:sz w:val="24"/>
                <w:szCs w:val="24"/>
              </w:rPr>
              <w:t>文保单位</w:t>
            </w:r>
            <w:r>
              <w:rPr>
                <w:rFonts w:hint="eastAsia"/>
                <w:sz w:val="24"/>
                <w:szCs w:val="24"/>
              </w:rPr>
              <w:t>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eastAsia="zh-CN"/>
              </w:rPr>
            </w:pPr>
            <w:r>
              <w:rPr>
                <w:rFonts w:hint="eastAsia"/>
                <w:sz w:val="24"/>
                <w:szCs w:val="24"/>
                <w:lang w:val="en-US" w:eastAsia="zh-CN"/>
              </w:rPr>
              <w:t>处</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26</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方正仿宋_GBK" w:cs="Times New Roman"/>
                <w:kern w:val="2"/>
                <w:sz w:val="24"/>
                <w:szCs w:val="24"/>
                <w:lang w:val="en-US" w:eastAsia="zh-CN"/>
              </w:rPr>
            </w:pPr>
            <w:r>
              <w:rPr>
                <w:rFonts w:hint="eastAsia"/>
                <w:sz w:val="24"/>
                <w:szCs w:val="24"/>
                <w:lang w:val="en-US" w:eastAsia="zh-CN"/>
              </w:rPr>
              <w:t>18</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打造新型公共文化空间</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个</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6</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方正仿宋_GBK" w:cs="Times New Roman"/>
                <w:kern w:val="2"/>
                <w:sz w:val="24"/>
                <w:szCs w:val="24"/>
                <w:lang w:val="en-US" w:eastAsia="zh-CN"/>
              </w:rPr>
            </w:pPr>
            <w:r>
              <w:rPr>
                <w:rFonts w:hint="eastAsia"/>
                <w:sz w:val="24"/>
                <w:szCs w:val="24"/>
                <w:lang w:val="en-US" w:eastAsia="zh-CN"/>
              </w:rPr>
              <w:t>19</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公共文化服务质量指数</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分</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90</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方正仿宋_GBK" w:cs="Times New Roman"/>
                <w:kern w:val="2"/>
                <w:sz w:val="24"/>
                <w:szCs w:val="24"/>
                <w:lang w:val="en-US" w:eastAsia="zh-CN"/>
              </w:rPr>
            </w:pPr>
            <w:r>
              <w:rPr>
                <w:rFonts w:hint="eastAsia"/>
                <w:sz w:val="24"/>
                <w:szCs w:val="24"/>
                <w:lang w:val="en-US" w:eastAsia="zh-CN"/>
              </w:rPr>
              <w:t>20</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新增文艺精品</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部</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20</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rPr>
              <w:t>&gt;</w:t>
            </w:r>
            <w:r>
              <w:rPr>
                <w:rFonts w:hint="eastAsia"/>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方正仿宋_GBK" w:cs="Times New Roman"/>
                <w:kern w:val="2"/>
                <w:sz w:val="24"/>
                <w:szCs w:val="24"/>
                <w:lang w:val="en-US" w:eastAsia="zh-CN"/>
              </w:rPr>
            </w:pPr>
            <w:r>
              <w:rPr>
                <w:rFonts w:hint="eastAsia"/>
                <w:sz w:val="24"/>
                <w:szCs w:val="24"/>
                <w:lang w:val="en-US" w:eastAsia="zh-CN"/>
              </w:rPr>
              <w:t>21</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文化产业增加值占地区生产总值比重</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3.95</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Times New Roman" w:hAnsi="Times New Roman" w:eastAsia="方正仿宋_GBK" w:cs="Times New Roman"/>
                <w:kern w:val="2"/>
                <w:sz w:val="24"/>
                <w:szCs w:val="24"/>
                <w:lang w:val="en-US" w:eastAsia="zh-CN"/>
              </w:rPr>
            </w:pPr>
            <w:r>
              <w:rPr>
                <w:rFonts w:hint="eastAsia"/>
                <w:sz w:val="24"/>
                <w:szCs w:val="24"/>
                <w:lang w:val="en-US" w:eastAsia="zh-CN"/>
              </w:rPr>
              <w:t>22</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规上文</w:t>
            </w:r>
            <w:r>
              <w:rPr>
                <w:rFonts w:hint="eastAsia"/>
                <w:sz w:val="24"/>
                <w:szCs w:val="24"/>
              </w:rPr>
              <w:t>旅</w:t>
            </w:r>
            <w:r>
              <w:rPr>
                <w:sz w:val="24"/>
                <w:szCs w:val="24"/>
              </w:rPr>
              <w:t>企业数量</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家</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32</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23</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文旅经营主体</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家</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5000</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24</w:t>
            </w:r>
          </w:p>
        </w:tc>
        <w:tc>
          <w:tcPr>
            <w:tcW w:w="378"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建设体育</w:t>
            </w:r>
            <w:r>
              <w:rPr>
                <w:sz w:val="24"/>
                <w:szCs w:val="24"/>
              </w:rPr>
              <w:t>强区</w:t>
            </w: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人均体育场地面积</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平方米</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3.22</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25</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经常性参加体育锻炼人口比例</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51.03%</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26</w:t>
            </w:r>
          </w:p>
        </w:tc>
        <w:tc>
          <w:tcPr>
            <w:tcW w:w="37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国民体质监测合格率</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87.28%</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27</w:t>
            </w:r>
          </w:p>
        </w:tc>
        <w:tc>
          <w:tcPr>
            <w:tcW w:w="378" w:type="pct"/>
            <w:vMerge w:val="continue"/>
            <w:tcBorders>
              <w:bottom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p>
        </w:tc>
        <w:tc>
          <w:tcPr>
            <w:tcW w:w="2149" w:type="pct"/>
            <w:tcBorders>
              <w:bottom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千人拥有社会体育指导员</w:t>
            </w:r>
          </w:p>
        </w:tc>
        <w:tc>
          <w:tcPr>
            <w:tcW w:w="622" w:type="pct"/>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名</w:t>
            </w:r>
          </w:p>
        </w:tc>
        <w:tc>
          <w:tcPr>
            <w:tcW w:w="569" w:type="pct"/>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3.2</w:t>
            </w:r>
          </w:p>
        </w:tc>
        <w:tc>
          <w:tcPr>
            <w:tcW w:w="845" w:type="pct"/>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3.5</w:t>
            </w:r>
          </w:p>
        </w:tc>
      </w:tr>
    </w:tbl>
    <w:p>
      <w:pPr>
        <w:pStyle w:val="14"/>
        <w:shd w:val="clear"/>
        <w:spacing w:after="0" w:line="580" w:lineRule="exact"/>
        <w:ind w:firstLine="0" w:firstLineChars="0"/>
        <w:rPr>
          <w:rFonts w:hint="default" w:ascii="方正仿宋_GBK" w:hAnsi="方正仿宋_GBK" w:eastAsia="方正仿宋_GBK" w:cs="方正仿宋_GBK"/>
          <w:color w:val="auto"/>
          <w:sz w:val="28"/>
          <w:szCs w:val="28"/>
          <w:shd w:val="clear" w:color="auto" w:fill="FFFFFF"/>
          <w:lang w:val="en-US" w:eastAsia="zh-CN"/>
        </w:rPr>
      </w:pPr>
      <w:r>
        <w:rPr>
          <w:rFonts w:hint="eastAsia" w:ascii="方正仿宋_GBK" w:hAnsi="方正仿宋_GBK" w:cs="方正仿宋_GBK"/>
          <w:color w:val="auto"/>
          <w:sz w:val="28"/>
          <w:szCs w:val="28"/>
          <w:shd w:val="clear" w:color="auto" w:fill="FFFFFF"/>
          <w:lang w:val="en-US" w:eastAsia="zh-CN"/>
        </w:rPr>
        <w:t>注：2030年目标为预期性目标</w:t>
      </w:r>
    </w:p>
    <w:p/>
    <w:p/>
    <w:p/>
    <w:p>
      <w:pPr>
        <w:rPr>
          <w:rFonts w:hint="eastAsia" w:ascii="方正仿宋_GBK" w:hAnsi="方正仿宋_GBK" w:cs="方正仿宋_GBK"/>
          <w:color w:val="auto"/>
          <w:sz w:val="32"/>
          <w:szCs w:val="32"/>
          <w:shd w:val="clear" w:color="auto" w:fill="FFFFFF"/>
        </w:rPr>
      </w:pPr>
      <w:r>
        <w:rPr>
          <w:rFonts w:hint="eastAsia" w:ascii="方正仿宋_GBK" w:hAnsi="方正仿宋_GBK" w:cs="方正仿宋_GBK"/>
          <w:color w:val="auto"/>
          <w:sz w:val="32"/>
          <w:szCs w:val="32"/>
          <w:shd w:val="clear" w:color="auto" w:fill="FFFFFF"/>
        </w:rPr>
        <w:br w:type="page"/>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44"/>
          <w:szCs w:val="24"/>
        </w:rPr>
      </w:pPr>
      <w:bookmarkStart w:id="8" w:name="_Toc24578"/>
      <w:r>
        <w:rPr>
          <w:rFonts w:hint="eastAsia" w:ascii="方正小标宋_GBK" w:hAnsi="方正小标宋_GBK" w:eastAsia="方正小标宋_GBK" w:cs="方正小标宋_GBK"/>
          <w:sz w:val="44"/>
          <w:szCs w:val="24"/>
        </w:rPr>
        <w:t xml:space="preserve">第二篇 </w:t>
      </w:r>
      <w:r>
        <w:rPr>
          <w:rFonts w:hint="eastAsia" w:ascii="方正小标宋_GBK" w:hAnsi="方正小标宋_GBK" w:eastAsia="方正小标宋_GBK" w:cs="方正小标宋_GBK"/>
          <w:sz w:val="44"/>
          <w:szCs w:val="24"/>
          <w:lang w:val="en-US" w:eastAsia="zh-CN"/>
        </w:rPr>
        <w:t xml:space="preserve"> </w:t>
      </w:r>
      <w:r>
        <w:rPr>
          <w:rFonts w:hint="eastAsia" w:ascii="方正小标宋_GBK" w:hAnsi="方正小标宋_GBK" w:eastAsia="方正小标宋_GBK" w:cs="方正小标宋_GBK"/>
          <w:sz w:val="44"/>
          <w:szCs w:val="24"/>
        </w:rPr>
        <w:t>打造近悦远来的国际文旅名城</w:t>
      </w:r>
      <w:bookmarkEnd w:id="8"/>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9" w:name="_Toc14047"/>
      <w:r>
        <w:rPr>
          <w:rFonts w:hint="eastAsia" w:ascii="方正黑体_GBK" w:hAnsi="方正黑体_GBK" w:eastAsia="方正黑体_GBK" w:cs="方正黑体_GBK"/>
        </w:rPr>
        <w:t xml:space="preserve">第三章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优化全域旅游发展空间布局</w:t>
      </w:r>
      <w:bookmarkEnd w:id="9"/>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rPr>
      </w:pPr>
      <w:bookmarkStart w:id="10" w:name="_Toc20807"/>
      <w:r>
        <w:rPr>
          <w:rFonts w:hint="eastAsia" w:ascii="方正楷体_GBK" w:hAnsi="方正楷体_GBK" w:eastAsia="方正楷体_GBK" w:cs="方正楷体_GBK"/>
        </w:rPr>
        <w:t xml:space="preserve">第一节 </w:t>
      </w:r>
      <w:r>
        <w:rPr>
          <w:rFonts w:hint="eastAsia" w:ascii="方正楷体_GBK" w:hAnsi="方正楷体_GBK" w:eastAsia="方正楷体_GBK" w:cs="方正楷体_GBK"/>
          <w:lang w:val="en-US" w:eastAsia="zh-CN"/>
        </w:rPr>
        <w:t xml:space="preserve"> </w:t>
      </w:r>
      <w:r>
        <w:rPr>
          <w:rFonts w:hint="eastAsia" w:ascii="方正楷体_GBK" w:hAnsi="方正楷体_GBK" w:eastAsia="方正楷体_GBK" w:cs="方正楷体_GBK"/>
        </w:rPr>
        <w:t>空间结构</w:t>
      </w:r>
      <w:bookmarkEnd w:id="1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立足大足国际文旅名城建设，擦亮大足石刻金字招牌，依托大足文旅资源特色和地理空间特点，优化大足文旅全域发展格局，推动景城一体发展，构建“一城一湖三山四园五带”空间格局，实现“日月辉映，繁星闪烁”，推动文旅高质量发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rPr>
      </w:pPr>
      <w:bookmarkStart w:id="11" w:name="_Toc24837"/>
      <w:r>
        <w:rPr>
          <w:rFonts w:hint="eastAsia" w:ascii="方正楷体_GBK" w:hAnsi="方正楷体_GBK" w:eastAsia="方正楷体_GBK" w:cs="方正楷体_GBK"/>
        </w:rPr>
        <w:t xml:space="preserve">第二节 </w:t>
      </w:r>
      <w:r>
        <w:rPr>
          <w:rFonts w:hint="eastAsia" w:ascii="方正楷体_GBK" w:hAnsi="方正楷体_GBK" w:eastAsia="方正楷体_GBK" w:cs="方正楷体_GBK"/>
          <w:lang w:val="en-US" w:eastAsia="zh-CN"/>
        </w:rPr>
        <w:t xml:space="preserve"> </w:t>
      </w:r>
      <w:r>
        <w:rPr>
          <w:rFonts w:hint="eastAsia" w:ascii="方正楷体_GBK" w:hAnsi="方正楷体_GBK" w:eastAsia="方正楷体_GBK" w:cs="方正楷体_GBK"/>
        </w:rPr>
        <w:t>发展指引</w:t>
      </w:r>
      <w:bookmarkEnd w:id="1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一城引领。打造国际文旅名城的城市会客厅，重点围绕中心城区，打造昌州古城文化街区、母城特色文化街区、海棠国际CBD和大足石刻高铁城，构建“一步一景一画卷、移步换景画中游”的全新城市景观。有序推进大足石刻文化城布局驻场演艺、精品酒店民宿、沉浸式体验、文化新空间等文旅业态，持续擦亮“昌州夜宴”“宝顶华服”等活动品牌，完善城区“食、住、行、游、购、娱、展、演”全业态服务功能，绘就“山上香火、山下烟火”的生动画卷</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一湖辉映。大力推动龙水湖创建国家级旅游度假区，精准匹配细分游客市场需求，围绕与大足石刻的文化联动和产品互补，持续放大优势、创新产品，着力盘活存量、做优增量，加快构建“休闲运动+康体疗养+研学体验+主题游乐+创意夜游”的休闲度假产品体系，全力打造成渝中部地区度假胜地。</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三山融合。进一步提亮大足石刻世界文化遗产，构建石刻旅游三大核心景区，重点围绕宝顶山、北山、南山石刻景区，不断完善景区功能配套，丰富旅游产品供给，塑造“祈福宝顶、朝圣北山、问道南山”的文旅品牌。</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四园共兴。重点围绕宝顶、棠香、龙岗、智凤等四大城郊田园综合体，深化“城景乡、农文旅”融合，聚力建设宝顶烟云、棠香人家、北塔悬岩、智凤田园等城郊“农文旅”融合项目，实现“一城三山”无缝链接、一体发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五带支撑。打造五条主题文旅发展带，串联全区各镇街景区景点，构建全域旅游发展格局。</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东部</w:t>
      </w:r>
      <w:r>
        <w:rPr>
          <w:rFonts w:hint="eastAsia"/>
          <w:spacing w:val="-3"/>
          <w:sz w:val="32"/>
        </w:rPr>
        <w:t>山水田园旅游带，沿玉龙山、巴岳山串联龙水湖等山水生态景区，包括古龙镇、万古镇、拾万镇、金山镇、石马镇、玉龙镇等，是体验山水风情、游赏田园风光、观摩现代农业的旅游带。</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南部工业文化旅游带，沿大邮路这条产业大道，串联龙水镇、双路街道、通桥街道、龙滩子街道等镇街，是开展工业研学旅游，感受和体验大足三线建设文化、重汽文化、五金文化和现代工业成就的旅游带。</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西部生态人文旅游带，沿窟窿河和玉滩水库串联铁山镇、季家镇、三驱镇、龙石镇、珠溪镇、宝兴镇、高升镇等乡镇，是观赏湖光山色、生态湿地、田园风光等生态美景和体验大足石刻文创园、石篆山石刻等石刻文化以及铁山古镇文化、冬菜等非遗文化的旅游带。</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北部古道寻幽旅游带，以成渝古道小川东道串联雍溪镇、国梁镇、回龙镇、智凤街道、中敖镇、高坪镇等镇街，是重走成渝古道，感受雍溪里等古镇民俗文化，体验中敖火龙、鲤鱼灯舞等非遗文化以及感怀饶国梁烈士等红色文化的旅游带。</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中部大足石刻旅游带，位于宝顶镇、龙岗街道、棠香街道，串联宝顶山、北山、南山三大石刻精品景区，是感受大足石刻文化，体验大足人文风情的精华旅游带。</w:t>
      </w:r>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12" w:name="_Toc8475"/>
      <w:r>
        <w:rPr>
          <w:rFonts w:hint="eastAsia" w:ascii="方正黑体_GBK" w:hAnsi="方正黑体_GBK" w:eastAsia="方正黑体_GBK" w:cs="方正黑体_GBK"/>
        </w:rPr>
        <w:t xml:space="preserve">第四章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构建大足特色旅游产品矩阵</w:t>
      </w:r>
      <w:bookmarkEnd w:id="1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13" w:name="_Toc11864"/>
      <w:r>
        <w:rPr>
          <w:rFonts w:hint="eastAsia" w:ascii="方正楷体_GBK" w:hAnsi="方正楷体_GBK" w:eastAsia="方正楷体_GBK" w:cs="方正楷体_GBK"/>
          <w:lang w:val="en-US" w:eastAsia="zh-CN"/>
        </w:rPr>
        <w:t>第一节  持续推动大足石刻旅游区提档升级</w:t>
      </w:r>
      <w:bookmarkEnd w:id="13"/>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三山提升。实施宝顶山景区提升工程，打造文化圣山、艺术胜地，推进圣迹池、倒塔等片区环境整治，规划建设碑林、塔林，推进建设“三中心、一书院、一学堂”，升级大足石刻博物馆展陈，打造广大寺、厢子沟民宿群落，盘活利用南宋街，布局与大足石刻文化底蕴相契合的业态，打造宝顶文化艺术小镇，扎实推进“宝顶烟云—化龙乡里”旅游大环线建设，高水平建设大足石刻站南北广场及C3线站房展厅、化龙水库艺术家民宿及创作基地、“跳水鱼一条街”美食特色街区等项目。实施北山景区提升工程，新建游客中心和停车场，将北山石刻、北塔、北灵寺融为一体，提档升级北山夜游，串联佛耳岩、观音坡、营盘坡等石刻景点，建成慢行步道游体系，依托北山路打造石刻文化聚集地和文博一条街，构建“主客共享”的石刻艺术圣殿。实施南山景区提升工程，整体谋划大南山景区建设，打造以南山一棵树—南山石刻—电视塔—南塔为核心的景观轴，改造南山石刻游客中心，有机植入道教文化，打造生态自然的道家文化休闲地。</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实现五山联动。推动石门山、石篆山石刻景区差异化打造、主题化发展，逐步完善景区配套，满足石刻深度体验以及专项旅游客群需求。优化“五山”旅游动线联动，有序实施“三山”内部旅游动线优化、宝顶山景区大环线动线优化、宝顶山—北山—南山景区动线优化，推动“五山”游览一票通，进一步深化“三山融合、五山联动”。</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建强文创园区。提升大足石刻文创园产品和业态，立足大足石雕品牌、人才、技术等自身优势，聚焦年轻艺术家、文化艺术类大学生、民间工匠大师三类重点人群，以文创产品创新、创业、创造为核心抓手，聚焦石雕石材、珠宝饰品、潮玩手伴三大主导产业，加快存量资产盘活，大力推进街区、园区、景区“三区”融合发展。建强珠宝玉石抖音直播基地，提质运营“石光里·文创街”，推动粮仓1958、大师工作室</w:t>
      </w:r>
      <w:r>
        <w:rPr>
          <w:rFonts w:hint="eastAsia"/>
          <w:spacing w:val="-3"/>
          <w:sz w:val="32"/>
        </w:rPr>
        <w:t>（民宿）等项目投用。联动石篆山石刻景区，打造面向年轻群体的互动体验产品和文创消费场景，提供情绪价值，提档情绪消费，推动文创产业实现高质量发展。到2030年，力争建成全国具有重要影响力的文化产业园区、国家5A级旅游景区，打造文化艺术产品创新创业创造的艺术平台。</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14" w:name="_Toc3026"/>
      <w:r>
        <w:rPr>
          <w:rFonts w:hint="eastAsia" w:ascii="方正楷体_GBK" w:hAnsi="方正楷体_GBK" w:eastAsia="方正楷体_GBK" w:cs="方正楷体_GBK"/>
          <w:lang w:val="en-US" w:eastAsia="zh-CN"/>
        </w:rPr>
        <w:t>第二节  推进龙水湖创建国家级旅游度假区</w:t>
      </w:r>
      <w:bookmarkEnd w:id="14"/>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进国家级品牌创建工作。按照国家级旅游度假区创建标准，全面提升龙水湖片区的住宿度假设施、服务配套设施、景观环境风貌等，丰富康养度假及休闲体验产品，以创建促发展，将龙水湖打造成为风光旖旎、环境优美、体验丰富、设施一流的旅游度假区，实现“大足石刻观光休闲、龙水湖康养度假”的旅游格局。举全区之力扎实推进国家级旅游度假区创建工作，制定好工作表、时间窗，争取成为渝西片区首个国家级旅游度假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构建山水城多元产品联动。充分发挥“山、水、岛、泉”资源优势，加快构建“休闲运动+康体疗养+研学体验+主题游乐+创意夜游”的休闲度假产品体系，提档升级松鹤岛，迭代升级两江假日温泉水世界、拓浪者水上极限运动中心，推出龙水湖水上闯关网红项目，加快国防军事主题乐园项目建设，扎实推进重庆（国际）青少年龙水湖营地项目落地，实施龙景酒店提档升级、原水管所家属院及办公楼改造，带动盘活禅乐寺、玉龙老街、中港度假村等周边文旅资源，打造龙水湖小河片区田园综合体、龙水湖树顶漫步自然教育基地、萌宠乐园等新场景、新业态，办好半程马拉松赛、龙舟赛、青春音乐会等赛事活动，打造高质量户外运动目的地，构建“全景式、全天候、全家福、全方位”的旅游产品体系，加快打造全季节休闲旅游度假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大力发展夜宿龙水湖产品。打造综合夜游项目，完善夜间灯光场景，开展夜间无人机灯光秀表演等。打造坝下演绎舞台和广场，组织开展环湖夜游、夜光步道、夜间水幕灯光秀、夜间化装舞会、夜间美食集市等一系列以夜景、夜宴、夜行和夜娱为主的旅游项目。完善多元住宿业态。重点打造“酒店+公寓+民宿+营地”的住宿体系，涵盖家庭房、亲子房、景观房、主题房。加快改造联谊宾馆、青年旅舍、禅乐寺民宿、雍山府别墅、巴岳庄等住宿设施，打造特色住宿集群。力争住宿设施规模达1500间以上，高品质住宿达3处。</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15" w:name="_Toc23235"/>
      <w:r>
        <w:rPr>
          <w:rFonts w:hint="eastAsia" w:ascii="方正楷体_GBK" w:hAnsi="方正楷体_GBK" w:eastAsia="方正楷体_GBK" w:cs="方正楷体_GBK"/>
          <w:lang w:val="en-US" w:eastAsia="zh-CN"/>
        </w:rPr>
        <w:t>第三节  发展乡村旅游培育都市微度假产品</w:t>
      </w:r>
      <w:bookmarkEnd w:id="1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打造四大城郊田园综合体。打造宝顶城郊田园综合体，实施宝顶烟云城郊“农文旅”融合项目，推动路网及步道建设和环境整治提升，完成宝顶小镇焕新工程及水美乡村项目。打造棠香城郊田园综合体，实施棠香人家城郊“农文旅”融合项目，以“田园风光+吃喝玩乐”为切入口，完成河道护岸、路网及步道建设和环境整治提升，鼓励引导社会资本和本地村民发展小餐馆、精品民宿、城市客栈、主题餐厅，提档升级农家乐，发展庭院经济、夜间经济；实施西池嘉莲城郊“农文旅”融合项目，建设石雕群像，打造田园综合体。打造龙岗城郊田园综合体，实施北塔悬岩城郊“农文旅”融合项目，围绕“静谧村落、朝圣北塔”思路，实施佛耳岩片区环境整治提升，完善片区路网；实施南山翠屏城郊“农文旅”融合项目，按照“寻味南山、养生翠屏”的总体思路，推进联盟水库环线、文峰塔路及文清路建设，有机植入道教文化，加速构建大足“三山一城Citywalk”步道，打造中心城区的“水美四季慢生活体验谷”。打造智凤城郊田园综合体，实施智凤田园城郊“农文旅”融合项目，推进九州洞天水世界文旅项目，开展河道护岸、路网及步道建设和环境综合整治提升。</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培育一批特色乡村旅游点。针对都市微度假客群的旅游需求，鼓励各乡镇依托农业种养殖基地、特色村镇、自然生态、民族村居等乡村旅游资源，着力发展休闲农业和乡村旅游，重点打造大唐丰域草莓、游龙葡萄、最忆小橘、杨梅山庄、乡卡卡樱桃等蔬果休闲采摘园，以及提档升级巴蜀神木谷、隆平五彩田园、雍溪古镇等乡村旅游景区，构建大足“一镇一品”“春赏花、夏纳凉、秋采摘、冬农趣”的乡村旅游格局。整合中小石窟、湖库、老场镇、老院子等独特资源，深挖石刻文化、禅茶文化内涵，开发茶园研学、非遗体验、田园采摘等多元业态，构建“两天一夜游”“三天两夜游”等“农旅+文创+研学”复合旅游产品，持续做强“雍溪里有戏”“禾下乘凉·梦圆大足”等乡村旅游品牌。</w:t>
      </w:r>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16" w:name="_Toc4872"/>
      <w:r>
        <w:rPr>
          <w:rFonts w:hint="eastAsia" w:ascii="方正黑体_GBK" w:hAnsi="方正黑体_GBK" w:eastAsia="方正黑体_GBK" w:cs="方正黑体_GBK"/>
        </w:rPr>
        <w:t xml:space="preserve">第五章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串珠成链打造旅游精品线路</w:t>
      </w:r>
      <w:bookmarkEnd w:id="16"/>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17" w:name="_Toc10591"/>
      <w:r>
        <w:rPr>
          <w:rFonts w:hint="eastAsia" w:ascii="方正楷体_GBK" w:hAnsi="方正楷体_GBK" w:eastAsia="方正楷体_GBK" w:cs="方正楷体_GBK"/>
          <w:lang w:val="en-US" w:eastAsia="zh-CN"/>
        </w:rPr>
        <w:t>第一节  推出国际范石刻艺术精品线路</w:t>
      </w:r>
      <w:bookmarkEnd w:id="17"/>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“石</w:t>
      </w:r>
      <w:r>
        <w:rPr>
          <w:rFonts w:hint="eastAsia"/>
          <w:spacing w:val="-3"/>
          <w:sz w:val="32"/>
        </w:rPr>
        <w:t>刻艺术”主题精品线路。打造以宝顶山、北山、南山石刻景区为游览重点，串联石门山、石篆山石刻景区，实现五山同游，深度体验大足石刻世界文化遗产，是大足区具有国际影响力的品牌文旅线路，满足文化揽胜、艺术体验、研学教育等游览需求。</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18" w:name="_Toc23962"/>
      <w:r>
        <w:rPr>
          <w:rFonts w:hint="eastAsia" w:ascii="方正楷体_GBK" w:hAnsi="方正楷体_GBK" w:eastAsia="方正楷体_GBK" w:cs="方正楷体_GBK"/>
          <w:lang w:val="en-US" w:eastAsia="zh-CN"/>
        </w:rPr>
        <w:t>第二节  优化大足风主题旅游精品线路</w:t>
      </w:r>
      <w:bookmarkEnd w:id="18"/>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美丽乡村”主题精品线路。打造以宝顶城郊田园综合体、棠香城郊田园综合体、龙岗城郊田园综合体、智凤城郊田园综合体为游览重点，提供“春赏花、夏纳凉、秋采摘、冬农趣”等丰富乡村休闲体验项目，满足成渝双城都市圈市民周末微度假的主题线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“山水休闲”主题精品线路。打造以龙水湖旅游度假区和玉龙山森林公园为游览重点，串联九顶山等山水资源，满足游客滨湖休闲、登山揽胜、森林运动等需求的主题旅游线路。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文化体验”主题精品线路。打造串联红岩重汽博物馆、五金博物馆、川汽厂三线遗址公园、雍溪古镇等文化项目，体验大足特色的五金、重汽、海棠、非遗等文化，满足游客文化休闲、文创体验、研学教育等旅游需求的主题线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“康养度假”主题精品线路。打造以龙水湖、化龙湖、玉龙山等区域为重点，体验大足特色的文化养心、温泉养生、滨湖度假、森林康养等特色度假产品的主题线路。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“红色大足”主题精品线路。串联饶国梁纪念馆、唐赤英故居、红岩重型汽车博物馆、杨国良故居等红色景点，形成红色旅游动线，打造红色旅游景区，弘扬大足革命文化。</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19" w:name="_Toc32026"/>
      <w:r>
        <w:rPr>
          <w:rFonts w:hint="eastAsia" w:ascii="方正楷体_GBK" w:hAnsi="方正楷体_GBK" w:eastAsia="方正楷体_GBK" w:cs="方正楷体_GBK"/>
          <w:lang w:val="en-US" w:eastAsia="zh-CN"/>
        </w:rPr>
        <w:t>第三节  培育巴蜀韵区域联动旅游线路</w:t>
      </w:r>
      <w:bookmarkEnd w:id="19"/>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“资足常乐”主题精品线路。深化资大文旅融合发展示范区建设，共建大足—安岳石窟文物主题游径，串联大足宝顶山、北山、南山等石刻景区以及安岳圆觉洞、卧佛院等景区。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成渝古道”主题精品线路。深化巴蜀文化旅游走廊建设，沿成渝古道，依托邮亭铺、小川东道等文化遗存，联动高新区走马古镇、璧山来凤驿、荣昌安陶小镇、隆昌牌坊群等周边景区，构建重走古驿道的区域主题游线。</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川渝石窟”主题精品线路。深化川渝石窟寺国家遗址公园建设、以资阳大足石窟石刻文物主题旅游为载体、以大足石刻景区为核心，串联乐山大佛、安岳石窟、潼南大佛寺、合川二佛寺等景区，构建体验川渝石窟精华的旅游线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“渝西风情”主题精品线路。依托大足石刻、合川钓鱼城这两大文化瑰宝，以及荣昌夏布小镇、安陶小镇等展示国家级非遗文化的景区，构建一条展示渝西人文风情精品线路。</w:t>
      </w:r>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20" w:name="_Toc17463"/>
      <w:r>
        <w:rPr>
          <w:rFonts w:hint="eastAsia" w:ascii="方正黑体_GBK" w:hAnsi="方正黑体_GBK" w:eastAsia="方正黑体_GBK" w:cs="方正黑体_GBK"/>
        </w:rPr>
        <w:t xml:space="preserve">第六章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全面提升旅游公共服务品质</w:t>
      </w:r>
      <w:bookmarkEnd w:id="2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21" w:name="_Toc12151"/>
      <w:r>
        <w:rPr>
          <w:rFonts w:hint="eastAsia" w:ascii="方正楷体_GBK" w:hAnsi="方正楷体_GBK" w:eastAsia="方正楷体_GBK" w:cs="方正楷体_GBK"/>
          <w:lang w:val="en-US" w:eastAsia="zh-CN"/>
        </w:rPr>
        <w:t>第一节  完善便捷化旅游基础服务设施</w:t>
      </w:r>
      <w:bookmarkEnd w:id="2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优化旅游立体交通网络。提升旅游对外交通，提速成渝高速公路改扩建（大足段），开工建设大足至永川高速公路，谋划大足至安岳高速公路，推动成渝中线高铁加快建成，高标准建成大足石刻站，与既有大足南站形成辖区内双高铁客运枢纽联动发展新格局，加快融入沿江高铁通道，实施旅游干线公路等级提升工程，衔接成渝中线高铁、国际航空枢纽。完善旅游公共交通服务，加快谋划建设主要旅游区（点）建设旅游交通环线，完善自驾车旅游服务体系，推广智能化停车服务，推进交旅融合，结合道路、公园、绿地等建设及河道整治，完善步行道、骑行道、绿道等慢行交通系统，适时运行旅游公交、旅游班车、旅游专线，推进旅游公交化、公交旅游化，实现高效“城景通”“景景通”，形成“对外快速联通、对内便捷循环”的快旅慢游交通体系。</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完善旅游公共服务体系。在大</w:t>
      </w:r>
      <w:r>
        <w:rPr>
          <w:rFonts w:hint="eastAsia"/>
          <w:spacing w:val="-3"/>
          <w:sz w:val="32"/>
        </w:rPr>
        <w:t>足汽车站以及成渝高铁大足南站、成渝中线高铁大足石刻站设置大足全域旅游集散中心，各大景区设置游客服务中心，同时结合高速公路旅游服务区设置旅游集散点。优化旅游公共信息服务，升级打造互动性强、体验感好、主客共享的新型旅游服务中心，完善信息咨询、宣传展示、投诉、便民等服务功能，积极推动旅游服务中心和旅游集散中心一体化建设。</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22" w:name="_Toc22433"/>
      <w:r>
        <w:rPr>
          <w:rFonts w:hint="eastAsia" w:ascii="方正楷体_GBK" w:hAnsi="方正楷体_GBK" w:eastAsia="方正楷体_GBK" w:cs="方正楷体_GBK"/>
          <w:lang w:val="en-US" w:eastAsia="zh-CN"/>
        </w:rPr>
        <w:t>第二节  打造高品质旅游接待服务体系</w:t>
      </w:r>
      <w:bookmarkEnd w:id="2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打造“大足味”的旅游餐饮。做靓做优邮亭鲫鱼、冬菜烧白等“渝味360碗”美食品牌，培育“渝味360碗”美食体验店示范店，鼓励餐饮企业争创“老字号”“餐饮名店”“名小吃”，推动餐饮店连锁发展。集中打造高品质美食集聚区与特色美食街区，建设三驱、雍溪、铁山、龙水湖等下道口特色商业街，在丁家坡、国梁路、滨河路、工农北巷、荷棠夜市等重点区域打造餐饮集聚区，联动周边体育中心、MK购物中心等资源，盘活柏林夜市商业街，加快推出“美食美刻”特色餐饮体系。每年精心评选十大特色名店、菜品、小吃、街区等，打造“舌尖上的大足”。</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打造“多元化”的旅游住宿。推进实施《关于促进民宿业高质量发展的实施意见》，全面推动民宿发展，加强与景区、餐饮等协调联动，促进行业“标准化、特色化、数字化、国际化”发展，鼓励市场主体在宝顶镇、棠香街道等镇街和香国公园、龙水湖旅游度假区等景区景点集中打造一批特色鲜明、文化多元、满足游客不同需求的度假酒店、精品民宿、乡村酒店、艺术客栈。</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打造“棠乡韵”的购物体验。着力活化大足石刻IP，扶持旅游与文化创意产品开发、数字文化产业发展，推陈出新“大足好礼”，丰富提升各类文创卖场，加快在各酒店民宿餐饮店设立特产礼品购物专柜。建设“大足好礼”品牌连锁店，在大足石刻游客中心、龙中路、昌州古城、大足石刻服务区等设置大型专卖店。推送一批文创精品入选中国好礼、重庆好礼、外事礼品。举办文旅惠民消费季等一系列文旅品牌活动，支持企业参加消费季、文博会、旅博会等重点展会活动。</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打造“沉浸式”的演艺娱乐。推动艺术院校、文化场馆、演艺协会等社会各界文艺工作者、民间艺人、志愿者进景区，开展常态化艺术展演。深化与演艺策划活动公司、团队合作，引导社会资本参与盘活引导社会资本参与盘活大足老城、昌州古城、龙水湖度假区等闲置文旅资产，引入川剧、“把戏”、万古鲤鱼灯舞、中敖火烧龙等特色演艺剧目，打造多元化沉浸式小剧场、演艺新空间。推动景区智慧旅游沉浸式体验新空间培育，布局游客中心元宇宙体验空间、大足石刻博物馆数字化体验等新业态，增强项目的体验感、故事性和互动性。</w:t>
      </w:r>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23" w:name="_Toc24147"/>
      <w:r>
        <w:rPr>
          <w:rFonts w:hint="eastAsia" w:ascii="方正黑体_GBK" w:hAnsi="方正黑体_GBK" w:eastAsia="方正黑体_GBK" w:cs="方正黑体_GBK"/>
        </w:rPr>
        <w:t>第七章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深化文旅融合促进休闲消费</w:t>
      </w:r>
      <w:bookmarkEnd w:id="23"/>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24" w:name="_Toc21979"/>
      <w:r>
        <w:rPr>
          <w:rFonts w:hint="eastAsia" w:ascii="方正楷体_GBK" w:hAnsi="方正楷体_GBK" w:eastAsia="方正楷体_GBK" w:cs="方正楷体_GBK"/>
          <w:lang w:val="en-US" w:eastAsia="zh-CN"/>
        </w:rPr>
        <w:t>第一节  推动文化旅游双向深度融合</w:t>
      </w:r>
      <w:bookmarkEnd w:id="24"/>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以文塑旅。推动铁山古镇、唐赤英烈士故居、饶国梁纪念馆等文化资源利用，推进文化遗址进行保护化利用。推进石刻文化、五金文化、重汽文化、荷棠文化等地域文化有机植入城市建设之中，提升城市文化休闲氛围，推进公共文化服务设施的旅游化改造，提升城市公园、购物商圈、休闲街区等旅游服务能力。丰富地域文化体验形式，支持艺术展览、非遗体验、文化沙龙等文化场景扮靓城区景区，支持景区设立文化大舞台，鼓励民间演艺团队送民俗非遗表演进景区，提升旅游景区文化体验氛围。创新文艺精品表达方式，积极打造数字剧场、沉浸式艺术馆等景区文艺新空间，推动舞剧《天下大足》等优秀剧目在景区常态化驻演，提升旅游景区艺术氛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以旅彰文。深化景区文化价值研究，打造文化价值内核，将大足代表性的石刻文化、五金文化等文化类型提炼转化特色文化元素和符号，植入旅游景区标识系统、建筑风貌、旅游商品等旅游全过程。充分利用景区闲置建筑丰富文化设施体验，植入文化体验业态。推出特色文化活动，开发一批非遗制作、传统体育、民俗集市、旅游演艺等文化互动体验产品，增加大足石雕、鲤鱼灯舞等文化活动体验形式，激发游客参与热情。</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25" w:name="_Toc28889"/>
      <w:r>
        <w:rPr>
          <w:rFonts w:hint="eastAsia" w:ascii="方正楷体_GBK" w:hAnsi="方正楷体_GBK" w:eastAsia="方正楷体_GBK" w:cs="方正楷体_GBK"/>
          <w:lang w:val="en-US" w:eastAsia="zh-CN"/>
        </w:rPr>
        <w:t>第二节  培育“文旅+百业”跨界融合生态</w:t>
      </w:r>
      <w:bookmarkEnd w:id="2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农旅牵手。通过旅游赋能，让大足“稻+”产业、黑山羊、太空荷花等特色农业资源转化为旅游产品，实现农业从“生产端”向“消费端”延伸，打造农业全产业链发展模式。进一步优化乡村旅游精品线路，围绕“春赏花、夏纳凉、秋采摘、冬农趣”，依托草莓、李子、葡萄、杨梅等特色蔬果基地，重点打造大唐丰域草莓、游龙葡萄、最忆小橘、杨梅山庄、乡卡卡樱桃等蔬果休闲采摘园。加强农业文化遗产利用，将农耕文化、非遗文化融入乡村旅游，推动“农业+研学”“文化+体验”“旅游+非遗”等业态融合创新，打造农耕研学、非遗手工等体验式的农文旅融合产品。加强旅游产品开发，在有条件的乡村旅游景点设置特色农产品展销窗口，推动大足黑山羊、大足冬菜、宝顶酿造调味品、笛女酒、尊香园皮蛋等特色农产品通过农创包装成为特色旅游商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工旅联动。充分依托“五金文化”和“重汽文化”两大大足特色的工业文化符号，大力发展工业旅游，推出工业文博、工业文创、工业研学等旅游产品。围绕五金文化体验，开发雕刻体验、锻打体验等体验业态，打造产业、文化、旅游、消费综合体，推进五金制造与文化旅游融合发展。聚焦三线建设背景，挖掘重汽文化，利用重汽工业遗址资源，创意重汽文创体验，依托红岩重型汽车博物馆，开展科普研学和红色教育体验，弘扬“中国重汽摇篮”的三线文化、重汽文化历史脉络与爱岗敬业、艰苦奋斗的重汽人文精神，全方位展示红岩重汽发展的动人故事和奉献精神。</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学旅互动。充分挖掘石刻文化、五金文化、重汽文化、荷棠文化等核心资源，加快教育与旅游融合发展，积极创建中小学生研学实践教育基地和营地，推出丰富的研学旅行产品。充分利用好大足石刻这一世界级的文化艺术资源，与国内一线研学机构合作，推出在国际国内具备一定影响力和号召力的研学线路。依托重汽工业遗址、唐赤英烈士故居、饶国梁纪念馆等本土红色资源，深挖历史内涵，打造特色思政研学产品体系，丰富红色场景沉浸式体验。支持重点文化类景区建设特色博物馆，依托文化景区、文博场馆、演艺场所、非遗基地等资源，打造一批研学旅行实践基地、精品线路及优秀课程。</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康旅协同。推广“旅游度假区+医疗机构”模式，提升大足康养专业度，鼓励大足区人民医院、大足区中医院等医疗机构在龙水湖旅游度假区等度假项目开设医疗保健机构。依托龙水湖温泉、森林气候条件、特色农产品等，针对主城都市银发市场，引进一批知名品牌康疗机构，加快医疗保健、美容养生、食疗食补等康养产品的研发与推广。</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城旅结合。重点围绕中心城区，挖掘提升母城文化，打造十大特色街区。打造昌州古城宋式美学文化街区，盘活香国公园、昌州古城等闲置产业，依托大足历史文化、石刻文化、非遗文化、民俗文化等文化资源，加快推进大足印象魔幻光影秀、夜景灯饰和夜市环境提升等项目，推出一批餐秀、水秀、灯秀等文化秀场体验场景，引进精品酒店、特色民宿业态。打造大足老城特色文化街区，提升龙中路文艺街区、国梁路特色服饰街区、滨河路滨水休闲街区、北山路文博文创街区等10大街区风貌氛围和业态分布，打造形成充满烟火气的城市活力街区。打造海棠国际CBD，依托海棠国际“地标”，盘活海棠国际广场，引入星级酒店等业态，畅通联结CBD与渝蓉高速大足石刻服务区，构建“一步一景一画卷、移步换景画中游”的新型城市CBD图景。打造大足石刻高铁城，系统谋划大足石刻站南北广场、宝顶山景区改造提升以及石刻文化城整体规划，结合荷花山庄打造和小镇焕新项目，推进“站镇一体”建设，把商业步行街打造成为文旅综合体，建设站城一体、产城景文融合发展的“未来城市封面”。</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26" w:name="_Toc28112"/>
      <w:r>
        <w:rPr>
          <w:rFonts w:hint="eastAsia" w:ascii="方正楷体_GBK" w:hAnsi="方正楷体_GBK" w:eastAsia="方正楷体_GBK" w:cs="方正楷体_GBK"/>
          <w:lang w:val="en-US" w:eastAsia="zh-CN"/>
        </w:rPr>
        <w:t>第三节  实施文旅消费能级提升工程</w:t>
      </w:r>
      <w:bookmarkEnd w:id="26"/>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升级文旅消费场景。丰富提升大足印象、吾悦广场、大融城、MK广场等时尚消费集中地，完善夜游、夜购、夜娱等夜经济场景，打造富有大足韵味的城市City Walk。结合大足作为“重庆首批低空经济先行试验区”“低空装备产业发展试点区县”的优势，开发低空文旅观光项目，引进推出川渝石窟主题航线以及“翱翔大足”空中游览项目。提质发展沉浸式旅游演艺，持续提升优化4K宽银幕电影《天下大足》和8K球幕电影《大足石刻》、“云游·大足石刻”元宇宙数字景区、文旅AI数字人“小笛”、VR沉浸式体验项目《无面之神》等已有沉浸式体验项目，在北山、龙水湖适时推出沉浸式夜游体验项目。打造新型公共文旅空间，支持商业综合体、旅游休闲街区嵌入文创、剧场、展览、特色书店、运动健身、文化主题餐饮等业态，稳步培育主题集市、非遗集市、旅游集市、乡村集市等载体，融合文化内涵、地方特色、旅游消费、商品展销、新型业态等于一体，形成一批小而精、特而美的文旅集市。</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出台文旅消费政策。迭代升级文化旅游惠民活动，持续推出商旅特色节会赛事，优化大足购物消费环境，鼓励和协调金融机构企业聚焦重点消费场景推出惠民消费活动，持续推进支付便利化建设，完善多层次支付体系，培育“快乐消费”的身心满足消费体验。</w:t>
      </w:r>
    </w:p>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eastAsia="方正黑体_GBK"/>
          <w:color w:val="auto"/>
          <w:szCs w:val="28"/>
        </w:rPr>
      </w:pPr>
      <w:r>
        <w:rPr>
          <w:rFonts w:hint="eastAsia" w:eastAsia="方正黑体_GBK"/>
          <w:color w:val="auto"/>
          <w:szCs w:val="28"/>
        </w:rPr>
        <w:t>专栏</w:t>
      </w:r>
      <w:r>
        <w:rPr>
          <w:rFonts w:hint="eastAsia" w:eastAsia="方正黑体_GBK"/>
          <w:color w:val="auto"/>
          <w:szCs w:val="28"/>
          <w:lang w:val="en-US" w:eastAsia="zh-CN"/>
        </w:rPr>
        <w:t xml:space="preserve">1  </w:t>
      </w:r>
      <w:r>
        <w:rPr>
          <w:rFonts w:hint="eastAsia" w:eastAsia="方正黑体_GBK"/>
          <w:color w:val="auto"/>
          <w:szCs w:val="28"/>
        </w:rPr>
        <w:t>特色旅游重点项目</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500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shd w:val="clear"/>
              <w:kinsoku/>
              <w:wordWrap/>
              <w:overflowPunct/>
              <w:topLinePunct w:val="0"/>
              <w:autoSpaceDE/>
              <w:autoSpaceDN/>
              <w:bidi w:val="0"/>
              <w:adjustRightInd/>
              <w:snapToGrid/>
              <w:spacing w:line="400" w:lineRule="exact"/>
              <w:ind w:firstLine="600"/>
              <w:jc w:val="left"/>
              <w:textAlignment w:val="auto"/>
              <w:rPr>
                <w:rFonts w:eastAsia="方正黑体_GBK"/>
                <w:color w:val="auto"/>
                <w:sz w:val="28"/>
                <w:szCs w:val="28"/>
              </w:rPr>
            </w:pPr>
            <w:r>
              <w:rPr>
                <w:rFonts w:hint="eastAsia" w:eastAsia="方正黑体_GBK"/>
                <w:color w:val="auto"/>
                <w:sz w:val="28"/>
                <w:szCs w:val="28"/>
              </w:rPr>
              <w:t>产品项目：</w:t>
            </w:r>
            <w:r>
              <w:rPr>
                <w:rFonts w:hint="eastAsia" w:ascii="方正仿宋_GBK" w:hAnsi="方正仿宋_GBK" w:cs="方正仿宋_GBK"/>
                <w:color w:val="auto"/>
                <w:sz w:val="28"/>
                <w:szCs w:val="28"/>
                <w:lang w:bidi="zh-HK"/>
              </w:rPr>
              <w:t>三山提升、五山联动；龙水湖国家级度假区；四大城郊田园综合体、特色乡村旅游点。</w:t>
            </w:r>
          </w:p>
          <w:p>
            <w:pPr>
              <w:keepNext w:val="0"/>
              <w:keepLines w:val="0"/>
              <w:pageBreakBefore w:val="0"/>
              <w:widowControl/>
              <w:shd w:val="clear"/>
              <w:kinsoku/>
              <w:wordWrap/>
              <w:overflowPunct/>
              <w:topLinePunct w:val="0"/>
              <w:autoSpaceDE/>
              <w:autoSpaceDN/>
              <w:bidi w:val="0"/>
              <w:adjustRightInd/>
              <w:snapToGrid/>
              <w:spacing w:line="400" w:lineRule="exact"/>
              <w:ind w:firstLine="600"/>
              <w:jc w:val="left"/>
              <w:textAlignment w:val="auto"/>
              <w:rPr>
                <w:color w:val="auto"/>
                <w:sz w:val="28"/>
                <w:szCs w:val="28"/>
                <w:lang w:bidi="zh-HK"/>
              </w:rPr>
            </w:pPr>
            <w:r>
              <w:rPr>
                <w:rFonts w:hint="eastAsia" w:eastAsia="方正黑体_GBK"/>
                <w:color w:val="auto"/>
                <w:sz w:val="28"/>
                <w:szCs w:val="28"/>
              </w:rPr>
              <w:t>精品线路项目：</w:t>
            </w:r>
            <w:r>
              <w:rPr>
                <w:rFonts w:hint="eastAsia" w:ascii="方正仿宋_GBK" w:hAnsi="方正仿宋_GBK" w:cs="方正仿宋_GBK"/>
                <w:color w:val="auto"/>
                <w:sz w:val="28"/>
                <w:szCs w:val="28"/>
                <w:lang w:bidi="zh-HK"/>
              </w:rPr>
              <w:t>国际范石刻艺术精品线路：“石刻艺术”主题精品线路。大足风主题旅游精品线路：“美丽乡村”主题精品线路、“山水休闲”主题精品线路、“文化体验”主题精品线路、“康养度假”主题精品线路。巴蜀韵区域联动旅游线路：“资足常乐”主题精品线路、“成渝古道”主题精品线路、“川渝石窟”主题精品线路、“渝西风情”主题精品线路。</w:t>
            </w:r>
          </w:p>
          <w:p>
            <w:pPr>
              <w:keepNext w:val="0"/>
              <w:keepLines w:val="0"/>
              <w:pageBreakBefore w:val="0"/>
              <w:widowControl/>
              <w:shd w:val="clear"/>
              <w:kinsoku/>
              <w:wordWrap/>
              <w:overflowPunct/>
              <w:topLinePunct w:val="0"/>
              <w:autoSpaceDE/>
              <w:autoSpaceDN/>
              <w:bidi w:val="0"/>
              <w:adjustRightInd/>
              <w:snapToGrid/>
              <w:spacing w:line="400" w:lineRule="exact"/>
              <w:ind w:firstLine="560"/>
              <w:jc w:val="left"/>
              <w:textAlignment w:val="auto"/>
              <w:rPr>
                <w:color w:val="auto"/>
              </w:rPr>
            </w:pPr>
            <w:r>
              <w:rPr>
                <w:rFonts w:hint="eastAsia" w:eastAsia="方正黑体_GBK" w:cs="Times New Roman"/>
                <w:color w:val="auto"/>
                <w:sz w:val="28"/>
                <w:szCs w:val="28"/>
              </w:rPr>
              <w:t>文旅融合项目：</w:t>
            </w:r>
            <w:r>
              <w:rPr>
                <w:rFonts w:hint="eastAsia" w:ascii="方正仿宋_GBK" w:hAnsi="方正仿宋_GBK" w:cs="方正仿宋_GBK"/>
                <w:color w:val="auto"/>
                <w:sz w:val="28"/>
                <w:szCs w:val="28"/>
                <w:lang w:bidi="zh-HK"/>
              </w:rPr>
              <w:t>农旅融合：将“稻+”、黑山羊等特色农业资源转化为旅游产品，打造农业全产业链；打造大唐丰域草莓等采摘园，串联四季乡村旅游场景；融入农耕、非遗文化，开发研学、手工体验产品，推动业态融合；乡村景点设展销窗口，推动大足特色农产品农创包装为旅游商品。工旅融合：开发五金雕刻、锻打体验，打造工文旅消费综合体；挖掘三线重汽文化，开发文创体验，依托博物馆开展科普、红色教育。学旅融合：创建研学基地，联合机构，依托大足石刻打造特色研学线路；依托本土红色资源，打造思政研学产品，丰富红色沉浸式体验；支持重点文化景区建特色博物馆，打造研学基地、线路及课程。康旅协同：推广“度假区+医疗机构”模式，推动区内医院在龙水湖设医疗保健机构；依托龙水湖资源，引进康疗机构，研发推广康养产品。城旅结合项目：打造宋氏美学街区，盘活闲置资源，打造文化体验场景；打造大足印象、北山路文创街区，提升商业风貌与烟火气;盘活广场，引入星级酒店，畅通交通，打造新型CBD；推进“站镇一体”，打造文旅综合体与未来城市封面。</w:t>
            </w:r>
          </w:p>
        </w:tc>
      </w:tr>
    </w:tbl>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44"/>
          <w:szCs w:val="24"/>
        </w:rPr>
      </w:pPr>
      <w:bookmarkStart w:id="27" w:name="_Toc21766"/>
      <w:r>
        <w:rPr>
          <w:rFonts w:hint="eastAsia" w:ascii="方正小标宋_GBK" w:hAnsi="方正小标宋_GBK" w:eastAsia="方正小标宋_GBK" w:cs="方正小标宋_GBK"/>
          <w:sz w:val="44"/>
          <w:szCs w:val="24"/>
        </w:rPr>
        <w:t xml:space="preserve">第三篇 </w:t>
      </w:r>
      <w:r>
        <w:rPr>
          <w:rFonts w:hint="eastAsia" w:ascii="方正小标宋_GBK" w:hAnsi="方正小标宋_GBK" w:eastAsia="方正小标宋_GBK" w:cs="方正小标宋_GBK"/>
          <w:sz w:val="44"/>
          <w:szCs w:val="24"/>
          <w:lang w:val="en-US" w:eastAsia="zh-CN"/>
        </w:rPr>
        <w:t xml:space="preserve"> </w:t>
      </w:r>
      <w:r>
        <w:rPr>
          <w:rFonts w:hint="eastAsia" w:ascii="方正小标宋_GBK" w:hAnsi="方正小标宋_GBK" w:eastAsia="方正小标宋_GBK" w:cs="方正小标宋_GBK"/>
          <w:sz w:val="44"/>
          <w:szCs w:val="24"/>
        </w:rPr>
        <w:t>着力打造成渝中部文化高地</w:t>
      </w:r>
      <w:bookmarkEnd w:id="27"/>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28" w:name="_Toc27967"/>
      <w:r>
        <w:rPr>
          <w:rFonts w:hint="eastAsia" w:ascii="方正黑体_GBK" w:hAnsi="方正黑体_GBK" w:eastAsia="方正黑体_GBK" w:cs="方正黑体_GBK"/>
        </w:rPr>
        <w:t>第八章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加强文化遗产保护传承研究</w:t>
      </w:r>
      <w:bookmarkEnd w:id="28"/>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29" w:name="_Toc17012"/>
      <w:r>
        <w:rPr>
          <w:rFonts w:hint="eastAsia" w:ascii="方正楷体_GBK" w:hAnsi="方正楷体_GBK" w:eastAsia="方正楷体_GBK" w:cs="方正楷体_GBK"/>
          <w:lang w:val="en-US" w:eastAsia="zh-CN"/>
        </w:rPr>
        <w:t>第一节  推进大足石刻系统性保护</w:t>
      </w:r>
      <w:bookmarkEnd w:id="29"/>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大足石刻病害治理。秉持系统性保护理念，突出最小化干预、原生态保护，推动公布实施《大足石刻保护利用总体规划》，认真落实《川渝石窟寺国家遗址公园总体规划》，开展宝顶山摩崖造像圆觉洞综合性保护、卧佛保护修缮等国家级或市级重点保护工程20项。推进完成大足石刻中小石窟保护设施建设项目，聚焦潮湿环境下石窟寺病理机理、保护环境与环境控制技术等关键领域，建设潮湿环境砂岩石窟保护与数字化重庆市重点实验室，争创国家考古遗址公园、国家文物保护利用示范区、潮湿环境石窟寺文物保护国家科研基地。</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完善遗产监测预警系统。充分应用数字科技技术，依托大足石刻文物医院、安全技术防范中心以及具有动态监测和信息化管理功能的监测预警平台，构建起一套集预防、监测、预警于一体的智能化监管体系，将区级以上石窟寺及石刻达到安防全覆盖。用三维数字测量技术，完成大足石刻数字测绘，迭代升级大足石刻数字化档案，为大足石刻数字展示、文物监测、文物保护工程勘察设计提供坚实支撑。</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优化石窟保护管理模式。围绕大足石刻文化生态保护区的建设，加强对石窟的系统性保护工作。创新中小石窟保护“一统筹多分散”管理模式，推进以大足石刻研究院为总体统筹、各镇街负责范围内石窟的日常安全管理、维护等保护工作的管理模式，定期发放日常管理维护经费，推进各个中小石窟的全面保护。积极推进“五山”石窟以外的中小石窟考古和保护研究、建设工作，推进川渝石窟保护示范项目建设。</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0" w:name="_Toc4842"/>
      <w:r>
        <w:rPr>
          <w:rFonts w:hint="eastAsia" w:ascii="方正楷体_GBK" w:hAnsi="方正楷体_GBK" w:eastAsia="方正楷体_GBK" w:cs="方正楷体_GBK"/>
          <w:lang w:val="en-US" w:eastAsia="zh-CN"/>
        </w:rPr>
        <w:t>第二节  深化大足石刻研究与阐释</w:t>
      </w:r>
      <w:bookmarkEnd w:id="3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建强大足石刻研究院。对标故宫研究院和敦煌研究院，围绕国际一流文化研究机构的目标，不断提升大足石刻保护研究利用水平和阐释宣传管理能力，坚持保护第一、研究利用并重，引进高层次人才，锻造一支集文物保护修复、历史、艺术、考古等研究为主的专业人才队伍，建好大足石刻进行国际文化交流的平台。</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支持“大足学”学科建设。深化学术研究，支持“大足学”学科建设，推动《大足石刻研究》晋升国内核心期刊，推进《巴蜀石窟全集》编撰，出版大足石刻中小型石窟考古报告，推进大足石刻历史文化等重点研究项目，培育大足学国际学术研讨会等学术品牌。联合中国社会科学院中国历史研究院等科研机构，系统开展“大足石刻群”历史文化研究，完成《大足石刻群大事记》《大足石刻群编年史》以及系列子课题的研究，构建更加完整的大足石刻历史文化谱系与价值阐释体系。</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国际交流与合作。深化与意大利、日本等国家在石质文物保护修复等领域的国际合作，逐步成为世界知名的石窟学术交流中心。积极开展国际影响力学术交流，定期举办大足学国际论坛和学术活动，拓展世界文化遗产的高度。积极拓展文化遗产朋友圈，积极参与世界文化遗产可持续发展的会议、论坛等并发出大足声音，推进与全球著名文化遗产地和国际文旅名城的“结对发展”，让大足石刻成为连接世界的情感纽带。</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1" w:name="_Toc29755"/>
      <w:r>
        <w:rPr>
          <w:rFonts w:hint="eastAsia" w:ascii="方正楷体_GBK" w:hAnsi="方正楷体_GBK" w:eastAsia="方正楷体_GBK" w:cs="方正楷体_GBK"/>
          <w:lang w:val="en-US" w:eastAsia="zh-CN"/>
        </w:rPr>
        <w:t>第三节  强化文物保护管理与安全</w:t>
      </w:r>
      <w:bookmarkEnd w:id="3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文物普查摸底。结合第四次全国文物普查工作，持续推进全区不可移动文物的普查摸底工作，建立全区不可移动文物资源总目录和全区不可移动文物资源大数据库，建立文物资源资产动态管理机制。完善不可移动文物认定公布机制，规范认定标准和登记公布程序，健全名录公布体系。完善不可移动文物保护管理机制，构建全面普查、专项调查、空间管控、动态监测相结合的文物资源管理体系。</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文物保护修缮。加强重点文物保护单位规划编制与实施，科学划定区级文物保护单位“两线”，保护各级各类文物本体及其周边环境，加强预防性保护、日常保养和保护修缮。深入推进革命文物的保护与传承工作，开展革命旧址险情排查，积极争取市级文物保护专项资金，推进革命文物的修缮与保护工作。制定城乡历史文化保护传承行动计划，大力推进以铁山古镇、雍溪古镇等历史文化名镇、传统风貌区的整体保护，系统保护古镇古街的传统格局、历史风貌、人文环境及其依存的自然山水环境，严格按照“修旧如旧”的原则，对历史文化建筑进行保护性修缮。</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文物安全管理。落实文物安全责任，完善督查、检查、巡查机制与文物突发事件预案体系。严格文物执法，打击破坏、损毁、盗窃、倒卖文物等犯罪行为，筑牢文物安全底线。优化不可移动文物的监测预警平台建设，抓好监测技术系统升级换代，着力建立不可移动文物风险智慧监测预警体系和评估体系。</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2" w:name="_Toc20314"/>
      <w:r>
        <w:rPr>
          <w:rFonts w:hint="eastAsia" w:ascii="方正楷体_GBK" w:hAnsi="方正楷体_GBK" w:eastAsia="方正楷体_GBK" w:cs="方正楷体_GBK"/>
          <w:lang w:val="en-US" w:eastAsia="zh-CN"/>
        </w:rPr>
        <w:t>第四节  推动非遗文化保护与传承</w:t>
      </w:r>
      <w:bookmarkEnd w:id="3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提升非遗保护传承水平。健全非遗项目分层分类名录体系，加强非遗普查和挖掘孵化，积极培育国家级非遗项目，推荐有条件的非遗项目提升非遗等级，重点将万古鲤鱼灯舞、 中敖火龙、龙水小五金锻打技艺等具有重大历史、文学、艺术价值的非遗项目培育成国家级非遗项目，并及时发掘潜在民间技艺申报纳入非遗名录。持续推进国家级、市级、区级非遗代表性传承人评估与申报，以传承人培养为核心，扶持建设一批非物质文化遗产传承人培训基地，实施非遗传承人群研修研习培训计划，培养一批非遗骨干人才，壮大非遗传承队伍。对镇街非遗保护工作加强指导，开展非遗保护工作队伍培训，指导督促非遗项目保护单位、传承基地开展传习活动。</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提升非遗文化传播力度。坚持举办非遗项目展演展示系列活动，充分利用“文化和自然遗产日”、宝顶香会节、川剧文化艺术节等各种节日，开展好非遗项目展演（示）系列活动，并加大宣传力度。继续在全区学校或单位建立非遗教育传承基地、生产性保护示范基地、传承所和非遗工坊，积极开展非遗研学体验活动。加强非遗学术研究，审核、修改非遗学术书籍《大足石雕》，力争早日出版。充分利用央视、华龙网、区融媒体中心，以及自媒体，对我区非遗项目及代表性传承人进行广泛宣传报道，以提升大足非遗的知名度和影响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提升非遗项目产业转化。推动</w:t>
      </w:r>
      <w:r>
        <w:rPr>
          <w:rFonts w:hint="eastAsia"/>
          <w:spacing w:val="-3"/>
          <w:sz w:val="32"/>
        </w:rPr>
        <w:t>大足石雕、龙水小五金锻打技艺等非遗项目文创化、生活化、产业化发展，打造一批特色的大足好礼。构建“非遗工坊+产业链”融合体系，打造一批特色非遗工坊，不断激活非遗产业造血能力，培育规上非遗工坊龙头企业。推动大足冬菜系列、邮亭鲫鱼、丁家坡洋芋等特色非遗美食形成地方招牌菜，并通过传帮带，由招牌美食店拓展成特色美食集群。</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3" w:name="_Toc6962"/>
      <w:r>
        <w:rPr>
          <w:rFonts w:hint="eastAsia" w:ascii="方正楷体_GBK" w:hAnsi="方正楷体_GBK" w:eastAsia="方正楷体_GBK" w:cs="方正楷体_GBK"/>
          <w:lang w:val="en-US" w:eastAsia="zh-CN"/>
        </w:rPr>
        <w:t>第五节  加强文化遗产活化与利用</w:t>
      </w:r>
      <w:bookmarkEnd w:id="33"/>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历史文化名镇名村、历史文化街区、传统村落的保护利用。编制《大足区历史文化名城、街区专项保护规划》，完善大足城乡历史文化保护传承体系，分类推进历史文化资源保护利用，推动村史村馆展陈设施建设，进一步加强非遗保护传承，挖掘一批潜在的历史地段、历史建筑、特殊保护要素等历史文化资源，不断充实提升我区历史文化底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推进文物古迹科学利用。加强对古建、老街、传统村落等的保护修缮与活化利用，有序恢复“大足古八景”，打造一批文化地标与特色街区。推动文物建筑“功能再造”，充分利用名人旧居、民居老宅等文物古迹，在满足文物保护相关规定的前提下，打造主题陈列馆、特色民宿、工艺作坊、休闲茶室等体验业态，实现文物古建的活化利用。</w:t>
      </w:r>
    </w:p>
    <w:p>
      <w:pPr>
        <w:shd w:val="clear"/>
        <w:spacing w:line="600" w:lineRule="exact"/>
        <w:ind w:firstLine="600"/>
        <w:jc w:val="center"/>
        <w:rPr>
          <w:rFonts w:eastAsia="方正黑体_GBK"/>
          <w:color w:val="auto"/>
          <w:szCs w:val="28"/>
        </w:rPr>
      </w:pPr>
      <w:r>
        <w:rPr>
          <w:rFonts w:eastAsia="方正黑体_GBK"/>
          <w:color w:val="auto"/>
          <w:szCs w:val="28"/>
        </w:rPr>
        <w:t>专栏</w:t>
      </w:r>
      <w:r>
        <w:rPr>
          <w:rFonts w:hint="eastAsia" w:eastAsia="方正黑体_GBK"/>
          <w:color w:val="auto"/>
          <w:szCs w:val="28"/>
          <w:lang w:val="en-US" w:eastAsia="zh-CN"/>
        </w:rPr>
        <w:t>2</w:t>
      </w:r>
      <w:r>
        <w:rPr>
          <w:rFonts w:eastAsia="方正黑体_GBK"/>
          <w:color w:val="auto"/>
          <w:szCs w:val="28"/>
        </w:rPr>
        <w:t xml:space="preserve">  </w:t>
      </w:r>
      <w:r>
        <w:rPr>
          <w:rFonts w:hint="eastAsia" w:eastAsia="方正黑体_GBK"/>
          <w:color w:val="auto"/>
          <w:szCs w:val="28"/>
        </w:rPr>
        <w:t>文化遗产保护传承研究</w:t>
      </w:r>
      <w:r>
        <w:rPr>
          <w:rFonts w:eastAsia="方正黑体_GBK"/>
          <w:color w:val="auto"/>
          <w:szCs w:val="28"/>
        </w:rPr>
        <w:t>重点项目</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atLeast"/>
          <w:jc w:val="center"/>
        </w:trPr>
        <w:tc>
          <w:tcPr>
            <w:tcW w:w="5000" w:type="pct"/>
            <w:tcBorders>
              <w:top w:val="single" w:color="auto" w:sz="4" w:space="0"/>
              <w:left w:val="single" w:color="auto" w:sz="4" w:space="0"/>
              <w:bottom w:val="single" w:color="auto" w:sz="4" w:space="0"/>
              <w:right w:val="single" w:color="auto" w:sz="4" w:space="0"/>
            </w:tcBorders>
          </w:tcPr>
          <w:p>
            <w:pPr>
              <w:shd w:val="clear"/>
              <w:spacing w:line="440" w:lineRule="exact"/>
              <w:ind w:firstLine="600"/>
              <w:rPr>
                <w:color w:val="auto"/>
                <w:sz w:val="28"/>
                <w:szCs w:val="28"/>
              </w:rPr>
            </w:pPr>
            <w:r>
              <w:rPr>
                <w:rFonts w:hint="eastAsia" w:eastAsia="方正黑体_GBK"/>
                <w:color w:val="auto"/>
                <w:sz w:val="28"/>
                <w:szCs w:val="28"/>
              </w:rPr>
              <w:t>大足石刻系统性保护：</w:t>
            </w:r>
            <w:r>
              <w:rPr>
                <w:rFonts w:hint="eastAsia" w:ascii="方正仿宋_GBK" w:hAnsi="方正仿宋_GBK" w:cs="方正仿宋_GBK"/>
                <w:color w:val="auto"/>
                <w:sz w:val="28"/>
                <w:szCs w:val="28"/>
                <w:shd w:val="clear" w:color="auto" w:fill="FFFFFF"/>
              </w:rPr>
              <w:t>推动大足石刻研究院建成世界知名研究院；</w:t>
            </w:r>
            <w:r>
              <w:rPr>
                <w:rFonts w:hint="eastAsia" w:ascii="方正仿宋_GBK" w:hAnsi="方正仿宋_GBK" w:cs="方正仿宋_GBK"/>
                <w:color w:val="auto"/>
                <w:sz w:val="28"/>
                <w:szCs w:val="28"/>
                <w:lang w:bidi="zh-HK"/>
              </w:rPr>
              <w:t>推动发布《大足石刻保护利用总体规划》《川渝石窟寺国家遗址公园总体规划》，实施圆觉洞综合性保护工程、大足石刻中小石窟保护设施建设等项目，建设</w:t>
            </w:r>
            <w:r>
              <w:rPr>
                <w:rFonts w:hint="eastAsia" w:ascii="方正仿宋_GBK" w:hAnsi="方正仿宋_GBK" w:cs="方正仿宋_GBK"/>
                <w:color w:val="auto"/>
                <w:sz w:val="28"/>
                <w:szCs w:val="28"/>
                <w:shd w:val="clear" w:color="auto" w:fill="FFFFFF"/>
              </w:rPr>
              <w:t>潮湿环境砂岩石窟保护与数字化重庆市重点实验室，争创国家考古遗址公园、国家文物保护利用示范区、潮湿环境石窟寺文物保护国家科研基地；完善升级监测预警平台；定期举办大足学国际论坛和学术活动。开展“大足石刻群”历史文化研究，形成一批高质量研究成果。</w:t>
            </w:r>
          </w:p>
          <w:p>
            <w:pPr>
              <w:shd w:val="clear"/>
              <w:spacing w:line="440" w:lineRule="exact"/>
              <w:ind w:firstLine="600"/>
              <w:rPr>
                <w:rFonts w:eastAsia="宋体"/>
                <w:color w:val="auto"/>
              </w:rPr>
            </w:pPr>
            <w:r>
              <w:rPr>
                <w:rFonts w:hint="eastAsia" w:eastAsia="方正黑体_GBK"/>
                <w:color w:val="auto"/>
                <w:sz w:val="28"/>
                <w:szCs w:val="28"/>
              </w:rPr>
              <w:t>非遗保护传承：</w:t>
            </w:r>
            <w:r>
              <w:rPr>
                <w:rFonts w:hint="eastAsia" w:ascii="方正仿宋_GBK" w:hAnsi="方正仿宋_GBK" w:cs="方正仿宋_GBK"/>
                <w:color w:val="auto"/>
                <w:sz w:val="28"/>
                <w:szCs w:val="28"/>
                <w:shd w:val="clear" w:color="auto" w:fill="FFFFFF"/>
              </w:rPr>
              <w:t>重点将万古鲤鱼灯舞、中敖火龙、龙水小五金锻打技艺等具有重大历史、文学、艺术价值的非遗项目培育成国家级非遗项目；扶持建设一批非物质文化遗产传承人培训基地，实施非遗传承人群研修研习培训计划；继续建立非遗教育传承基地、生产性保护示范基地、传承所和非遗工坊。</w:t>
            </w:r>
          </w:p>
        </w:tc>
      </w:tr>
    </w:tbl>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34" w:name="_Toc20671"/>
      <w:r>
        <w:rPr>
          <w:rFonts w:hint="eastAsia" w:ascii="方正黑体_GBK" w:hAnsi="方正黑体_GBK" w:eastAsia="方正黑体_GBK" w:cs="方正黑体_GBK"/>
        </w:rPr>
        <w:t>第九章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推动公共文化服务提质增效</w:t>
      </w:r>
      <w:bookmarkEnd w:id="34"/>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5" w:name="_Toc4816"/>
      <w:r>
        <w:rPr>
          <w:rFonts w:hint="eastAsia" w:ascii="方正楷体_GBK" w:hAnsi="方正楷体_GBK" w:eastAsia="方正楷体_GBK" w:cs="方正楷体_GBK"/>
          <w:lang w:val="en-US" w:eastAsia="zh-CN"/>
        </w:rPr>
        <w:t>第一节  全面提升社会文明程度</w:t>
      </w:r>
      <w:bookmarkEnd w:id="3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培育社会文明风尚。推动新时代文明实践中心（所、站）提质增效，广泛开展文明实践活动，将社会主义核心价值观融入日常生活，全面提升城市文明程度与文化感召力。坚持“以文化人”“以文兴城”，深入实施“春风满巴渝”社会风气提升行动和文明乡风建设工程，深化移风易俗改革和十件“小案小事”治理专项行动，建立文明提升长效机制，全力创建全国文明城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提升群众文明素养。以市民文明素养和城市文明程度“双提升”为目标，深化拓展群众性精神文明创建活动，推动文明创建从中心城区向城乡全域覆盖、向背街小巷延伸。深入实施公民道德建设工程，全面推行社会公德、职业道德、家庭美德、个人品德建设，弘扬诚信文化、廉洁文化、工匠文化，厚植崇德向善精神沃土。实施“道德模范”“时代楷模”“中国好人”“感动重庆十大人物”等先进典型培育工程，力争实现全国道德模范零突破、中国好人5名以上，市级先进典型超过30个。</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赓续城市人文精神。积极弘扬“坚韧、忠勇、开放、争先”的重庆城市精神以及“开山化石、励志图新”的大足人文精神，持续推进石刻文化、五金文化、重汽文化、荷棠文化、革命文化等有机植入城市。推动优秀传统文化深度植入城镇建设，将石刻元素、海棠香国文化符号等有机融入城市规划、公共空间、景观设计与城市家具，打造富有文化辨识度的城市风貌。</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6" w:name="_Toc23205"/>
      <w:r>
        <w:rPr>
          <w:rFonts w:hint="eastAsia" w:ascii="方正楷体_GBK" w:hAnsi="方正楷体_GBK" w:eastAsia="方正楷体_GBK" w:cs="方正楷体_GBK"/>
          <w:lang w:val="en-US" w:eastAsia="zh-CN"/>
        </w:rPr>
        <w:t>第二节  健全公共文化服务体系</w:t>
      </w:r>
      <w:bookmarkEnd w:id="36"/>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建设15分钟高品质文化生活圈。提质扩面“15分钟高品质文化生活圈”，科学规划布局，融合打造集城市书房、文化驿站、艺术长廊、智慧体验区等于一体的“沉浸城市”新型复合文化空间，推动优质文化资源向基层倾斜和数字化供给。采用“微改造”“精提升”策略，打造嵌入式新型文化空间，让群众在“家门口”就能拥有幸福文化生活。到2030年，全区每万人拥有公共文化设施面积达到1200平方米，公共文化设施免费开放率100%，公共文化设施使用率提升50%。</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优质文化资源直达基层。新建公共文化设施向基层延伸、向农村覆盖。推动“城市-乡村”“中心镇街-偏远乡村”文化资源结对帮扶，建立全区文化设施统筹协调机制，推动城乡公共文化服务设施协同发展。着眼于乡村优秀传统文化的活化利用和创新发展，因地制宜建设乡情陈列馆、文化礼堂、乡村戏台、文化广场等主题性公共文化空间，推进乡村文化振兴。深入实施文化惠民工程，持续开展“我们的中国梦”文化进万家送演出进基层、流动文化服务进村等文化惠民活动，推动获奖作品、优秀剧目到基层演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进博物馆高质量发展。提升博物馆公共文化服务水平，推动博物馆充分利用馆藏资源，策划推出精品展览活动。推动大足历史文化博物馆、三线建设文博公园前期研究及规划建设工作。鼓励和扶持行业和非国有博物馆建设，吸引社会资本参与文物保护，完善以国有博物馆为主体，非国有博物馆为补充的博物馆体系。鼓励博物馆开发文化创意产品，推动利用博物馆资源开展中小学教育研学活动。</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7" w:name="_Toc30333"/>
      <w:r>
        <w:rPr>
          <w:rFonts w:hint="eastAsia" w:ascii="方正楷体_GBK" w:hAnsi="方正楷体_GBK" w:eastAsia="方正楷体_GBK" w:cs="方正楷体_GBK"/>
          <w:lang w:val="en-US" w:eastAsia="zh-CN"/>
        </w:rPr>
        <w:t>第三节  创新公共文化服务模式</w:t>
      </w:r>
      <w:bookmarkEnd w:id="37"/>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公共文化设施主客共享。打造“主客共享”的新型文化场景，探索跨界融合发展模式，引入沉浸式戏剧演出、文创产品DIY、非遗体验等多元业态。拓展文化场馆旅游功能，推进城市文化公共服务设施的旅游化改造，重点推进城市公园、博物馆、图书馆等设施旅游化、数字化提升，实现主客共享、近悦远来。推动文化公服进入景区，鼓励将景区的游客中心等公共建筑植入图书阅读、艺术展览、非遗展示等功能，提升旅游景区文化氛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鼓励社会力量参与公服供给。深入推进政府购买公共文化服务，制定社会力量参与公共文化服务政策指引。创新社会力量参与公共文化服务方式，建立合理补偿机制，鼓励引入竞争机制，适度创新社会委托运营、民办公助等供给模式。探索“城市书房”“文化驿站”兼具自助零售、轻食餐饮等商业服务功能，通过市场化手段，鼓励企业参与公共文化设施的运营建设。</w:t>
      </w:r>
    </w:p>
    <w:p>
      <w:pPr>
        <w:shd w:val="clear"/>
        <w:spacing w:line="600" w:lineRule="exact"/>
        <w:ind w:firstLine="600"/>
        <w:jc w:val="center"/>
        <w:rPr>
          <w:rFonts w:eastAsia="方正黑体_GBK"/>
          <w:color w:val="auto"/>
          <w:szCs w:val="28"/>
        </w:rPr>
      </w:pPr>
      <w:r>
        <w:rPr>
          <w:rFonts w:eastAsia="方正黑体_GBK"/>
          <w:color w:val="auto"/>
          <w:szCs w:val="28"/>
        </w:rPr>
        <w:t>专栏</w:t>
      </w:r>
      <w:r>
        <w:rPr>
          <w:rFonts w:hint="eastAsia" w:eastAsia="方正黑体_GBK"/>
          <w:color w:val="auto"/>
          <w:szCs w:val="28"/>
          <w:lang w:val="en-US" w:eastAsia="zh-CN"/>
        </w:rPr>
        <w:t>3</w:t>
      </w:r>
      <w:r>
        <w:rPr>
          <w:rFonts w:eastAsia="方正黑体_GBK"/>
          <w:color w:val="auto"/>
          <w:szCs w:val="28"/>
        </w:rPr>
        <w:t xml:space="preserve">  </w:t>
      </w:r>
      <w:r>
        <w:rPr>
          <w:rFonts w:hint="eastAsia" w:eastAsia="方正黑体_GBK"/>
          <w:color w:val="auto"/>
          <w:szCs w:val="28"/>
        </w:rPr>
        <w:t>公共文化服务</w:t>
      </w:r>
      <w:r>
        <w:rPr>
          <w:rFonts w:eastAsia="方正黑体_GBK"/>
          <w:color w:val="auto"/>
          <w:szCs w:val="28"/>
        </w:rPr>
        <w:t>重点项目</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atLeast"/>
          <w:jc w:val="center"/>
        </w:trPr>
        <w:tc>
          <w:tcPr>
            <w:tcW w:w="5000" w:type="pct"/>
            <w:tcBorders>
              <w:top w:val="single" w:color="auto" w:sz="4" w:space="0"/>
              <w:left w:val="single" w:color="auto" w:sz="4" w:space="0"/>
              <w:bottom w:val="single" w:color="auto" w:sz="4" w:space="0"/>
              <w:right w:val="single" w:color="auto" w:sz="4" w:space="0"/>
            </w:tcBorders>
          </w:tcPr>
          <w:p>
            <w:pPr>
              <w:shd w:val="clear"/>
              <w:spacing w:line="440" w:lineRule="exact"/>
              <w:ind w:firstLine="600"/>
              <w:rPr>
                <w:rFonts w:ascii="方正仿宋_GBK" w:hAnsi="方正仿宋_GBK" w:cs="方正仿宋_GBK"/>
                <w:color w:val="auto"/>
                <w:sz w:val="28"/>
                <w:szCs w:val="28"/>
                <w:shd w:val="clear" w:color="auto" w:fill="FFFFFF"/>
              </w:rPr>
            </w:pPr>
            <w:r>
              <w:rPr>
                <w:rFonts w:hint="eastAsia" w:eastAsia="方正黑体_GBK"/>
                <w:color w:val="auto"/>
                <w:sz w:val="28"/>
                <w:szCs w:val="28"/>
              </w:rPr>
              <w:t>公共文化设施：</w:t>
            </w:r>
            <w:r>
              <w:rPr>
                <w:rFonts w:hint="eastAsia" w:ascii="方正仿宋_GBK" w:hAnsi="方正仿宋_GBK" w:cs="方正仿宋_GBK"/>
                <w:color w:val="auto"/>
                <w:sz w:val="28"/>
                <w:szCs w:val="28"/>
                <w:shd w:val="clear" w:color="auto" w:fill="FFFFFF"/>
              </w:rPr>
              <w:t>推</w:t>
            </w:r>
            <w:r>
              <w:rPr>
                <w:rFonts w:hint="eastAsia" w:ascii="方正仿宋_GBK" w:hAnsi="方正仿宋_GBK" w:cs="方正仿宋_GBK"/>
                <w:color w:val="auto"/>
                <w:spacing w:val="-3"/>
                <w:sz w:val="28"/>
                <w:szCs w:val="28"/>
                <w:shd w:val="clear" w:color="auto" w:fill="FFFFFF"/>
              </w:rPr>
              <w:t>动“四馆”改造提升，提升大足石刻博物馆服务功能，推动大足历史文化博物馆、三线建设文博公园前期</w:t>
            </w:r>
            <w:r>
              <w:rPr>
                <w:rFonts w:ascii="方正仿宋_GBK" w:hAnsi="方正仿宋_GBK" w:cs="方正仿宋_GBK"/>
                <w:color w:val="auto"/>
                <w:spacing w:val="-3"/>
                <w:sz w:val="28"/>
                <w:szCs w:val="28"/>
                <w:shd w:val="clear" w:color="auto" w:fill="FFFFFF"/>
              </w:rPr>
              <w:t>研究及规划建设工作</w:t>
            </w:r>
            <w:r>
              <w:rPr>
                <w:rFonts w:hint="eastAsia" w:ascii="方正仿宋_GBK" w:hAnsi="方正仿宋_GBK" w:cs="方正仿宋_GBK"/>
                <w:color w:val="auto"/>
                <w:spacing w:val="-3"/>
                <w:sz w:val="28"/>
                <w:szCs w:val="28"/>
                <w:shd w:val="clear" w:color="auto" w:fill="FFFFFF"/>
              </w:rPr>
              <w:t>。</w:t>
            </w:r>
          </w:p>
          <w:p>
            <w:pPr>
              <w:shd w:val="clear"/>
              <w:spacing w:line="440" w:lineRule="exact"/>
              <w:ind w:firstLine="600"/>
              <w:rPr>
                <w:rFonts w:hint="eastAsia" w:ascii="方正仿宋_GBK" w:hAnsi="方正仿宋_GBK" w:cs="方正仿宋_GBK"/>
                <w:color w:val="auto"/>
                <w:sz w:val="28"/>
                <w:szCs w:val="28"/>
                <w:shd w:val="clear" w:color="auto" w:fill="FFFFFF"/>
              </w:rPr>
            </w:pPr>
            <w:r>
              <w:rPr>
                <w:rFonts w:hint="eastAsia" w:eastAsia="方正黑体_GBK"/>
                <w:color w:val="auto"/>
                <w:sz w:val="28"/>
                <w:szCs w:val="28"/>
              </w:rPr>
              <w:t>优质文化资源直达基层：</w:t>
            </w:r>
            <w:r>
              <w:rPr>
                <w:rFonts w:hint="eastAsia" w:ascii="方正仿宋_GBK" w:hAnsi="方正仿宋_GBK" w:cs="方正仿宋_GBK"/>
                <w:color w:val="auto"/>
                <w:sz w:val="28"/>
                <w:szCs w:val="28"/>
                <w:shd w:val="clear" w:color="auto" w:fill="FFFFFF"/>
              </w:rPr>
              <w:t>推动“城市-乡村”“中心镇街-偏远乡村”文化资源结对帮扶，持续开展“我们的中国梦”文化进万家送演出进基层、流动文化服务进村等文化惠民活动。</w:t>
            </w:r>
          </w:p>
        </w:tc>
      </w:tr>
    </w:tbl>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38" w:name="_Toc12450"/>
      <w:r>
        <w:rPr>
          <w:rFonts w:hint="eastAsia" w:ascii="方正黑体_GBK" w:hAnsi="方正黑体_GBK" w:eastAsia="方正黑体_GBK" w:cs="方正黑体_GBK"/>
        </w:rPr>
        <w:t>第十章  推动文艺精品创作繁荣发展</w:t>
      </w:r>
      <w:bookmarkEnd w:id="38"/>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39" w:name="_Toc25115"/>
      <w:r>
        <w:rPr>
          <w:rFonts w:hint="eastAsia" w:ascii="方正楷体_GBK" w:hAnsi="方正楷体_GBK" w:eastAsia="方正楷体_GBK" w:cs="方正楷体_GBK"/>
          <w:lang w:val="en-US" w:eastAsia="zh-CN"/>
        </w:rPr>
        <w:t>第一节  加强文艺精品创作生产</w:t>
      </w:r>
      <w:bookmarkEnd w:id="39"/>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广泛开展群众文艺创作。聚焦巴渝文化、石刻文化、五金文化等题材，围绕“十五五”期间重大社会事件以及大足社会文化，鼓励创作反映大足区当代风貌、具有生活质感的百姓故事，每年推出具有大足区辨识度和影响力的书法、美术、摄影、音乐、舞蹈、剧目等文化文艺精品30件以上，“十五五”期间力争获得市级以上奖项不少于100个，其中国家级重大文艺奖项不少于1个。</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创新文艺精品创作形式。建立全链条文艺创作体系，重点支持以石刻元素、海棠香国等本土元素为IP的创作，推出一批类似舞剧《天下大足》的文艺精品，运用全媒体矩阵讲好大足故事，展现大足魅力。加强大足文化艺术创作与现代科技媒体互动，推动网络文学、微电影、短视频、网剧、网络演出等有序发展，创新文艺创作的内容和形式。建立健全文艺作品评价体系，开展优秀文艺作品评选活动，加强对优秀文艺作品和文艺人才的扶持，全面提升大足文化影响力和软实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40" w:name="_Toc21289"/>
      <w:r>
        <w:rPr>
          <w:rFonts w:hint="eastAsia" w:ascii="方正楷体_GBK" w:hAnsi="方正楷体_GBK" w:eastAsia="方正楷体_GBK" w:cs="方正楷体_GBK"/>
          <w:lang w:val="en-US" w:eastAsia="zh-CN"/>
        </w:rPr>
        <w:t>第二节  创新文艺精品传播交流</w:t>
      </w:r>
      <w:bookmarkEnd w:id="4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开展群众文艺展演活动。积极开展社区文艺展演活动，丰富居民文化生活，以家庭才艺秀、社区故事会等形式鼓励居民参与，提高社区文化的创新活力。持续开展“流动文化服务进村”，每年在镇街开展送演出活动，将社会主义核心价值观通过文艺表演直抵基层。在农事节庆、传统节日等策划丰富多彩的节庆表演活动，弘扬传统文化，营造喜庆氛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创新拓展文化艺术空间。发展社区文化“嵌入式”服务，推进社区书屋、职工书屋等新型阅读空间建设；鼓励在商圈、景区等区域，引入社会力量打造一批融合图书阅读、艺术展览、文化沙龙、轻食餐饮等服务的城市书屋、流动图书点、24小时自助图书馆等新型文化业态。常态推动文艺展演进入景区、街区，推动万古鲤鱼灯舞、双桥杂技等非遗表演进驻景区常态化表演，探索沉浸式互动体验表演形式，提升游客参与感和获得感，提升景区文化内涵和吸引力，在旅游黄金周和节假日，主要景区可结合自身特色组织文艺表演活动，丰富旅游体验，活跃景区氛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41" w:name="_Toc16386"/>
      <w:r>
        <w:rPr>
          <w:rFonts w:hint="eastAsia" w:ascii="方正楷体_GBK" w:hAnsi="方正楷体_GBK" w:eastAsia="方正楷体_GBK" w:cs="方正楷体_GBK"/>
          <w:lang w:val="en-US" w:eastAsia="zh-CN"/>
        </w:rPr>
        <w:t>第三节  扶持文艺团体健康发展</w:t>
      </w:r>
      <w:bookmarkEnd w:id="4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焕新发展文艺院团。鼓励和支持民营文艺团体参与政府采购、重大文艺比赛和活动，加大民营文艺团体人才培训、创作生产等方面的支持。支持文艺团体与企业、社会团体和个人通过项目资助、冠名赞助等方式开展合作。支持打造社区文艺团队，形成“一社一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壮大文艺人才队伍。引进在文学、美术、舞台艺术、影视编导等领域有影响力的名家工作室，引领传统艺术创作，探索传统文化资源的现代表达与网络传播，发挥其引领创作、带动团队的标杆作用。完善人才评价激励体系，建立与实绩挂钩的薪酬动态调整机制，对获得市级以上奖项、产生良好社会效益或市场反响的作品及主创人员给予专项奖励。注重挖掘乡土文化人才和优秀网络素人创作者，壮大线上线下联动的文化志愿者队伍。</w:t>
      </w:r>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42" w:name="_Toc2076"/>
      <w:r>
        <w:rPr>
          <w:rFonts w:hint="eastAsia" w:ascii="方正黑体_GBK" w:hAnsi="方正黑体_GBK" w:eastAsia="方正黑体_GBK" w:cs="方正黑体_GBK"/>
        </w:rPr>
        <w:t xml:space="preserve">第十一章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大力构建现代文化产业体系</w:t>
      </w:r>
      <w:bookmarkEnd w:id="4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43" w:name="_Toc22479"/>
      <w:r>
        <w:rPr>
          <w:rFonts w:hint="eastAsia" w:ascii="方正楷体_GBK" w:hAnsi="方正楷体_GBK" w:eastAsia="方正楷体_GBK" w:cs="方正楷体_GBK"/>
          <w:lang w:val="en-US" w:eastAsia="zh-CN"/>
        </w:rPr>
        <w:t>第一节  聚力发展文化创意产业</w:t>
      </w:r>
      <w:bookmarkEnd w:id="43"/>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做优数字文创。推进大足美学文化创意产业园建设，以石雕石材、珠宝饰品、潮玩手伴三大核心产业为重点，推动大足石刻文化IP数字化转化，培育沉浸式体验、虚拟人导览、元宇宙及数字藏品新业态，招引一批在全国具有重要影响力的文化创意企业、艺术家入驻，打造“创意+设计+生产+营销”数字文创全产业链条。提质升级传统石雕石材产业，积极引进川渝及全国范围内具有技术优势的石雕、木雕、铜雕、玉雕企业，积极引导周边地区石雕石材小微企业入园发展，建设规范化原石交易市场，带动拓展生产加工环节，着力做强产业生态、打造产业集群、构建完整产业链条。发展壮大珠宝饰品产业，锚定高端化发展方向，布局黄金、白银、珍珠、玉石、彩色宝石等品类，推动原石交易、生产加工、成品销售全链条协同发展，构建集设计研发、精深加工、展示交易于一体的区域中心。培育拓展潮玩手伴产业，聚焦潮玩、手伴、盲盒等年轻化赛道，招引优质设计师资源，搭建专业设计中心，打造集潮玩产业服务、选品销售、人才服务、创意研发、文化体验于一体的潮玩产业聚集区。到2030年，实现“加工+贸易+旅游”“文创+文博+文旅”深度融合，打造具有区域特色的文旅融合样板，建成成渝地区双城经济圈珠宝玉石产业集聚区，产业总产值突破30亿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创新“石刻+”产业体系。推动石刻数字文化产业发展，充分应用人工智能、虚拟现实等技术，培育数字艺术、沉浸式体验等业态。推动石刻影视产业发展，创作以大足石刻为题材和拍摄基地的影视剧，创作动漫、游戏作品。推动石刻内容出版产业的发展，加强石刻文化主题出版物的创作和发行，培育主题IP书店。推动石刻文创产业发展，鼓励文化创意设计，促进创意设计服务与制造业融合，振兴传统工艺，推动更多石雕技艺、石刻元素为主题的文创商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44" w:name="_Toc13532"/>
      <w:r>
        <w:rPr>
          <w:rFonts w:hint="eastAsia" w:ascii="方正楷体_GBK" w:hAnsi="方正楷体_GBK" w:eastAsia="方正楷体_GBK" w:cs="方正楷体_GBK"/>
          <w:lang w:val="en-US" w:eastAsia="zh-CN"/>
        </w:rPr>
        <w:t>第二节  拓展数字文化产业赛道</w:t>
      </w:r>
      <w:bookmarkEnd w:id="44"/>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扶持数字影视创作。大力发展电影电视、网络视听内容等新兴业态，鼓励结合文旅景区、度假区、历史街区等空间场景作为影视拍摄基地，推动影视实景拍摄、配套服务等业态协同发展。重点发展微短剧、短视频、直播、影视等网络视听产业，鼓励聚焦大足文旅、石刻文化、三农领域等进行全民创作，创作具有大足特色的作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培育娱乐演艺产业。围绕大足石刻文化、五金文化、海棠文化、乡村生态等核心资源，打造具有国际影响力、地域辨识度的旅游演艺品牌体系。打造不同主题和特色的旅游演艺产品，涵盖实景演出、驻场演出、互动演出等多种形式。力争形成3—5个标志性旅游演艺项目，构建“白天游景区、夜晚看演艺”的全时旅游消费格局。</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发展壮大电子商务。依托国家电子商务示范基地，升级珠宝玉石抖音直播基地，建设抖音电商质检仓配一体化中心（QIC仓），为珠宝玉石、珍珠等产品提供质检、仓储、物流、直播一体化服务。支持企业深化电商与采购、生产、销售全链条协同，推动现代五金、智能家居等特色产品线上销售。发展“直播+工厂”“直播+文旅”等新模式，培育本土主播和电商品牌，促进线上线下融合发展。推动电商与快递物流协同，畅通工业品下乡、农产品进城双向通道。</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45" w:name="_Toc11444"/>
      <w:r>
        <w:rPr>
          <w:rFonts w:hint="eastAsia" w:ascii="方正楷体_GBK" w:hAnsi="方正楷体_GBK" w:eastAsia="方正楷体_GBK" w:cs="方正楷体_GBK"/>
          <w:lang w:val="en-US" w:eastAsia="zh-CN"/>
        </w:rPr>
        <w:t>第三节  扶持文化装备制造产业</w:t>
      </w:r>
      <w:bookmarkEnd w:id="4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针对文化装备制造产业产值规模大，对文化产业规模量级拉动大的特点，大力招引相关企业落户。积极引入数字文化装备企业，推动印刷专用设备、3D打印、超高清数字展示、激光显示、全息交互、人工智能等装备制造发展。促进</w:t>
      </w:r>
      <w:r>
        <w:rPr>
          <w:rFonts w:hint="eastAsia"/>
          <w:spacing w:val="-3"/>
          <w:sz w:val="32"/>
        </w:rPr>
        <w:t>广播电视设备集群发展，招引一批以专业音响设备、广播影视摄录设备制造、娱乐用智能无人飞行器、幻灯及投影设备等为核心的文化装备生产市场主体。推动文旅游乐游艺设备市场化发展，扶持演艺用品、舞台及场地用灯、露天游乐场所游乐设备制造、室内游艺器材制造发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46" w:name="_Toc32226"/>
      <w:r>
        <w:rPr>
          <w:rFonts w:hint="eastAsia" w:ascii="方正楷体_GBK" w:hAnsi="方正楷体_GBK" w:eastAsia="方正楷体_GBK" w:cs="方正楷体_GBK"/>
          <w:lang w:val="en-US" w:eastAsia="zh-CN"/>
        </w:rPr>
        <w:t>第四节  引导文化产业集聚发展</w:t>
      </w:r>
      <w:bookmarkEnd w:id="46"/>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 xml:space="preserve">推动文化产业基地建设。加快推进大足石刻文创园重点项目建设，持续推进招商引资，重点培育“雕塑雕刻、珠宝玉石、文化创意”三个特色产业，加速聚集产业链，聚合上下游，营造生态圈，立足影响力大、文化含量高、规模效益好、辐射带动作用强为目标的文创产业园区，增强大足石刻文创园的“虹吸”效应，引领重庆石刻文创产业带发展。 </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打造文艺文创消费空间。以城市更新改造为抓手，提速推进大足老城10大特色街区改造升级，推动老城文旅街区焕新，打造“吃住游购娱”全链条场景。擦亮“昌州夜宴”文旅品牌，提速实施昌州古城提升，加速市场化运营管理百姓广场、荷棠剧场、昌州戏台等舞台资源，常态化开展特色演出，着力打造“可逛可赏、可品可忆”的沉浸式消费场景。建成一批休闲吧、咖啡屋、禅茶房等，布局一批特色文化院落、地方风物馆、艺术大师馆、艺术客栈、主题民宿等新场景，推动图书馆、美术馆、博物馆等成为最美公共文化新空间和“网红”打卡点。整合石刻、五金、荷棠等多元文化资源，创新文创、文博、文体融合模式，打造沉浸式文化旅游新场景，将文化内涵转化为可感知、可体验的文旅体验项目。</w:t>
      </w:r>
    </w:p>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eastAsia="方正黑体_GBK"/>
          <w:color w:val="auto"/>
          <w:szCs w:val="28"/>
        </w:rPr>
      </w:pPr>
      <w:r>
        <w:rPr>
          <w:rFonts w:eastAsia="方正黑体_GBK"/>
          <w:color w:val="auto"/>
          <w:szCs w:val="28"/>
        </w:rPr>
        <w:t>专栏</w:t>
      </w:r>
      <w:r>
        <w:rPr>
          <w:rFonts w:hint="eastAsia" w:eastAsia="方正黑体_GBK"/>
          <w:color w:val="auto"/>
          <w:szCs w:val="28"/>
          <w:lang w:val="en-US" w:eastAsia="zh-CN"/>
        </w:rPr>
        <w:t>4</w:t>
      </w:r>
      <w:r>
        <w:rPr>
          <w:rFonts w:eastAsia="方正黑体_GBK"/>
          <w:color w:val="auto"/>
          <w:szCs w:val="28"/>
        </w:rPr>
        <w:t xml:space="preserve">  </w:t>
      </w:r>
      <w:r>
        <w:rPr>
          <w:rFonts w:hint="eastAsia" w:eastAsia="方正黑体_GBK"/>
          <w:color w:val="auto"/>
          <w:szCs w:val="28"/>
        </w:rPr>
        <w:t>文化产业发展</w:t>
      </w:r>
      <w:r>
        <w:rPr>
          <w:rFonts w:eastAsia="方正黑体_GBK"/>
          <w:color w:val="auto"/>
          <w:szCs w:val="28"/>
        </w:rPr>
        <w:t>重点项目</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000" w:type="pct"/>
            <w:tcBorders>
              <w:top w:val="single" w:color="auto" w:sz="4" w:space="0"/>
              <w:left w:val="single" w:color="auto" w:sz="4" w:space="0"/>
              <w:bottom w:val="single" w:color="auto" w:sz="4" w:space="0"/>
              <w:right w:val="single" w:color="auto" w:sz="4" w:space="0"/>
            </w:tcBorders>
          </w:tcPr>
          <w:p>
            <w:pPr>
              <w:shd w:val="clear"/>
              <w:spacing w:line="440" w:lineRule="exact"/>
              <w:ind w:firstLine="562"/>
              <w:rPr>
                <w:rFonts w:ascii="方正仿宋_GBK" w:hAnsi="方正仿宋_GBK" w:cs="方正仿宋_GBK"/>
                <w:color w:val="auto"/>
                <w:sz w:val="28"/>
                <w:szCs w:val="28"/>
                <w:shd w:val="clear" w:color="auto" w:fill="FFFFFF"/>
              </w:rPr>
            </w:pPr>
            <w:r>
              <w:rPr>
                <w:rFonts w:hint="eastAsia" w:ascii="方正仿宋_GBK" w:hAnsi="方正仿宋_GBK" w:cs="方正仿宋_GBK"/>
                <w:b/>
                <w:color w:val="auto"/>
                <w:sz w:val="28"/>
                <w:szCs w:val="28"/>
                <w:shd w:val="clear" w:color="auto" w:fill="FFFFFF"/>
              </w:rPr>
              <w:t>数字文创产业</w:t>
            </w:r>
            <w:r>
              <w:rPr>
                <w:rFonts w:hint="eastAsia" w:ascii="方正仿宋_GBK" w:hAnsi="方正仿宋_GBK" w:cs="方正仿宋_GBK"/>
                <w:color w:val="auto"/>
                <w:sz w:val="28"/>
                <w:szCs w:val="28"/>
                <w:shd w:val="clear" w:color="auto" w:fill="FFFFFF"/>
              </w:rPr>
              <w:t>：</w:t>
            </w:r>
            <w:r>
              <w:rPr>
                <w:rFonts w:ascii="方正仿宋_GBK" w:hAnsi="方正仿宋_GBK" w:cs="方正仿宋_GBK"/>
                <w:color w:val="auto"/>
                <w:sz w:val="28"/>
                <w:szCs w:val="28"/>
                <w:shd w:val="clear" w:color="auto" w:fill="FFFFFF"/>
              </w:rPr>
              <w:t>加快投用粮仓1958众创空间，打造文旅融合创新平台。持续壮大玉见未来•珠宝玉石生态链示范基地、</w:t>
            </w:r>
            <w:r>
              <w:rPr>
                <w:rFonts w:hint="eastAsia" w:ascii="方正仿宋_GBK" w:hAnsi="方正仿宋_GBK" w:cs="方正仿宋_GBK"/>
                <w:color w:val="auto"/>
                <w:sz w:val="28"/>
                <w:szCs w:val="28"/>
                <w:shd w:val="clear" w:color="auto" w:fill="FFFFFF"/>
              </w:rPr>
              <w:t>西部国家珍珠产业园</w:t>
            </w:r>
            <w:r>
              <w:rPr>
                <w:rFonts w:ascii="方正仿宋_GBK" w:hAnsi="方正仿宋_GBK" w:cs="方正仿宋_GBK"/>
                <w:color w:val="auto"/>
                <w:sz w:val="28"/>
                <w:szCs w:val="28"/>
                <w:shd w:val="clear" w:color="auto" w:fill="FFFFFF"/>
              </w:rPr>
              <w:t>、珠宝玉石抖音电商</w:t>
            </w:r>
            <w:r>
              <w:rPr>
                <w:rFonts w:hint="eastAsia" w:ascii="方正仿宋_GBK" w:hAnsi="方正仿宋_GBK" w:cs="方正仿宋_GBK"/>
                <w:color w:val="auto"/>
                <w:sz w:val="28"/>
                <w:szCs w:val="28"/>
                <w:shd w:val="clear" w:color="auto" w:fill="FFFFFF"/>
              </w:rPr>
              <w:t>运营中心等项目</w:t>
            </w:r>
            <w:r>
              <w:rPr>
                <w:rFonts w:ascii="方正仿宋_GBK" w:hAnsi="方正仿宋_GBK" w:cs="方正仿宋_GBK"/>
                <w:color w:val="auto"/>
                <w:sz w:val="28"/>
                <w:szCs w:val="28"/>
                <w:shd w:val="clear" w:color="auto" w:fill="FFFFFF"/>
              </w:rPr>
              <w:t>，推动业态提质、品牌做强、规模拓展。加快培育电商产业，依托香彩</w:t>
            </w:r>
            <w:r>
              <w:rPr>
                <w:rFonts w:hint="eastAsia" w:ascii="方正仿宋_GBK" w:hAnsi="方正仿宋_GBK" w:cs="方正仿宋_GBK"/>
                <w:color w:val="auto"/>
                <w:sz w:val="28"/>
                <w:szCs w:val="28"/>
                <w:shd w:val="clear" w:color="auto" w:fill="FFFFFF"/>
              </w:rPr>
              <w:t>贸易</w:t>
            </w:r>
            <w:r>
              <w:rPr>
                <w:rFonts w:ascii="方正仿宋_GBK" w:hAnsi="方正仿宋_GBK" w:cs="方正仿宋_GBK"/>
                <w:color w:val="auto"/>
                <w:sz w:val="28"/>
                <w:szCs w:val="28"/>
                <w:shd w:val="clear" w:color="auto" w:fill="FFFFFF"/>
              </w:rPr>
              <w:t>集聚线上运营、供应链服务等资源，完善特色电商产业链。</w:t>
            </w:r>
            <w:r>
              <w:rPr>
                <w:rFonts w:hint="eastAsia" w:ascii="方正仿宋_GBK" w:hAnsi="方正仿宋_GBK" w:cs="方正仿宋_GBK"/>
                <w:color w:val="auto"/>
                <w:sz w:val="28"/>
                <w:szCs w:val="28"/>
                <w:shd w:val="clear" w:color="auto" w:fill="FFFFFF"/>
              </w:rPr>
              <w:t>推动</w:t>
            </w:r>
            <w:r>
              <w:rPr>
                <w:rFonts w:ascii="方正仿宋_GBK" w:hAnsi="方正仿宋_GBK" w:cs="方正仿宋_GBK"/>
                <w:color w:val="auto"/>
                <w:sz w:val="28"/>
                <w:szCs w:val="28"/>
                <w:shd w:val="clear" w:color="auto" w:fill="FFFFFF"/>
              </w:rPr>
              <w:t>海外珍珠交易公盘项目</w:t>
            </w:r>
            <w:r>
              <w:rPr>
                <w:rFonts w:hint="eastAsia" w:ascii="方正仿宋_GBK" w:hAnsi="方正仿宋_GBK" w:cs="方正仿宋_GBK"/>
                <w:color w:val="auto"/>
                <w:sz w:val="28"/>
                <w:szCs w:val="28"/>
                <w:shd w:val="clear" w:color="auto" w:fill="FFFFFF"/>
              </w:rPr>
              <w:t>落地</w:t>
            </w:r>
            <w:r>
              <w:rPr>
                <w:rFonts w:ascii="方正仿宋_GBK" w:hAnsi="方正仿宋_GBK" w:cs="方正仿宋_GBK"/>
                <w:color w:val="auto"/>
                <w:sz w:val="28"/>
                <w:szCs w:val="28"/>
                <w:shd w:val="clear" w:color="auto" w:fill="FFFFFF"/>
              </w:rPr>
              <w:t>，构建珍珠采购、展示、交易、定制一体化体系。引进3D打印、数字建模等数字文创企业，招引翡翠、</w:t>
            </w:r>
            <w:r>
              <w:rPr>
                <w:rFonts w:hint="eastAsia" w:ascii="方正仿宋_GBK" w:hAnsi="方正仿宋_GBK" w:cs="方正仿宋_GBK"/>
                <w:color w:val="auto"/>
                <w:sz w:val="28"/>
                <w:szCs w:val="28"/>
                <w:shd w:val="clear" w:color="auto" w:fill="FFFFFF"/>
              </w:rPr>
              <w:t>和田玉</w:t>
            </w:r>
            <w:r>
              <w:rPr>
                <w:rFonts w:ascii="方正仿宋_GBK" w:hAnsi="方正仿宋_GBK" w:cs="方正仿宋_GBK"/>
                <w:color w:val="auto"/>
                <w:sz w:val="28"/>
                <w:szCs w:val="28"/>
                <w:shd w:val="clear" w:color="auto" w:fill="FFFFFF"/>
              </w:rPr>
              <w:t>等原石贸易商，引入IP运营、衍生品开发专业机构，以数字技术赋能传统文创产业，提升产品研发与市场转化能力，构建特色鲜明、链条完整的数字文创产业体系。</w:t>
            </w:r>
          </w:p>
          <w:p>
            <w:pPr>
              <w:shd w:val="clear"/>
              <w:spacing w:line="440" w:lineRule="exact"/>
              <w:ind w:firstLine="562"/>
              <w:rPr>
                <w:rFonts w:ascii="方正仿宋_GBK" w:hAnsi="方正仿宋_GBK" w:cs="方正仿宋_GBK"/>
                <w:color w:val="auto"/>
                <w:sz w:val="28"/>
                <w:szCs w:val="28"/>
                <w:shd w:val="clear" w:color="auto" w:fill="FFFFFF"/>
              </w:rPr>
            </w:pPr>
            <w:r>
              <w:rPr>
                <w:rFonts w:hint="eastAsia" w:ascii="方正仿宋_GBK" w:hAnsi="方正仿宋_GBK" w:cs="方正仿宋_GBK"/>
                <w:b/>
                <w:color w:val="auto"/>
                <w:sz w:val="28"/>
                <w:szCs w:val="28"/>
                <w:shd w:val="clear" w:color="auto" w:fill="FFFFFF"/>
              </w:rPr>
              <w:t>电子商务</w:t>
            </w:r>
            <w:r>
              <w:rPr>
                <w:rFonts w:hint="eastAsia" w:ascii="方正仿宋_GBK" w:hAnsi="方正仿宋_GBK" w:cs="方正仿宋_GBK"/>
                <w:color w:val="auto"/>
                <w:sz w:val="28"/>
                <w:szCs w:val="28"/>
                <w:shd w:val="clear" w:color="auto" w:fill="FFFFFF"/>
              </w:rPr>
              <w:t>：升级珠宝玉石抖音直播基地，建设珠宝饰品QIC仓，提供质检、仓储、物流、直播一体化服务。发展“直播+工厂”“直播+文旅”等新模式。</w:t>
            </w:r>
          </w:p>
          <w:p>
            <w:pPr>
              <w:shd w:val="clear"/>
              <w:spacing w:line="440" w:lineRule="exact"/>
              <w:ind w:firstLine="562"/>
              <w:rPr>
                <w:rFonts w:ascii="方正仿宋_GBK" w:hAnsi="方正仿宋_GBK" w:cs="方正仿宋_GBK"/>
                <w:color w:val="auto"/>
                <w:sz w:val="28"/>
                <w:szCs w:val="28"/>
                <w:shd w:val="clear" w:color="auto" w:fill="FFFFFF"/>
              </w:rPr>
            </w:pPr>
            <w:r>
              <w:rPr>
                <w:rFonts w:hint="eastAsia" w:ascii="方正仿宋_GBK" w:hAnsi="方正仿宋_GBK" w:cs="方正仿宋_GBK"/>
                <w:b/>
                <w:color w:val="auto"/>
                <w:sz w:val="28"/>
                <w:szCs w:val="28"/>
                <w:shd w:val="clear" w:color="auto" w:fill="FFFFFF"/>
              </w:rPr>
              <w:t>文艺文创消费空间</w:t>
            </w:r>
            <w:r>
              <w:rPr>
                <w:rFonts w:hint="eastAsia" w:ascii="方正仿宋_GBK" w:hAnsi="方正仿宋_GBK" w:cs="方正仿宋_GBK"/>
                <w:color w:val="auto"/>
                <w:sz w:val="28"/>
                <w:szCs w:val="28"/>
                <w:shd w:val="clear" w:color="auto" w:fill="FFFFFF"/>
              </w:rPr>
              <w:t>：提速推进大足</w:t>
            </w:r>
            <w:r>
              <w:rPr>
                <w:rFonts w:hint="eastAsia" w:ascii="方正仿宋_GBK" w:hAnsi="方正仿宋_GBK" w:cs="方正仿宋_GBK"/>
                <w:color w:val="auto"/>
                <w:sz w:val="28"/>
                <w:szCs w:val="28"/>
                <w:shd w:val="clear" w:color="auto" w:fill="FFFFFF"/>
                <w:lang w:val="en-US" w:eastAsia="zh-CN"/>
              </w:rPr>
              <w:t>老城10</w:t>
            </w:r>
            <w:r>
              <w:rPr>
                <w:rFonts w:hint="eastAsia" w:ascii="方正仿宋_GBK" w:hAnsi="方正仿宋_GBK" w:cs="方正仿宋_GBK"/>
                <w:color w:val="auto"/>
                <w:sz w:val="28"/>
                <w:szCs w:val="28"/>
                <w:shd w:val="clear" w:color="auto" w:fill="FFFFFF"/>
              </w:rPr>
              <w:t>大特色街区改造升级，提速实施昌州古城提升，加速市场化运营管理百姓广场、荷棠剧场、昌州戏台等舞台资源。</w:t>
            </w:r>
          </w:p>
        </w:tc>
      </w:tr>
    </w:tbl>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47" w:name="_Toc28452"/>
      <w:r>
        <w:rPr>
          <w:rFonts w:hint="eastAsia" w:ascii="方正黑体_GBK" w:hAnsi="方正黑体_GBK" w:eastAsia="方正黑体_GBK" w:cs="方正黑体_GBK"/>
        </w:rPr>
        <w:t>第十二章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开创现代化广电视听新格局</w:t>
      </w:r>
      <w:bookmarkEnd w:id="47"/>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48" w:name="_Toc45"/>
      <w:r>
        <w:rPr>
          <w:rFonts w:hint="eastAsia" w:ascii="方正楷体_GBK" w:hAnsi="方正楷体_GBK" w:eastAsia="方正楷体_GBK" w:cs="方正楷体_GBK"/>
          <w:lang w:val="en-US" w:eastAsia="zh-CN"/>
        </w:rPr>
        <w:t>第一节  广电媒体系统性变革实现新跃升</w:t>
      </w:r>
      <w:bookmarkEnd w:id="48"/>
    </w:p>
    <w:p>
      <w:pPr>
        <w:keepNext w:val="0"/>
        <w:keepLines w:val="0"/>
        <w:pageBreakBefore w:val="0"/>
        <w:widowControl w:val="0"/>
        <w:kinsoku/>
        <w:wordWrap/>
        <w:overflowPunct/>
        <w:topLinePunct w:val="0"/>
        <w:autoSpaceDE/>
        <w:autoSpaceDN/>
        <w:bidi w:val="0"/>
        <w:adjustRightInd/>
        <w:snapToGrid/>
        <w:spacing w:line="594" w:lineRule="exact"/>
        <w:ind w:firstLine="628" w:firstLineChars="200"/>
        <w:textAlignment w:val="auto"/>
        <w:rPr>
          <w:rFonts w:hint="eastAsia"/>
        </w:rPr>
      </w:pPr>
      <w:r>
        <w:rPr>
          <w:rFonts w:hint="eastAsia"/>
          <w:spacing w:val="-3"/>
          <w:sz w:val="32"/>
        </w:rPr>
        <w:t>广播电视媒体理论宣传、新闻宣传、舆论引导、节目制作等核心能力大幅提升，在互联网主战场的主导作用充分彰显，主流舆论生态清朗有序，主流价值、主流舆论、主流文化不断发展壮大。广播电视体制机制改革持续深化，广播电视新媒体彰显新力量。</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49" w:name="_Toc9492"/>
      <w:r>
        <w:rPr>
          <w:rFonts w:hint="eastAsia" w:ascii="方正楷体_GBK" w:hAnsi="方正楷体_GBK" w:eastAsia="方正楷体_GBK" w:cs="方正楷体_GBK"/>
          <w:lang w:val="en-US" w:eastAsia="zh-CN"/>
        </w:rPr>
        <w:t>第二节  广电公共服务不断优化升级</w:t>
      </w:r>
      <w:bookmarkEnd w:id="49"/>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电视“套娃”收费和操作复杂治理巩固提升，全面实现“开机看直播，便捷看电视”。横向打通、精准高效、安全可靠的应急广播体系，进一步增强应急广播技术功能，完善应急广播播发审核、权限管理、日志留痕和安全播出管理机制，防范误播、漏播、恶意入侵等风险。持续推进酒店电视操作复杂治理，完善公共场景电视直播信号接入与维护机制，提高公共场景服务质量。提升广电惠民服务水平，推动政府购买特殊群体有线电视收视服务。推进智慧广电惠民工程，广电惠民消费服务季。</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0" w:name="_Toc23301"/>
      <w:r>
        <w:rPr>
          <w:rFonts w:hint="eastAsia" w:ascii="方正楷体_GBK" w:hAnsi="方正楷体_GBK" w:eastAsia="方正楷体_GBK" w:cs="方正楷体_GBK"/>
          <w:lang w:val="en-US" w:eastAsia="zh-CN"/>
        </w:rPr>
        <w:t>第三节  全面提升宣传舆论引导力</w:t>
      </w:r>
      <w:bookmarkEnd w:id="5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坚持新闻立台、评论立场、内容为王、移动优先，突出“主旋律更响亮，正能量更强劲”，健全重大主题宣传统筹机制、快速响应机制和协同联动机制。做强新闻宣传能力。优化新闻采编力量配置，提升直播化、可视化、数据化报道能力；策划推出一批标志性新闻行动与全媒体报道；围绕先进制造业、现代服务业、科技创新、改革开放、民生保障等重点领域，推出一批深度报道与系列专题。持续打造具有重庆辨识度的公益广告，讲好“坚韧、忠勇、开放、争先”的城市精神故事。</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1" w:name="_Toc1330"/>
      <w:r>
        <w:rPr>
          <w:rFonts w:hint="eastAsia" w:ascii="方正楷体_GBK" w:hAnsi="方正楷体_GBK" w:eastAsia="方正楷体_GBK" w:cs="方正楷体_GBK"/>
          <w:lang w:val="en-US" w:eastAsia="zh-CN"/>
        </w:rPr>
        <w:t>第四节  精心打造广电视听特色品牌</w:t>
      </w:r>
      <w:bookmarkEnd w:id="5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坚持重庆特色、强化品牌意识，打造具有全市影响力的广电视听特色品牌。做强《今日关注》等栏目，完善选题策划、调查核实、专家评析、协同整改、跟踪回访机制。</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2" w:name="_Toc13534"/>
      <w:r>
        <w:rPr>
          <w:rFonts w:hint="eastAsia" w:ascii="方正楷体_GBK" w:hAnsi="方正楷体_GBK" w:eastAsia="方正楷体_GBK" w:cs="方正楷体_GBK"/>
          <w:lang w:val="en-US" w:eastAsia="zh-CN"/>
        </w:rPr>
        <w:t>第五节  推动广电视听内容跨界融合</w:t>
      </w:r>
      <w:bookmarkEnd w:id="5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围绕城市地标、文化遗产、特色街区、节庆活动等打造可传播的内容产品。推动“跟着影视去旅行”“跟着微短剧去打卡”等新业态发展。推进“视听+科技”融合。鼓励运用XR、虚拟拍摄、AIGC辅助创作、智能剪辑、数据驱动选题等新技术提升制作效率与表现力；推动沉浸式、交互式、可视化表达创新。拓展“视听+治理”融合。探索将权威信息发布、科普宣传、应急提示、政策解读以短视频精品化方式嵌入城市治理与公共服务场景，提升传播效率和社会动员能力。拓展“视听+产业”融合。推动视听内容与消费品、数字文创、演艺会展、体育赛事等联动，发展IP授权、衍生品开发、版权运营等，提升内容产业化水平。</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3" w:name="_Toc9392"/>
      <w:r>
        <w:rPr>
          <w:rFonts w:hint="eastAsia" w:ascii="方正楷体_GBK" w:hAnsi="方正楷体_GBK" w:eastAsia="方正楷体_GBK" w:cs="方正楷体_GBK"/>
          <w:lang w:val="en-US" w:eastAsia="zh-CN"/>
        </w:rPr>
        <w:t>第六节  推动构建新型广电网络。</w:t>
      </w:r>
      <w:bookmarkEnd w:id="53"/>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以“双千兆”网络建设筑牢传输底座。推进千兆光网全光纤化改造，采用PON技术实现新建网络全IP化，加快存量同轴网“电转光”，逐步实现全域千兆接入能力，满足4K/8K超高清、VR/AR等大带宽业务需求</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以“算网融合”构建区域算力枢纽。构建分布式算力布局，重点提升两大能力：一是增强文化算力供给，部署模式识别、情感计算等智能算力，为大足区文化大数据体系提供存储、传输、分析服务；二是推动算力下沉，在园区、厂区部署边缘节点，支撑工业互联网、智能质检等低时延业务。</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以“技术赋能”创新视听服务业态。一方面，深化AI在内容领域的应用，建立以主流价值观为导向的智能推荐算法，实现“频道定制化、内容精准化”，同时探索AI生成式内容在公益宣传、本地文旅中的应用；另一方面，拓展“视听+”场景边界，推动应急广播与5G、物联网融合，实现“视播一体”的灾害预警；加快超高清终端普及，推动机顶盒智能化升级，结合AR/VR技术打造沉浸式家庭视听体验。</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持续推进5G-A建设及应用。持续与中国移动重庆公司深化共建共享，实现5G网络覆盖与应用的双重提升。一是网络建设方面，与中国移动重庆公司开展深度共建共享，构建“700MHz+2.6GHz”5G精品网络。达成乡镇及以上区域的连续覆盖，行政村实现100%覆盖。二是应用赋能方面，加快5G-A在广播电视和网络视听领域应用落地，推动广电传统产业改造升级，在智慧媒体、低空经济、自动驾驶、智慧工厂、物联网、空天地一体等领域形成一批5G-A典型应用案例</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4" w:name="_Toc31849"/>
      <w:r>
        <w:rPr>
          <w:rFonts w:hint="eastAsia" w:ascii="方正楷体_GBK" w:hAnsi="方正楷体_GBK" w:eastAsia="方正楷体_GBK" w:cs="方正楷体_GBK"/>
          <w:lang w:val="en-US" w:eastAsia="zh-CN"/>
        </w:rPr>
        <w:t>第七节  加强安全播出和行业治理</w:t>
      </w:r>
      <w:bookmarkEnd w:id="54"/>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强化安全保障体系，夯实安全播出与网络安全基础。严格落实安全播出管理规定，完善重保期工作机制和应急预案体系，常态化开展演练演训。推进关键设施设备更新改造。对播出系统、传输链路、发射台站等实施分类更新，完善备份与容灾能力，降低设备老化风险。强化网络安全与数据安全。落实网络安全等级保护和数据安全管理要求，强化边界防护、漏洞管理、攻防演练和安全审计，提升防护能力。加强内容安全保障。完善内容审核与风险识别机制。严格落实“三审三校”机制。深化境外卫星电视传播秩序治理，提高监管精准性和治理效率</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5" w:name="_Toc21662"/>
      <w:r>
        <w:rPr>
          <w:rFonts w:hint="eastAsia" w:ascii="方正楷体_GBK" w:hAnsi="方正楷体_GBK" w:eastAsia="方正楷体_GBK" w:cs="方正楷体_GBK"/>
          <w:lang w:val="en-US" w:eastAsia="zh-CN"/>
        </w:rPr>
        <w:t>第八节  稳步推进AI技术应用</w:t>
      </w:r>
      <w:bookmarkEnd w:id="5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深化媒体融合转型、抢占智能传播高地。全面贯彻落实国家“人工智能+”战略部署，秉持“技术驱动、内容为王、安全筑底”的发展理念，将人工智能技术深度嵌入新闻采集、生产、分发、接收、反馈全流程。计划在未来五年内，稳步推进智能配音、智能字幕、智能剪辑及数字人应用等AI技术模块的建设与优化，构建“真人主播+数字主播”人机协同生产体系，支撑新闻播报、政策解读、民生服务等全场景应用，以技术“智变”引领融媒“质变”，助力构建全媒体传播体系，持续提升主流媒体的传播力、引导力、影响力与公信力，为大足区经济社会高质量发展提供强大的舆论支撑。</w:t>
      </w:r>
    </w:p>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eastAsia="方正黑体_GBK"/>
          <w:color w:val="auto"/>
          <w:szCs w:val="28"/>
        </w:rPr>
      </w:pPr>
      <w:r>
        <w:rPr>
          <w:rFonts w:eastAsia="方正黑体_GBK"/>
          <w:color w:val="auto"/>
          <w:szCs w:val="28"/>
        </w:rPr>
        <w:t>专栏</w:t>
      </w:r>
      <w:r>
        <w:rPr>
          <w:rFonts w:hint="eastAsia" w:eastAsia="方正黑体_GBK"/>
          <w:color w:val="auto"/>
          <w:szCs w:val="28"/>
          <w:lang w:val="en-US" w:eastAsia="zh-CN"/>
        </w:rPr>
        <w:t>5</w:t>
      </w:r>
      <w:r>
        <w:rPr>
          <w:rFonts w:eastAsia="方正黑体_GBK"/>
          <w:color w:val="auto"/>
          <w:szCs w:val="28"/>
        </w:rPr>
        <w:t xml:space="preserve">  </w:t>
      </w:r>
      <w:r>
        <w:rPr>
          <w:rFonts w:hint="eastAsia" w:eastAsia="方正黑体_GBK"/>
          <w:color w:val="auto"/>
          <w:szCs w:val="28"/>
        </w:rPr>
        <w:t>广电视听</w:t>
      </w:r>
      <w:r>
        <w:rPr>
          <w:rFonts w:eastAsia="方正黑体_GBK"/>
          <w:color w:val="auto"/>
          <w:szCs w:val="28"/>
        </w:rPr>
        <w:t>重点项目</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500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hd w:val="clear"/>
              <w:kinsoku/>
              <w:wordWrap/>
              <w:overflowPunct/>
              <w:topLinePunct w:val="0"/>
              <w:autoSpaceDE/>
              <w:autoSpaceDN/>
              <w:bidi w:val="0"/>
              <w:adjustRightInd/>
              <w:snapToGrid/>
              <w:spacing w:line="460" w:lineRule="exact"/>
              <w:ind w:firstLine="601"/>
              <w:textAlignment w:val="auto"/>
              <w:rPr>
                <w:rFonts w:ascii="方正仿宋_GBK" w:hAnsi="方正仿宋_GBK" w:cs="方正仿宋_GBK"/>
                <w:color w:val="auto"/>
                <w:sz w:val="28"/>
                <w:szCs w:val="28"/>
                <w:shd w:val="clear" w:color="auto" w:fill="FFFFFF"/>
              </w:rPr>
            </w:pPr>
            <w:r>
              <w:rPr>
                <w:rFonts w:hint="eastAsia" w:eastAsia="方正黑体_GBK"/>
                <w:color w:val="auto"/>
                <w:sz w:val="28"/>
                <w:szCs w:val="28"/>
              </w:rPr>
              <w:t>广电公共服务优化：</w:t>
            </w:r>
            <w:r>
              <w:rPr>
                <w:rFonts w:hint="eastAsia" w:ascii="方正仿宋_GBK" w:hAnsi="方正仿宋_GBK" w:cs="方正仿宋_GBK"/>
                <w:color w:val="auto"/>
                <w:sz w:val="28"/>
                <w:szCs w:val="28"/>
                <w:shd w:val="clear" w:color="auto" w:fill="FFFFFF"/>
              </w:rPr>
              <w:t>持续推进酒店电视操作复杂治理、电视“套娃”收费和操作复杂治理巩固提升</w:t>
            </w:r>
            <w:r>
              <w:rPr>
                <w:rFonts w:ascii="方正仿宋_GBK" w:hAnsi="方正仿宋_GBK" w:cs="方正仿宋_GBK"/>
                <w:color w:val="auto"/>
                <w:sz w:val="28"/>
                <w:szCs w:val="28"/>
                <w:shd w:val="clear" w:color="auto" w:fill="FFFFFF"/>
              </w:rPr>
              <w:t>。推动政府购买特殊群体有线电视收视服务</w:t>
            </w:r>
            <w:r>
              <w:rPr>
                <w:rFonts w:hint="eastAsia" w:ascii="方正仿宋_GBK" w:hAnsi="方正仿宋_GBK" w:cs="方正仿宋_GBK"/>
                <w:color w:val="auto"/>
                <w:sz w:val="28"/>
                <w:szCs w:val="28"/>
                <w:shd w:val="clear" w:color="auto" w:fill="FFFFFF"/>
              </w:rPr>
              <w:t>。推进千兆光网全光纤化改造。持续与中国移动重庆公司深化共建共享，实现5G网络覆盖与应用的双重提升。稳步推进智能配音、智能字幕、智能剪辑及数字人应用等AI技术模块的建设与优化，构建“真人主播+数字主播”人机协同生产体系</w:t>
            </w:r>
          </w:p>
          <w:p>
            <w:pPr>
              <w:keepNext w:val="0"/>
              <w:keepLines w:val="0"/>
              <w:pageBreakBefore w:val="0"/>
              <w:widowControl w:val="0"/>
              <w:shd w:val="clear"/>
              <w:kinsoku/>
              <w:wordWrap/>
              <w:overflowPunct/>
              <w:topLinePunct w:val="0"/>
              <w:autoSpaceDE/>
              <w:autoSpaceDN/>
              <w:bidi w:val="0"/>
              <w:adjustRightInd/>
              <w:snapToGrid/>
              <w:spacing w:line="460" w:lineRule="exact"/>
              <w:ind w:firstLine="601"/>
              <w:textAlignment w:val="auto"/>
              <w:rPr>
                <w:rFonts w:eastAsia="方正黑体_GBK"/>
                <w:color w:val="auto"/>
              </w:rPr>
            </w:pPr>
            <w:r>
              <w:rPr>
                <w:rFonts w:hint="eastAsia" w:eastAsia="方正黑体_GBK" w:cs="Times New Roman"/>
                <w:color w:val="auto"/>
                <w:sz w:val="28"/>
                <w:szCs w:val="28"/>
              </w:rPr>
              <w:t>广电视听内容融合：</w:t>
            </w:r>
            <w:r>
              <w:rPr>
                <w:rFonts w:hint="eastAsia" w:ascii="方正仿宋_GBK" w:hAnsi="方正仿宋_GBK" w:cs="方正仿宋_GBK"/>
                <w:color w:val="auto"/>
                <w:sz w:val="28"/>
                <w:szCs w:val="28"/>
                <w:shd w:val="clear" w:color="auto" w:fill="FFFFFF"/>
              </w:rPr>
              <w:t>推动“跟着影视去旅行”“跟着微短剧去打卡”等新业态发展。推进“视听+科技”“视听+治理”“视听+产业”融合。</w:t>
            </w:r>
          </w:p>
        </w:tc>
      </w:tr>
    </w:tbl>
    <w:p>
      <w:pPr>
        <w:shd w:val="clear"/>
        <w:ind w:firstLine="600"/>
        <w:rPr>
          <w:color w:val="auto"/>
        </w:rPr>
      </w:pP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44"/>
          <w:szCs w:val="24"/>
        </w:rPr>
      </w:pPr>
      <w:bookmarkStart w:id="56" w:name="_Toc28434"/>
      <w:r>
        <w:rPr>
          <w:rFonts w:hint="eastAsia" w:ascii="方正小标宋_GBK" w:hAnsi="方正小标宋_GBK" w:eastAsia="方正小标宋_GBK" w:cs="方正小标宋_GBK"/>
          <w:sz w:val="44"/>
          <w:szCs w:val="24"/>
        </w:rPr>
        <w:t xml:space="preserve">第四篇 </w:t>
      </w:r>
      <w:r>
        <w:rPr>
          <w:rFonts w:hint="eastAsia" w:ascii="方正小标宋_GBK" w:hAnsi="方正小标宋_GBK" w:eastAsia="方正小标宋_GBK" w:cs="方正小标宋_GBK"/>
          <w:sz w:val="44"/>
          <w:szCs w:val="24"/>
          <w:lang w:val="en-US" w:eastAsia="zh-CN"/>
        </w:rPr>
        <w:t xml:space="preserve"> </w:t>
      </w:r>
      <w:r>
        <w:rPr>
          <w:rFonts w:hint="eastAsia" w:ascii="方正小标宋_GBK" w:hAnsi="方正小标宋_GBK" w:eastAsia="方正小标宋_GBK" w:cs="方正小标宋_GBK"/>
          <w:sz w:val="44"/>
          <w:szCs w:val="24"/>
        </w:rPr>
        <w:t>加快建设现代化体育强区</w:t>
      </w:r>
      <w:bookmarkEnd w:id="56"/>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57" w:name="_Toc13034"/>
      <w:r>
        <w:rPr>
          <w:rFonts w:hint="eastAsia" w:ascii="方正黑体_GBK" w:hAnsi="方正黑体_GBK" w:eastAsia="方正黑体_GBK" w:cs="方正黑体_GBK"/>
        </w:rPr>
        <w:t xml:space="preserve">第十三章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积极构建高质高效体育事业</w:t>
      </w:r>
      <w:bookmarkEnd w:id="57"/>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8" w:name="_Toc30840"/>
      <w:r>
        <w:rPr>
          <w:rFonts w:hint="eastAsia" w:ascii="方正楷体_GBK" w:hAnsi="方正楷体_GBK" w:eastAsia="方正楷体_GBK" w:cs="方正楷体_GBK"/>
          <w:lang w:val="en-US" w:eastAsia="zh-CN"/>
        </w:rPr>
        <w:t>第一节  完善全民健身设施网络</w:t>
      </w:r>
      <w:bookmarkEnd w:id="58"/>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织密惠民健身网络。落实国家全民健身公共服务标准， 指导各镇街建设符合当地特色的公共体育设施，实施城区与镇街公共体育设施协调发展。稳步推进学校体育场地向社会开放。持续更新农村健身器材，提升设施维护管理水平，让老百姓健身更科学、更便捷。在全区范围内常态化实施镇街体育健身器材更新置换计划，严格遵循“拆一补一”原则，分批次对城区及镇街室外公共健身器材进行迭代升级，切实解决老旧器材安全隐患问题。依托体育用地打造全民健身中心，活化运用桥下空间、闲置荒地、老旧厂房等城市空间资源，加大体育公园、健身广场、运动场馆等公共体育场地设施布局建设力度，结合河道两岸整治、美丽乡村道路改造，规划建设能串联各镇街的具有大足特色的自行车骑行道、健走步道、登山步道，推进“城市社区15分钟健身圈”提质增效，构建覆盖城乡、类型多样的全民健身设施体系。</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开展全民健身活动。开展全民健身全域常态化活动，着力打造周周有活动、月月有赛事、季季有主题、年年有品牌的群众体育发展格局。持续完善多层次全民健身赛事活动体系，以全民健身日、全民健身月为牵引，科学统筹赛事活动布局，每年常态化举办1次国际级、2次国家级、3次市级、4次区级大中型体育赛事。持续巩固放大大足石刻特色赛事IP影响力，常态化办好龙水湖马拉松、全区运动会、职工运动会、夜龙舟赛、山地越野跑、汽车房车集结赛等特色群众赛事。不断丰富全民健身活动供给，引导群众主动参与体育锻炼，稳步提升经常参加体育锻炼人口占比，全面营造全民健身、全域运动的良好氛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59" w:name="_Toc21625"/>
      <w:r>
        <w:rPr>
          <w:rFonts w:hint="eastAsia" w:ascii="方正楷体_GBK" w:hAnsi="方正楷体_GBK" w:eastAsia="方正楷体_GBK" w:cs="方正楷体_GBK"/>
          <w:lang w:val="en-US" w:eastAsia="zh-CN"/>
        </w:rPr>
        <w:t>第二节  大力提高竞技体育水平</w:t>
      </w:r>
      <w:bookmarkEnd w:id="59"/>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完善体教融合体系。加强学校体育工作，开展丰富多彩的课余训练、竞赛活动，加强学校运动队建设。完善青少年体育赛事体系，积极举办多样化青少年体育赛事，完善相应的体育后备人才培养输送和重大体育赛事成绩奖励评估机制。加强竞技体育特色学校建设，构建体育教学、训练课程“一条龙”人才培养模式。深化体校改革，加强体校建设，发挥体校在青少年体育后备人才培养工作中的龙头作用，实行区级体育项目总教练负责制，大力培养体育教师和教练员队伍，提高布点项目学校训练质量。完善青少年社会体育组织体系，发挥社会力量开展青少年体育活动和培养体育后备人才。持续推进高水平教练员进校园，扩大游泳、围棋等课程试点范围，让每个孩子都能找到自己热爱的运动项目，培养更多身心健康的时代新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强化竞赛引领作用。以区青少年体育运动学校为龙头，依托竞技体育特色学校，发挥体育协会和体育俱乐部的社会力量，不断增项扩项。优化项目结构，强化基础项目、体能项目、集体项目，突出各项目的竞争意识和基础体能，重点打造田径、足球、篮球、乒乓球、羽毛球、跆拳道、游泳、拳击、柔道、围棋、武术、水球等项目。加大教练员培训力度，引进先进的训练理论和训练方法，提高教练员训练水平，深化对项目训练竞赛规律的认识和把握，不断提高训练效益与质量。加强与市运动技术学院和市级体校的合作，积极创建各单项体育训练基地，共建高水平运动梯队。加大体校备战投入、保障训练及参赛经费。增加训练场地等体育设施资金投入，改善项目训练条件。完善重大赛事参赛激励机制，充分调动运动员、教练员训练积极性。积极申办和参加国家级、市级竞技类锦标赛、冠军赛等体育赛事。支持区体育协会和企业等社会力量举办和承办高水平职业体育赛事活动。</w:t>
      </w:r>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60" w:name="_Toc23207"/>
      <w:r>
        <w:rPr>
          <w:rFonts w:hint="eastAsia" w:ascii="方正黑体_GBK" w:hAnsi="方正黑体_GBK" w:eastAsia="方正黑体_GBK" w:cs="方正黑体_GBK"/>
        </w:rPr>
        <w:t xml:space="preserve">第十四章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加快推动现代体育产业发展</w:t>
      </w:r>
      <w:bookmarkEnd w:id="6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61" w:name="_Toc22779"/>
      <w:r>
        <w:rPr>
          <w:rFonts w:hint="eastAsia" w:ascii="方正楷体_GBK" w:hAnsi="方正楷体_GBK" w:eastAsia="方正楷体_GBK" w:cs="方正楷体_GBK"/>
          <w:lang w:val="en-US" w:eastAsia="zh-CN"/>
        </w:rPr>
        <w:t>第一节  丰富体育运动产品供给</w:t>
      </w:r>
      <w:bookmarkEnd w:id="6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体育产品供给。开展“互联网+体育”服务领域，打造体育服务在线对接、运动体验即时分享、体育社交互联互通等云上新体验。大力推动夜间体育、假日体育、体育用品租赁等新业态、新模式发展。出台鼓励体育消费有关措施，推动体育与养老服务、文化创意和设计服务、教育培训等的融合，促进体育旅游、体育传媒、体育会展、体育广告、体育影视等相关业态发展，提供适应群众需求、丰富多样的产品和服务，激发群众体育消费热情，形成充满活力的体育消费市场。建设一批体育主题公园等体育消费新场景，完善区体育运动中心、双桥经开区体育场所、西禅体育公园、各镇街健身广场的综合服务功能，打造体育服务综合体，推动体育与住宅、休闲、商业综合开发，通过融合发展培育体育消费新热点。在医疗机构开展中医运动康复指导服务，促进康体结合，拓展体育康复市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体旅融合发展。依托龙水湖旅游度假区，大力发展游艇、摩托艇等水上运动项目，加快推进龙水湖环湖步道、岛屿休闲运动等项目建设，常态化举办龙水湖马拉松、骑射比赛等特色运动赛事活动。依托巴岳山、九顶山等森林山地资源，布局建设登山步道、户外拓展、极限运动、越野运动等业态，持续开展定向越野、汽摩越野等特色赛事活动。立足四大宝顶、棠香、龙岗、智凤四大城郊田园综合体及乡村旅游重点村，系统打造乡村绿道网络，串联打造小川东道徒步路线、宝顶山—龙水湖骑行路线，积极创建国家自驾精品路线，依托全国汽车房车露营集结赛赛事基础，深化路线培育与品牌申报。统筹布局龙水湖、三驱、和平新村等高品质露营基地，丰富户外露营休闲业态，常态化推出乡村徒步、自行车骑行、户外休闲等群众运动项目，全面构建山水联动、城乡一体、多点覆盖的体旅融合发展新格局。</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62" w:name="_Toc19735"/>
      <w:r>
        <w:rPr>
          <w:rFonts w:hint="eastAsia" w:ascii="方正楷体_GBK" w:hAnsi="方正楷体_GBK" w:eastAsia="方正楷体_GBK" w:cs="方正楷体_GBK"/>
          <w:lang w:val="en-US" w:eastAsia="zh-CN"/>
        </w:rPr>
        <w:t>第二节  推动体彩健康持续发展</w:t>
      </w:r>
      <w:bookmarkEnd w:id="6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提升体彩销售质效。以扩大高质量专营网点规模为抓手，优化购彩渠道，激活市场潜力，充分发挥体育彩票“来之于民、用之于民”的公益属性。夯实体彩发展基础，持续完善体彩工作管理和激励机制，不断强化管理服务队伍建设，大力推进体彩网点质量建设，优化体彩网点布局，坚持稳中求进，促进全区体彩销量持续增长和体彩公益金筹集能力不断增强，力争年销售额向2亿元目标迈进，为体育事业注入更多源头活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63" w:name="_Toc32357"/>
      <w:r>
        <w:rPr>
          <w:rFonts w:hint="eastAsia" w:ascii="方正楷体_GBK" w:hAnsi="方正楷体_GBK" w:eastAsia="方正楷体_GBK" w:cs="方正楷体_GBK"/>
          <w:lang w:val="en-US" w:eastAsia="zh-CN"/>
        </w:rPr>
        <w:t>第三节  积极承办品牌运动赛事</w:t>
      </w:r>
      <w:bookmarkEnd w:id="63"/>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构建多元赛事体系。精心培育龙水湖半程马拉松、大足石刻杯系列赛事、夜龙舟、汽摩赛事等本土IP赛事，推动其向市场化、品牌化深度发展，让赛事成为城市流量的“新入口”。 积极申办全国青少年无线电测向教育竞赛、汽车房车露营集结赛、全国围甲联赛等国家级、市级、区级青少年赛事活动，同步做强做实渝超、渝BA、娃BA、匹克球赛等群众性精品赛事，持续丰富赛事供给、提升区域影响力。持续深化与成渝地区兄弟城市的体育合作，共办体育赛事，共享优质资源，让大足体育的“朋友圈”越来越大。</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激活赛事休闲消费。丰富赛事消费场景，持续推动“跟着赛事去旅行”活动，发展票根经济。结合渝超联赛、龙水湖半马等赛事活动，推出大足石刻等景区门票联动优惠政策。赛场周边配套供应本地特色美食及啤酒节，推出主题市集，现场设置电动车、龙水五金等抽奖环节，进一步提升观赛体验的同时，有效拉动餐饮、住宿、景区游览等相关消费，实现“赏石刻，看比赛”的文旅融合新模式，推动体育流量向消费留量转化。</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p>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eastAsia="方正黑体_GBK"/>
          <w:color w:val="auto"/>
          <w:szCs w:val="28"/>
        </w:rPr>
      </w:pPr>
      <w:r>
        <w:rPr>
          <w:rFonts w:eastAsia="方正黑体_GBK"/>
          <w:color w:val="auto"/>
          <w:szCs w:val="28"/>
        </w:rPr>
        <w:t>专栏</w:t>
      </w:r>
      <w:r>
        <w:rPr>
          <w:rFonts w:hint="eastAsia" w:eastAsia="方正黑体_GBK"/>
          <w:color w:val="auto"/>
          <w:szCs w:val="28"/>
          <w:lang w:val="en-US" w:eastAsia="zh-CN"/>
        </w:rPr>
        <w:t xml:space="preserve">6  </w:t>
      </w:r>
      <w:r>
        <w:rPr>
          <w:rFonts w:hint="eastAsia" w:eastAsia="方正黑体_GBK"/>
          <w:color w:val="auto"/>
          <w:szCs w:val="28"/>
        </w:rPr>
        <w:t>体育</w:t>
      </w:r>
      <w:r>
        <w:rPr>
          <w:rFonts w:hint="eastAsia" w:eastAsia="方正黑体_GBK"/>
          <w:color w:val="auto"/>
          <w:szCs w:val="28"/>
          <w:lang w:val="en-US" w:eastAsia="zh-CN"/>
        </w:rPr>
        <w:t>发展</w:t>
      </w:r>
      <w:r>
        <w:rPr>
          <w:rFonts w:eastAsia="方正黑体_GBK"/>
          <w:color w:val="auto"/>
          <w:szCs w:val="28"/>
        </w:rPr>
        <w:t>重点项目</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tcPr>
          <w:p>
            <w:pPr>
              <w:widowControl/>
              <w:shd w:val="clear"/>
              <w:spacing w:line="440" w:lineRule="exact"/>
              <w:ind w:firstLine="600"/>
              <w:rPr>
                <w:rFonts w:ascii="方正仿宋_GBK" w:hAnsi="方正仿宋_GBK" w:cs="方正仿宋_GBK"/>
                <w:color w:val="auto"/>
                <w:sz w:val="28"/>
                <w:szCs w:val="28"/>
                <w:lang w:bidi="zh-HK"/>
              </w:rPr>
            </w:pPr>
            <w:r>
              <w:rPr>
                <w:rFonts w:hint="eastAsia" w:eastAsia="方正黑体_GBK"/>
                <w:color w:val="auto"/>
                <w:sz w:val="28"/>
                <w:szCs w:val="28"/>
              </w:rPr>
              <w:t>体育公共服务</w:t>
            </w:r>
            <w:r>
              <w:rPr>
                <w:rFonts w:eastAsia="方正黑体_GBK"/>
                <w:color w:val="auto"/>
                <w:sz w:val="28"/>
                <w:szCs w:val="28"/>
              </w:rPr>
              <w:t>设施：</w:t>
            </w:r>
            <w:r>
              <w:rPr>
                <w:rFonts w:hint="eastAsia" w:ascii="方正仿宋_GBK" w:hAnsi="方正仿宋_GBK" w:cs="方正仿宋_GBK"/>
                <w:color w:val="auto"/>
                <w:sz w:val="28"/>
                <w:szCs w:val="28"/>
                <w:lang w:bidi="zh-HK"/>
              </w:rPr>
              <w:t>指导各镇街建设特色公共体育设施，更新农村健身器材，实施镇街健身器材“拆一补一”迭代升级；打造全民健身中心，活化利用闲置空间，建设体育公园、健身广场等设施；结合河道整治、乡村道路改造，建设串联镇街的自行车骑行道、健走步道、登山步道；推进“城市社区15分钟健身圈”提质，构建覆盖城乡、类型多样的全民健身设施体系。</w:t>
            </w:r>
          </w:p>
          <w:p>
            <w:pPr>
              <w:widowControl/>
              <w:shd w:val="clear"/>
              <w:spacing w:line="440" w:lineRule="exact"/>
              <w:ind w:firstLine="600"/>
              <w:rPr>
                <w:color w:val="auto"/>
                <w:sz w:val="28"/>
                <w:szCs w:val="28"/>
              </w:rPr>
            </w:pPr>
            <w:r>
              <w:rPr>
                <w:rFonts w:hint="eastAsia" w:eastAsia="方正黑体_GBK"/>
                <w:color w:val="auto"/>
                <w:sz w:val="28"/>
                <w:szCs w:val="28"/>
              </w:rPr>
              <w:t>体育运动产品供给</w:t>
            </w:r>
            <w:r>
              <w:rPr>
                <w:rFonts w:eastAsia="方正黑体_GBK"/>
                <w:color w:val="auto"/>
                <w:sz w:val="28"/>
                <w:szCs w:val="28"/>
              </w:rPr>
              <w:t>：</w:t>
            </w:r>
            <w:r>
              <w:rPr>
                <w:rFonts w:hint="eastAsia" w:ascii="方正仿宋_GBK" w:hAnsi="方正仿宋_GBK" w:cs="方正仿宋_GBK"/>
                <w:color w:val="auto"/>
                <w:sz w:val="28"/>
                <w:szCs w:val="28"/>
                <w:lang w:bidi="zh-HK"/>
              </w:rPr>
              <w:t>推动夜间体育、假日体育、体育用品租赁等新业态、新模式发展；出台鼓励体育消费有关措施；建设体育主题公园等消费新场景。</w:t>
            </w:r>
          </w:p>
          <w:p>
            <w:pPr>
              <w:widowControl/>
              <w:shd w:val="clear"/>
              <w:spacing w:line="440" w:lineRule="exact"/>
              <w:ind w:firstLine="600"/>
              <w:rPr>
                <w:rFonts w:eastAsia="方正黑体_GBK"/>
                <w:color w:val="auto"/>
              </w:rPr>
            </w:pPr>
            <w:r>
              <w:rPr>
                <w:rFonts w:hint="eastAsia" w:eastAsia="方正黑体_GBK"/>
                <w:color w:val="auto"/>
                <w:sz w:val="28"/>
                <w:szCs w:val="28"/>
              </w:rPr>
              <w:t>体育运动赛事：</w:t>
            </w:r>
            <w:r>
              <w:rPr>
                <w:rFonts w:hint="eastAsia" w:ascii="方正仿宋_GBK" w:hAnsi="方正仿宋_GBK" w:cs="方正仿宋_GBK"/>
                <w:color w:val="auto"/>
                <w:sz w:val="28"/>
                <w:szCs w:val="28"/>
                <w:lang w:bidi="zh-HK"/>
              </w:rPr>
              <w:t>龙水湖半程马拉松、大足石刻杯系列赛事、夜龙舟、汽摩赛事、全区运动会、职工运动会、山地越野跑、汽车房车集结赛。</w:t>
            </w:r>
          </w:p>
        </w:tc>
      </w:tr>
    </w:tbl>
    <w:p>
      <w:pPr>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44"/>
          <w:szCs w:val="24"/>
        </w:rPr>
      </w:pPr>
      <w:bookmarkStart w:id="64" w:name="_Toc28869"/>
      <w:r>
        <w:rPr>
          <w:rFonts w:hint="eastAsia" w:ascii="方正小标宋_GBK" w:hAnsi="方正小标宋_GBK" w:eastAsia="方正小标宋_GBK" w:cs="方正小标宋_GBK"/>
          <w:sz w:val="44"/>
          <w:szCs w:val="24"/>
        </w:rPr>
        <w:t>第五篇</w:t>
      </w:r>
      <w:r>
        <w:rPr>
          <w:rFonts w:hint="eastAsia" w:ascii="方正小标宋_GBK" w:hAnsi="方正小标宋_GBK" w:eastAsia="方正小标宋_GBK" w:cs="方正小标宋_GBK"/>
          <w:sz w:val="44"/>
          <w:szCs w:val="24"/>
          <w:lang w:val="en-US" w:eastAsia="zh-CN"/>
        </w:rPr>
        <w:t xml:space="preserve"> </w:t>
      </w:r>
      <w:r>
        <w:rPr>
          <w:rFonts w:hint="eastAsia" w:ascii="方正小标宋_GBK" w:hAnsi="方正小标宋_GBK" w:eastAsia="方正小标宋_GBK" w:cs="方正小标宋_GBK"/>
          <w:sz w:val="44"/>
          <w:szCs w:val="24"/>
        </w:rPr>
        <w:t xml:space="preserve"> 推动文旅体高质量发展</w:t>
      </w:r>
      <w:bookmarkEnd w:id="64"/>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65" w:name="_Toc14648"/>
      <w:r>
        <w:rPr>
          <w:rFonts w:hint="eastAsia" w:ascii="方正黑体_GBK" w:hAnsi="方正黑体_GBK" w:eastAsia="方正黑体_GBK" w:cs="方正黑体_GBK"/>
        </w:rPr>
        <w:t xml:space="preserve">第十五章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推进文旅体智慧化转型升级</w:t>
      </w:r>
      <w:bookmarkEnd w:id="6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66" w:name="_Toc10713"/>
      <w:r>
        <w:rPr>
          <w:rFonts w:hint="eastAsia" w:ascii="方正楷体_GBK" w:hAnsi="方正楷体_GBK" w:eastAsia="方正楷体_GBK" w:cs="方正楷体_GBK"/>
          <w:lang w:val="en-US" w:eastAsia="zh-CN"/>
        </w:rPr>
        <w:t>第一节  建设一体化智慧管理服务平台</w:t>
      </w:r>
      <w:bookmarkEnd w:id="66"/>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文化公服数字化升级。推动文化场馆的数字化改造，打造数字博物馆、图书馆、文化馆、美术馆，推动川渝两地协同共建智慧图书馆、“公共文化云”平台，加强数字艺术、沉浸式体验等新型文化业态在公共文化场馆的应用，增强公共文化服务实效性。实施“智慧广电公共服务系统建设工程”，充分利用有线、无线、卫星等传播资源，构建“智慧广电”公共服务平台，提供智慧生活、智慧教育等“智慧+”多元化公共服务。</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旅游景区智慧化管理。聚焦大足石刻保护、旅游、研学、文创、营销等方面的深度融合、协同发展及数字化转型，充分发挥打造“大足石刻文旅产业大脑”作用。迭代“惠游大足”服务平台，提升AI导览、电子讲解和票务预订等服务便利化功能，普及电子导览地图、无感支付及智能停车等服务，构建“数据采集+监测评价+决策实施+市场反馈”闭环体系，有序提升“景区拥堵处置”响应速度、“外国人口岸签”办理时效和“游客满意度”服务质效。</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体育设施科技化改造。加快全民健身场馆设施的大数据、智慧化发展，开展智慧体育场馆建设，运用信息技术提升全民健身智慧化服务和体育场馆信息化管理水平，为群众参与体育活动提供便利。配合接入体育重庆在线惠民服务平台等智慧体育服务平台，扩展体育宣传途径，及时发布赛事、活动、场馆、科学健身等信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67" w:name="_Toc16378"/>
      <w:r>
        <w:rPr>
          <w:rFonts w:hint="eastAsia" w:ascii="方正楷体_GBK" w:hAnsi="方正楷体_GBK" w:eastAsia="方正楷体_GBK" w:cs="方正楷体_GBK"/>
          <w:lang w:val="en-US" w:eastAsia="zh-CN"/>
        </w:rPr>
        <w:t>第二节  培育智慧文旅体新场景新应用</w:t>
      </w:r>
      <w:bookmarkEnd w:id="67"/>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科技赋能文博场馆。依托“大足石刻数字博物馆”“云游大足”平台等现有成果，梳理全区造像情况，强化数字资产IP运营，做好数字化转化利用。持续推进文物数字化展示项目，对博物馆的代表性文物进行3D扫描，制作数字化展示样片，建设云上博物馆平台，打造数字展厅，让群众可以“云”游博物馆。运用现代科技手段丰富展陈方式，采用AI、VR、AR等技术让文物活起来，提升文物展示的生动性和多样性。</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科技赋能文旅体验。丰富虚拟演艺、数字文创、AI旅游等产品应用，持续完善数字文旅产品体系和数字服务能力。增强数字人“小笛”的智能交互功能，开发AI语音讲解等旅游服务功能，使其成为大足文旅的“虚拟代言人”，参与短视频剧情、直播带货、跨国文化交流等活动。打造科旅融合产品，推动景区智慧旅游沉浸式体验新空间培育，丰富科技型产品业态，增强项目的体验感、故事性和互动性。</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科技赋能运动康养。旅游度假区和度假酒店引入智慧康养设施，利用可穿戴设备、智能传感器、远程医疗、虚拟现实（VR）等技术手段，对运动情况进行实时监控和数据分析，并根据实际情况调整运动处方。在全</w:t>
      </w:r>
      <w:r>
        <w:rPr>
          <w:rFonts w:hint="eastAsia"/>
          <w:lang w:eastAsia="zh-CN"/>
        </w:rPr>
        <w:t>民</w:t>
      </w:r>
      <w:bookmarkStart w:id="88" w:name="_GoBack"/>
      <w:bookmarkEnd w:id="88"/>
      <w:r>
        <w:rPr>
          <w:rFonts w:hint="eastAsia"/>
        </w:rPr>
        <w:t>健身中心引入智慧跑道、室外智能健身房等设施，通过物联网、人脸识别等技术，将运动数据转化为个性化健康指导。</w:t>
      </w:r>
    </w:p>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eastAsia="方正黑体_GBK"/>
          <w:color w:val="auto"/>
          <w:szCs w:val="28"/>
        </w:rPr>
      </w:pPr>
      <w:r>
        <w:rPr>
          <w:rFonts w:eastAsia="方正黑体_GBK"/>
          <w:color w:val="auto"/>
          <w:szCs w:val="28"/>
        </w:rPr>
        <w:t>专栏</w:t>
      </w:r>
      <w:r>
        <w:rPr>
          <w:rFonts w:hint="eastAsia" w:eastAsia="方正黑体_GBK"/>
          <w:color w:val="auto"/>
          <w:szCs w:val="28"/>
          <w:lang w:val="en-US" w:eastAsia="zh-CN"/>
        </w:rPr>
        <w:t>7</w:t>
      </w:r>
      <w:r>
        <w:rPr>
          <w:rFonts w:eastAsia="方正黑体_GBK"/>
          <w:color w:val="auto"/>
          <w:szCs w:val="28"/>
        </w:rPr>
        <w:t xml:space="preserve">  </w:t>
      </w:r>
      <w:r>
        <w:rPr>
          <w:rFonts w:hint="eastAsia" w:eastAsia="方正黑体_GBK"/>
          <w:color w:val="auto"/>
          <w:szCs w:val="28"/>
        </w:rPr>
        <w:t>文旅体智慧化</w:t>
      </w:r>
      <w:r>
        <w:rPr>
          <w:rFonts w:eastAsia="方正黑体_GBK"/>
          <w:color w:val="auto"/>
          <w:szCs w:val="28"/>
        </w:rPr>
        <w:t>重点项目</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000" w:type="pct"/>
            <w:tcBorders>
              <w:top w:val="single" w:color="auto" w:sz="4" w:space="0"/>
              <w:left w:val="single" w:color="auto" w:sz="4" w:space="0"/>
              <w:bottom w:val="single" w:color="auto" w:sz="4" w:space="0"/>
              <w:right w:val="single" w:color="auto" w:sz="4" w:space="0"/>
            </w:tcBorders>
          </w:tcPr>
          <w:p>
            <w:pPr>
              <w:shd w:val="clear"/>
              <w:spacing w:line="440" w:lineRule="exact"/>
              <w:ind w:firstLine="600"/>
              <w:rPr>
                <w:rFonts w:ascii="方正仿宋_GBK" w:hAnsi="方正仿宋_GBK" w:cs="方正仿宋_GBK"/>
                <w:color w:val="auto"/>
                <w:sz w:val="28"/>
                <w:szCs w:val="28"/>
                <w:shd w:val="clear" w:color="auto" w:fill="FFFFFF"/>
              </w:rPr>
            </w:pPr>
            <w:r>
              <w:rPr>
                <w:rFonts w:hint="eastAsia" w:eastAsia="方正黑体_GBK"/>
                <w:color w:val="auto"/>
                <w:sz w:val="28"/>
                <w:szCs w:val="28"/>
              </w:rPr>
              <w:t>智慧化管理：</w:t>
            </w:r>
            <w:r>
              <w:rPr>
                <w:rFonts w:hint="eastAsia" w:ascii="方正仿宋_GBK" w:hAnsi="方正仿宋_GBK" w:cs="方正仿宋_GBK"/>
                <w:color w:val="auto"/>
                <w:sz w:val="28"/>
                <w:szCs w:val="28"/>
                <w:shd w:val="clear" w:color="auto" w:fill="FFFFFF"/>
              </w:rPr>
              <w:t>打造数字博物馆、图书馆、文化馆、美术馆，实施“智慧广电公共服务系统建设工程”。打造“大足石刻文旅产业大脑”，迭代“惠游大足”服务平台。</w:t>
            </w:r>
          </w:p>
          <w:p>
            <w:pPr>
              <w:shd w:val="clear"/>
              <w:spacing w:line="440" w:lineRule="exact"/>
              <w:ind w:firstLine="600"/>
              <w:rPr>
                <w:rFonts w:eastAsia="方正黑体_GBK"/>
                <w:color w:val="auto"/>
              </w:rPr>
            </w:pPr>
            <w:r>
              <w:rPr>
                <w:rFonts w:hint="eastAsia" w:eastAsia="方正黑体_GBK" w:cs="Times New Roman"/>
                <w:color w:val="auto"/>
                <w:sz w:val="28"/>
                <w:szCs w:val="28"/>
              </w:rPr>
              <w:t>综合场景应用：</w:t>
            </w:r>
            <w:r>
              <w:rPr>
                <w:rFonts w:hint="eastAsia" w:ascii="方正仿宋_GBK" w:hAnsi="方正仿宋_GBK" w:cs="方正仿宋_GBK"/>
                <w:color w:val="auto"/>
                <w:sz w:val="28"/>
                <w:szCs w:val="28"/>
                <w:shd w:val="clear" w:color="auto" w:fill="FFFFFF"/>
              </w:rPr>
              <w:t>持续推进文物数字化展示项目。增强数字人“小笛”的智能交互功能，成为大足文旅的“虚拟代言人”。</w:t>
            </w:r>
          </w:p>
        </w:tc>
      </w:tr>
    </w:tbl>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68" w:name="_Toc13239"/>
      <w:r>
        <w:rPr>
          <w:rFonts w:hint="eastAsia" w:ascii="方正黑体_GBK" w:hAnsi="方正黑体_GBK" w:eastAsia="方正黑体_GBK" w:cs="方正黑体_GBK"/>
        </w:rPr>
        <w:t xml:space="preserve">第十六章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建设巴蜀文旅走廊重要节点</w:t>
      </w:r>
      <w:bookmarkEnd w:id="68"/>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69" w:name="_Toc11155"/>
      <w:r>
        <w:rPr>
          <w:rFonts w:hint="eastAsia" w:ascii="方正楷体_GBK" w:hAnsi="方正楷体_GBK" w:eastAsia="方正楷体_GBK" w:cs="方正楷体_GBK"/>
          <w:lang w:val="en-US" w:eastAsia="zh-CN"/>
        </w:rPr>
        <w:t>第一节  积极融入巴蜀文化旅游走廊</w:t>
      </w:r>
      <w:bookmarkEnd w:id="69"/>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积极融入川渝文旅统一大市场。依托巴蜀文化旅游走廊建设，深化川渝文旅线路互通、景区联动、品牌共塑，扩大“川渝互游”“川渝同游”规模，主动融入“渝进蓉出、蓉进渝出”精品线路，协同推进“畅游巴蜀”“百万职工游巴蜀”等政策落实，创响“点石成金”等文旅品牌。依托成渝中轴交通干线，联动成渝古道中部沿线城市推出精品线路、手绘地图等</w:t>
      </w:r>
      <w:r>
        <w:rPr>
          <w:rFonts w:hint="eastAsia"/>
          <w:spacing w:val="-3"/>
          <w:sz w:val="32"/>
        </w:rPr>
        <w:t>，共建千年成渝古道文旅景观带。通过系统性融入，持续联动文旅资源、引领文化交流，深度分享“巴蜀文化旅游走廊”战略红利，让大足区实现从“参与者”到“主导者”、从“重要连接点”到“核心目的地”的转变。</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引领川渝石窟寺遗址公园发展。依托大足石刻世界文化遗产的影响力，发挥大足石刻在川渝石窟寺国家遗址公园的龙头引领作用，抢占川渝石窟寺核心示范区制高点，联合川渝地区石窟寺和石刻相关保护管理单位，统筹全区石窟寺资源保护与利用，依托“巴渝文物”市级数字应用，建立重庆石窟寺数字资源库。以宝顶山、北山、南山石刻景区为重点，联动乐山大佛、安岳石刻、潼南大佛寺等石窟景区，推出一批精品石窟文化旅游深度游，打造世界级巴蜀石窟旅游大环线，推动川渝两地石窟寺旅游资源共用、客源共享、市场共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共建资大文旅融合发展示范区。积极推动资大文旅融合发展示范区建设，加快大足—安岳石窟文物主题游径建设，协同推进川渝石刻文创园、巴蜀神木谷等重点项目建设，做靓“资足常乐”区域文旅品牌。基于《川渝地区跨省低空飞行协同管理工作机制（试行）》，开辟大足—安岳川渝石窟寺遗址国家公园低空通道，打造“低空+文旅”融合场景，让观众以全新视角“飞越”川渝石窟艺术精华，为文旅体验创新打开全新视角。持续协同办好“资足常乐</w:t>
      </w:r>
      <w:r>
        <w:rPr>
          <w:rFonts w:hint="eastAsia"/>
          <w:lang w:eastAsia="zh-CN"/>
        </w:rPr>
        <w:t>·</w:t>
      </w:r>
      <w:r>
        <w:rPr>
          <w:rFonts w:hint="eastAsia"/>
        </w:rPr>
        <w:t>石刻寻踪”定向赛等赛事活动，深化交流合作，提升区域热度。</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携手长江国家文化公园川渝段建设。大足将积极落实长江经济带国家战略，携手川渝城市群共同推进长江国家文化公园川渝段建设，持续擦亮大足石刻景区，努力深化 “大足学”学科建设，积极构建长江流域石窟寺保护利用样板，强化大足作为长江上游文明核心节点的占位，共同书写长江文化新篇章。</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70" w:name="_Toc10867"/>
      <w:r>
        <w:rPr>
          <w:rFonts w:hint="eastAsia" w:ascii="方正楷体_GBK" w:hAnsi="方正楷体_GBK" w:eastAsia="方正楷体_GBK" w:cs="方正楷体_GBK"/>
          <w:lang w:val="en-US" w:eastAsia="zh-CN"/>
        </w:rPr>
        <w:t>第二节  促进渝西片区文旅协同发展</w:t>
      </w:r>
      <w:bookmarkEnd w:id="7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动“永大荣”文旅协同区构建。充分挖掘永川、大足、荣昌三区海棠香国、昌州故地、成渝古道、渝西热土等区域共同文化特质，区域联动、共享客源，构建文旅发展协同区。整合大足石刻、龙水湖、永川茶山竹海、乐和乐都、荣昌安陶小镇、夏布小镇等“永大荣”区域优质文旅资源，打造渝西地区精品旅游线路。依托大足的世界遗产影响力、荣昌的网络流量和永川数字传媒的产业优势，三区强强联合，开展联合促销活动，推出三区同游门票互惠的促销活动，鼓励游客进行三地串联游览。</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共建渝西八区主客共享游憩带。加强与永川、合川、潼南、铜梁、荣昌、璧山、江津等渝西各区的文旅协同发展，积极融入“大足石刻·世界遗产”市级旅游精品线路，联动钓鱼城、四面山等精品景点，共建渝西八区主客共享游憩带以及成渝都市圈周末微度假旅游集聚区。</w:t>
      </w:r>
    </w:p>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eastAsia="方正黑体_GBK"/>
          <w:color w:val="auto"/>
          <w:szCs w:val="28"/>
        </w:rPr>
      </w:pPr>
      <w:r>
        <w:rPr>
          <w:rFonts w:eastAsia="方正黑体_GBK"/>
          <w:color w:val="auto"/>
          <w:szCs w:val="28"/>
        </w:rPr>
        <w:t>专栏</w:t>
      </w:r>
      <w:r>
        <w:rPr>
          <w:rFonts w:hint="eastAsia" w:eastAsia="方正黑体_GBK"/>
          <w:color w:val="auto"/>
          <w:szCs w:val="28"/>
          <w:lang w:val="en-US" w:eastAsia="zh-CN"/>
        </w:rPr>
        <w:t>8</w:t>
      </w:r>
      <w:r>
        <w:rPr>
          <w:rFonts w:eastAsia="方正黑体_GBK"/>
          <w:color w:val="auto"/>
          <w:szCs w:val="28"/>
        </w:rPr>
        <w:t xml:space="preserve">  </w:t>
      </w:r>
      <w:r>
        <w:rPr>
          <w:rFonts w:hint="eastAsia" w:eastAsia="方正黑体_GBK"/>
          <w:color w:val="auto"/>
          <w:szCs w:val="28"/>
        </w:rPr>
        <w:t>区域协同</w:t>
      </w:r>
      <w:r>
        <w:rPr>
          <w:rFonts w:eastAsia="方正黑体_GBK"/>
          <w:color w:val="auto"/>
          <w:szCs w:val="28"/>
        </w:rPr>
        <w:t>重点项目</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000" w:type="pct"/>
            <w:tcBorders>
              <w:top w:val="single" w:color="auto" w:sz="4" w:space="0"/>
              <w:left w:val="single" w:color="auto" w:sz="4" w:space="0"/>
              <w:bottom w:val="single" w:color="auto" w:sz="4" w:space="0"/>
              <w:right w:val="single" w:color="auto" w:sz="4" w:space="0"/>
            </w:tcBorders>
          </w:tcPr>
          <w:p>
            <w:pPr>
              <w:shd w:val="clear"/>
              <w:spacing w:line="440" w:lineRule="exact"/>
              <w:ind w:firstLine="600"/>
              <w:rPr>
                <w:rFonts w:ascii="方正仿宋_GBK" w:hAnsi="方正仿宋_GBK" w:cs="方正仿宋_GBK"/>
                <w:color w:val="auto"/>
                <w:sz w:val="28"/>
                <w:szCs w:val="28"/>
                <w:shd w:val="clear" w:color="auto" w:fill="FFFFFF"/>
              </w:rPr>
            </w:pPr>
            <w:r>
              <w:rPr>
                <w:rFonts w:hint="eastAsia" w:eastAsia="方正黑体_GBK"/>
                <w:color w:val="auto"/>
                <w:sz w:val="28"/>
                <w:szCs w:val="28"/>
              </w:rPr>
              <w:t>川渝文旅协同：</w:t>
            </w:r>
            <w:r>
              <w:rPr>
                <w:rFonts w:hint="eastAsia" w:ascii="方正仿宋_GBK" w:hAnsi="方正仿宋_GBK" w:cs="方正仿宋_GBK"/>
                <w:color w:val="auto"/>
                <w:sz w:val="28"/>
                <w:szCs w:val="28"/>
                <w:shd w:val="clear" w:color="auto" w:fill="FFFFFF"/>
              </w:rPr>
              <w:t>建设川渝石窟寺国家遗址公园，加快大足—安岳石窟文物主题游径建设，协同推进川渝石刻文创园、巴蜀神木谷等重点项目。开辟大足—安岳川渝石窟寺遗址国家公园低空通道。协同办好“资足常乐</w:t>
            </w:r>
            <w:r>
              <w:rPr>
                <w:rFonts w:hint="eastAsia" w:ascii="方正仿宋_GBK" w:hAnsi="方正仿宋_GBK" w:cs="方正仿宋_GBK"/>
                <w:color w:val="auto"/>
                <w:sz w:val="28"/>
                <w:szCs w:val="28"/>
                <w:shd w:val="clear" w:color="auto" w:fill="FFFFFF"/>
                <w:lang w:eastAsia="zh-CN"/>
              </w:rPr>
              <w:t>·</w:t>
            </w:r>
            <w:r>
              <w:rPr>
                <w:rFonts w:hint="eastAsia" w:ascii="方正仿宋_GBK" w:hAnsi="方正仿宋_GBK" w:cs="方正仿宋_GBK"/>
                <w:color w:val="auto"/>
                <w:sz w:val="28"/>
                <w:szCs w:val="28"/>
                <w:shd w:val="clear" w:color="auto" w:fill="FFFFFF"/>
              </w:rPr>
              <w:t>石刻寻踪”定向赛等赛事活动。</w:t>
            </w:r>
          </w:p>
          <w:p>
            <w:pPr>
              <w:shd w:val="clear"/>
              <w:spacing w:line="440" w:lineRule="exact"/>
              <w:ind w:firstLine="600"/>
              <w:rPr>
                <w:rFonts w:eastAsia="方正黑体_GBK"/>
                <w:color w:val="auto"/>
              </w:rPr>
            </w:pPr>
            <w:r>
              <w:rPr>
                <w:rFonts w:hint="eastAsia" w:eastAsia="方正黑体_GBK" w:cs="Times New Roman"/>
                <w:color w:val="auto"/>
                <w:sz w:val="28"/>
                <w:szCs w:val="28"/>
              </w:rPr>
              <w:t>渝西片区文旅协同：“</w:t>
            </w:r>
            <w:r>
              <w:rPr>
                <w:rFonts w:hint="eastAsia" w:ascii="方正仿宋_GBK" w:hAnsi="方正仿宋_GBK" w:cs="方正仿宋_GBK"/>
                <w:color w:val="auto"/>
                <w:sz w:val="28"/>
                <w:szCs w:val="28"/>
                <w:shd w:val="clear" w:color="auto" w:fill="FFFFFF"/>
              </w:rPr>
              <w:t>永大荣</w:t>
            </w:r>
            <w:r>
              <w:rPr>
                <w:rFonts w:hint="eastAsia" w:eastAsia="方正黑体_GBK" w:cs="Times New Roman"/>
                <w:color w:val="auto"/>
                <w:sz w:val="28"/>
                <w:szCs w:val="28"/>
              </w:rPr>
              <w:t>”</w:t>
            </w:r>
            <w:r>
              <w:rPr>
                <w:rFonts w:hint="eastAsia" w:ascii="方正仿宋_GBK" w:hAnsi="方正仿宋_GBK" w:cs="方正仿宋_GBK"/>
                <w:color w:val="auto"/>
                <w:sz w:val="28"/>
                <w:szCs w:val="28"/>
                <w:shd w:val="clear" w:color="auto" w:fill="FFFFFF"/>
              </w:rPr>
              <w:t>文旅协同区构建，融入“大足石刻·世界遗产”市级旅游精品线路</w:t>
            </w:r>
          </w:p>
        </w:tc>
      </w:tr>
    </w:tbl>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71" w:name="_Toc7016"/>
      <w:r>
        <w:rPr>
          <w:rFonts w:hint="eastAsia" w:ascii="方正黑体_GBK" w:hAnsi="方正黑体_GBK" w:eastAsia="方正黑体_GBK" w:cs="方正黑体_GBK"/>
        </w:rPr>
        <w:t xml:space="preserve">第十七章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持续强化品牌营销市场推广</w:t>
      </w:r>
      <w:bookmarkEnd w:id="7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72" w:name="_Toc23802"/>
      <w:r>
        <w:rPr>
          <w:rFonts w:hint="eastAsia" w:ascii="方正楷体_GBK" w:hAnsi="方正楷体_GBK" w:eastAsia="方正楷体_GBK" w:cs="方正楷体_GBK"/>
          <w:lang w:val="en-US" w:eastAsia="zh-CN"/>
        </w:rPr>
        <w:t>第一节  加强国际文化旅游交流活动</w:t>
      </w:r>
      <w:bookmarkEnd w:id="7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拓展入境旅游与对外文化交流。深入实施“集团营销”计划，建立旅游宣传营销集团化体系，加强与境内外旅行商、OTA平台的深度合作，推出定制化、菜单式等组客方式，做大“国内游”，拓展“入境游”。深入开展国际交流，深化与西部国际传播中心、陆海基金会、四川外国语大学等合作，开通大足石刻Facebook、Twitter等海外账号。推动将大足石刻纳入国家对外文化交流新窗口建设，积极争取承办“一带一路”记者驿站·重庆采风行活动、渝港青年交流活动，邀请海外媒体记者来足采风。建好用好“巴渝文创国际工作坊”，在海外各大城市、博物馆、美术馆和高校等开展大足石刻系列展。深度参与“机遇中国·品牌重庆”等国际推广行动，举办海外市场推介活动；邀请在国际上有影响力的网红来大足旅游、宣传，培育一批留学生大足网红，提升国际影响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搭建高层次国际合作对话平台。积极拓展文化遗产朋友圈，积极参与世界文化遗产可持续发展的会议、论坛等并发出大足声音，推进与全球著名文化遗产地和国际文旅名城的“结对发展”，让大足石刻成为连接世界的情感纽带。积极构建石窟艺术朋友圈，加强与‌印度埃洛拉石窟群、柬埔寨吴哥窟‌等国际著名石窟以及敦煌莫高窟、大同云冈石窟、洛阳龙门石窟、天水麦积山石窟等国内知名石窟交流合作，构建国际化的石窟文化艺术联盟，在旅游协同、文化交流、科学研究等方面紧密合作。</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73" w:name="_Toc868"/>
      <w:r>
        <w:rPr>
          <w:rFonts w:hint="eastAsia" w:ascii="方正楷体_GBK" w:hAnsi="方正楷体_GBK" w:eastAsia="方正楷体_GBK" w:cs="方正楷体_GBK"/>
          <w:lang w:val="en-US" w:eastAsia="zh-CN"/>
        </w:rPr>
        <w:t>第二节  持续推动节事活动精准营销</w:t>
      </w:r>
      <w:bookmarkEnd w:id="73"/>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做特地方文旅节会。联合一流专业营销团队策划统筹开展“一节五会”文化旅游品牌提升工程，突出以石刻文化、民宿文化、重汽文化等为代表的大足文化，以新手段、新表达讲好大足故事。策划举办常态化、特色化的非遗巡演、主题市集、艺术节会等活动，实施“名人上宝顶”等计划，吸引各界文艺工作者驻留创作、展演交流，提升城市艺术氛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承办重大活动赛事。持续开展“大足石刻守护人”全球招募、龙水湖马拉松等赛事活动，力争承办国际性、国家级体育赛事活动，打响一批具有“国际视野、重庆标识、大足特色”的文旅品牌。依托舞剧《天下大足》全国巡演，创新开展“跟着舞剧去大足”城市推广活动，培育“跟着演艺去旅行”“跟着赛事去旅行”等文旅品牌。</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74" w:name="_Toc5489"/>
      <w:r>
        <w:rPr>
          <w:rFonts w:hint="eastAsia" w:ascii="方正楷体_GBK" w:hAnsi="方正楷体_GBK" w:eastAsia="方正楷体_GBK" w:cs="方正楷体_GBK"/>
          <w:lang w:val="en-US" w:eastAsia="zh-CN"/>
        </w:rPr>
        <w:t>第三节  构建全媒体立体化营销矩阵</w:t>
      </w:r>
      <w:bookmarkEnd w:id="74"/>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全民化新媒体营销。精准开展“客群营销”，利用大数据手段，建立科学统计分析机制，针对性地绘制游客偏好热力图，定制差异化引流策略，提升供给与需求的匹配精准度。实施精准旅游渠道营销，坚持长期旅游内容营销，探索培育构建涵盖头部专业团队、网络大V的达人矩阵，整合集团营销、媒体矩阵、旅游团队、名人名家、网络达人等营销力量，形成营销强大合力，加速景区游客流量增长。聚焦“Z世代”“她经济”“亲子游”“银发族”等消费群体，做好细分旅游市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优化传统媒体宣传促销。完善网络平台合作矩阵，加强与新华网等主流媒体对接，展示大足区文旅发展新成就。加强与携程、同程、去哪儿等旅游门户网站对接，推广大足旅游产品。加强线下精准营销矩阵，针对成渝城市群、珠三角、长三角等重点客源地和经济发达地区，开展文旅专项推介和旅游广告投放。</w:t>
      </w:r>
    </w:p>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eastAsia="方正黑体_GBK"/>
          <w:color w:val="auto"/>
          <w:szCs w:val="28"/>
        </w:rPr>
      </w:pPr>
      <w:r>
        <w:rPr>
          <w:rFonts w:eastAsia="方正黑体_GBK"/>
          <w:color w:val="auto"/>
          <w:szCs w:val="28"/>
        </w:rPr>
        <w:t>专栏</w:t>
      </w:r>
      <w:r>
        <w:rPr>
          <w:rFonts w:hint="eastAsia" w:eastAsia="方正黑体_GBK"/>
          <w:color w:val="auto"/>
          <w:szCs w:val="28"/>
          <w:lang w:val="en-US" w:eastAsia="zh-CN"/>
        </w:rPr>
        <w:t>9</w:t>
      </w:r>
      <w:r>
        <w:rPr>
          <w:rFonts w:eastAsia="方正黑体_GBK"/>
          <w:color w:val="auto"/>
          <w:szCs w:val="28"/>
        </w:rPr>
        <w:t xml:space="preserve"> </w:t>
      </w:r>
      <w:r>
        <w:rPr>
          <w:rFonts w:hint="eastAsia" w:eastAsia="方正黑体_GBK"/>
          <w:color w:val="auto"/>
          <w:szCs w:val="28"/>
        </w:rPr>
        <w:t>品牌营销</w:t>
      </w:r>
      <w:r>
        <w:rPr>
          <w:rFonts w:eastAsia="方正黑体_GBK"/>
          <w:color w:val="auto"/>
          <w:szCs w:val="28"/>
        </w:rPr>
        <w:t>重点项目</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000" w:type="pct"/>
            <w:tcBorders>
              <w:top w:val="single" w:color="auto" w:sz="4" w:space="0"/>
              <w:left w:val="single" w:color="auto" w:sz="4" w:space="0"/>
              <w:bottom w:val="single" w:color="auto" w:sz="4" w:space="0"/>
              <w:right w:val="single" w:color="auto" w:sz="4" w:space="0"/>
            </w:tcBorders>
          </w:tcPr>
          <w:p>
            <w:pPr>
              <w:shd w:val="clear"/>
              <w:spacing w:line="440" w:lineRule="exact"/>
              <w:ind w:firstLine="600"/>
              <w:rPr>
                <w:rFonts w:ascii="方正仿宋_GBK" w:hAnsi="方正仿宋_GBK" w:cs="方正仿宋_GBK"/>
                <w:color w:val="auto"/>
                <w:sz w:val="28"/>
                <w:szCs w:val="28"/>
                <w:shd w:val="clear" w:color="auto" w:fill="FFFFFF"/>
              </w:rPr>
            </w:pPr>
            <w:r>
              <w:rPr>
                <w:rFonts w:hint="eastAsia" w:eastAsia="方正黑体_GBK"/>
                <w:color w:val="auto"/>
                <w:sz w:val="28"/>
                <w:szCs w:val="28"/>
              </w:rPr>
              <w:t>国际文旅交流：</w:t>
            </w:r>
            <w:r>
              <w:rPr>
                <w:rFonts w:hint="eastAsia" w:ascii="方正仿宋_GBK" w:hAnsi="方正仿宋_GBK" w:cs="方正仿宋_GBK"/>
                <w:color w:val="auto"/>
                <w:sz w:val="28"/>
                <w:szCs w:val="28"/>
                <w:shd w:val="clear" w:color="auto" w:fill="FFFFFF"/>
              </w:rPr>
              <w:t>深入实施集团营销计划，积极争取承办“一带一路”记者驿站·重庆采风行活动、渝港青年交流活动，深度参与“机遇中国·品牌重庆”等国际推广行动。</w:t>
            </w:r>
          </w:p>
          <w:p>
            <w:pPr>
              <w:shd w:val="clear"/>
              <w:spacing w:line="440" w:lineRule="exact"/>
              <w:ind w:firstLine="600"/>
              <w:rPr>
                <w:color w:val="auto"/>
              </w:rPr>
            </w:pPr>
            <w:r>
              <w:rPr>
                <w:rFonts w:hint="eastAsia" w:eastAsia="方正黑体_GBK" w:cs="Times New Roman"/>
                <w:color w:val="auto"/>
                <w:sz w:val="28"/>
                <w:szCs w:val="28"/>
              </w:rPr>
              <w:t>节事活动精准营销：</w:t>
            </w:r>
            <w:r>
              <w:rPr>
                <w:rFonts w:hint="eastAsia" w:ascii="方正仿宋_GBK" w:hAnsi="方正仿宋_GBK" w:cs="方正仿宋_GBK"/>
                <w:color w:val="auto"/>
                <w:sz w:val="28"/>
                <w:szCs w:val="28"/>
                <w:shd w:val="clear" w:color="auto" w:fill="FFFFFF"/>
              </w:rPr>
              <w:t>创新开展“跟着舞剧去大足”城市推广活动，培育“跟着演艺去旅行”“跟着赛事去旅行”等文旅品牌。</w:t>
            </w:r>
          </w:p>
        </w:tc>
      </w:tr>
    </w:tbl>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75" w:name="_Toc15197"/>
      <w:r>
        <w:rPr>
          <w:rFonts w:hint="eastAsia" w:ascii="方正黑体_GBK" w:hAnsi="方正黑体_GBK" w:eastAsia="方正黑体_GBK" w:cs="方正黑体_GBK"/>
        </w:rPr>
        <w:t xml:space="preserve">第十八章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壮大市场主体培育产业生态</w:t>
      </w:r>
      <w:bookmarkEnd w:id="7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76" w:name="_Toc12692"/>
      <w:r>
        <w:rPr>
          <w:rFonts w:hint="eastAsia" w:ascii="方正楷体_GBK" w:hAnsi="方正楷体_GBK" w:eastAsia="方正楷体_GBK" w:cs="方正楷体_GBK"/>
          <w:lang w:val="en-US" w:eastAsia="zh-CN"/>
        </w:rPr>
        <w:t>第一节  加大产业招商引资力度</w:t>
      </w:r>
      <w:bookmarkEnd w:id="76"/>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制定招商图谱。重点关注文旅产业发展的新场景新业态以及新兴文化产业类型，围绕酒店民宿、文化体验、研学旅游、运动康养、文化演艺、短剧创作、数字文娱等重点领域，建立大足区文旅招商引资重点项目库，编制招商手册。充分利用各类招商推介会、旅游节会等活动“走出去”，精准对接行业龙头和头部企业，支持文化旅游企业以合资、合作等方式搭建交流平台实现“请进来”，切实增强文旅产业招商引资活力与质效。</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做好招商服务。优化大足区文旅营商环境，对康养度假、数字文娱、影视创作等重点领域，建链、强链、补链、延链，做好全要素服务保障，持续叫响做靓“1224”的营商环境品牌。</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77" w:name="_Toc25194"/>
      <w:r>
        <w:rPr>
          <w:rFonts w:hint="eastAsia" w:ascii="方正楷体_GBK" w:hAnsi="方正楷体_GBK" w:eastAsia="方正楷体_GBK" w:cs="方正楷体_GBK"/>
          <w:lang w:val="en-US" w:eastAsia="zh-CN"/>
        </w:rPr>
        <w:t>第二节  推动市场主体梯级培育</w:t>
      </w:r>
      <w:bookmarkEnd w:id="77"/>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扶持规上企业做大做强。支持国有文旅企业优化重组，鼓励整合优质文旅资产，提升旗下旅游景区、度假区品质、规模和影响力，推进大足石刻国际文化旅游集团、重庆大足实业发展集团做大做强。依托大足石刻文创园，推动文旅规上企业集聚发展，补链强链，构建产业集群。</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扶持小微企业做大升规。实施“微成长、小升高、高壮大”梯度培育计划，建立重点企业培育库，推动更多文旅企业“升规入统”，夯实市场主体根基。针对每年度具有升规潜力的小微企业一企一策，提供奖补和支持，为企业做大产业规模升级规上企业保驾护航。支持民营文旅企业创新发展，培育一批数字赋能、场景创新等“专精特新”文旅企业，鼓励有实力的旅行社拓展业务范围、创新组客模式，壮大市场占有率。</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积极引进文旅头部企业。积极参加文旅推荐活动，主动对接国际国内一流文旅企业，通过招商引资，针对大足文旅发展短板，争取引进国际国内知名的酒店民宿品牌、文旅IP、康养机构、数字文化等行业头部企业，进一步提升大足文旅的接待服务品质和文化旅游影响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78" w:name="_Toc29479"/>
      <w:r>
        <w:rPr>
          <w:rFonts w:hint="eastAsia" w:ascii="方正楷体_GBK" w:hAnsi="方正楷体_GBK" w:eastAsia="方正楷体_GBK" w:cs="方正楷体_GBK"/>
          <w:lang w:val="en-US" w:eastAsia="zh-CN"/>
        </w:rPr>
        <w:t>第三节  营造公平有序市场环境</w:t>
      </w:r>
      <w:bookmarkEnd w:id="78"/>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优化营商环境提升市场活力。持续深化“放管服”改革，强化行业自律，依托“渝快办”平台优化政务服务，推行文旅体企业注册登记“一网通办”“全程网办”，完善文旅市场准入负面清单制度，破除地域保护、行政垄断等不合理门槛和隐性壁垒，建立市场化、法治化退出机制，畅通低效产能退出渠道，实现资源要素高效再配置。呵护区内文旅企业发展，助力企业纾困解难，协调相关部门，积极帮助企业解决在融资、用地、人才、市场拓展等方面遇到的困难和问题。支持企业参与各类展会、评比活动，拓展发展空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扎实推进旅游信用体系建设。建立大足文旅行业失信惩戒制度，建立文旅信用信息公示制度，定期公布违法违规旅游经营者和从业人员旅游经营服务不良信息记录。打造“信易游”“信易贷”“信易批”“信易管”等场景应用，建立完</w:t>
      </w:r>
      <w:r>
        <w:rPr>
          <w:rFonts w:hint="eastAsia"/>
          <w:spacing w:val="-3"/>
          <w:sz w:val="32"/>
        </w:rPr>
        <w:t>善信用信息互联互通，鼓励和支持旅游企业与金融机构、大数据管理等专业机构合作，不断丰富适合旅游市场需求的信用产品和服务供给。与区级各部门建立联合奖惩机制，让守信者处处受益，失信者寸步难行。</w:t>
      </w:r>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79" w:name="_Toc32297"/>
      <w:r>
        <w:rPr>
          <w:rFonts w:hint="eastAsia" w:ascii="方正黑体_GBK" w:hAnsi="方正黑体_GBK" w:eastAsia="方正黑体_GBK" w:cs="方正黑体_GBK"/>
        </w:rPr>
        <w:t>第十九章</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 xml:space="preserve"> 持续提升行业高效治理水平</w:t>
      </w:r>
      <w:bookmarkEnd w:id="79"/>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80" w:name="_Toc28839"/>
      <w:r>
        <w:rPr>
          <w:rFonts w:hint="eastAsia" w:ascii="方正楷体_GBK" w:hAnsi="方正楷体_GBK" w:eastAsia="方正楷体_GBK" w:cs="方正楷体_GBK"/>
          <w:lang w:val="en-US" w:eastAsia="zh-CN"/>
        </w:rPr>
        <w:t>第一节  完善文旅市场治理</w:t>
      </w:r>
      <w:bookmarkEnd w:id="8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持续开展市场专项整治行动。持续巩固旅游市场秩序综合整治攻坚行动成果，扎实开展景区执法检查和重点领域专项检查，建立健全文旅市场监管执法机制，切实提高旅游服务综合满意度。维护旅游消费者和经营者合法权益，对组织“不合理低价游”、强迫消费、违反旅游合同等违法违规行为进行监管和查处，坚决查处“黑社”、“黑导”、“黑车”、“黑店”等非法经营行为。持续加强对全区市场主体“双随机、一公开”抽查，重点对其经营活动的监管，对服务质量进行评估。加强导游队伍建设，开展旅游行业服务技能培训和技能比赛，切实提高从业人员服务水平。</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深化大综合一体化执法改革。明确文旅、市场监管、公安、交通、网信等部门职责边界与协作流程，形成监管合力。建立健全文旅市场风险联合预警与应急处置机制，加强与周边区县的客流、交通、安全等信息实时共享与协同联动，共同提升大客流疏导与突发事件应对能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81" w:name="_Toc15628"/>
      <w:r>
        <w:rPr>
          <w:rFonts w:hint="eastAsia" w:ascii="方正楷体_GBK" w:hAnsi="方正楷体_GBK" w:eastAsia="方正楷体_GBK" w:cs="方正楷体_GBK"/>
          <w:lang w:val="en-US" w:eastAsia="zh-CN"/>
        </w:rPr>
        <w:t>第二节  加强旅游文明建设</w:t>
      </w:r>
      <w:bookmarkEnd w:id="81"/>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广文明公约，提升文明素养。倡导游客自觉践行《中国公民国内旅游文明行为公约》，在旅游景区、宾馆酒店、交通枢纽等场所进行广泛宣传与引导。深入开展文明旅游宣传“进社区、进校园、进企业、进商圈”活动，提升市民文明旅游意识，养成文明出行习惯。健全约束与激励机制，建立健全旅游不文明行为记录管理制度，依法依规处置严重不文明行为，探索实施文明游客激励举措，引导游客自觉遵守文明旅游规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打造示范标杆，引领行业提升。在全区范围内组织开展“文明景区”、“文明酒店”、“文明民宿”、“文明旅行社”等示范单位评选活动，树立一批文明服务标杆。重点将大足石刻景区等打造成文明旅游示范景区，将昌州古城等商业街区打造成文明诚信示范商业街区，并培育一批特色文明民宿集群。通过典型示范，带动全区文旅行业文明服务水平整体跃升。</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开展志愿服务，营造和谐氛围。建立“文明旅游监督员”制度，面向社会招募志愿者，参与文明引导与不文明行为劝导工作。在节假日、重大活动期间，集中组织志愿者在重点景区、交通枢纽等关键节点提供服务。探索建立“文明旅游积分”激励制度，对积极参与志愿服务、自觉践行文明规范的游客给予相应积分，积分可用于兑换景区门票、住宿餐饮折扣等优惠。</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82" w:name="_Toc4329"/>
      <w:r>
        <w:rPr>
          <w:rFonts w:hint="eastAsia" w:ascii="方正楷体_GBK" w:hAnsi="方正楷体_GBK" w:eastAsia="方正楷体_GBK" w:cs="方正楷体_GBK"/>
          <w:lang w:val="en-US" w:eastAsia="zh-CN"/>
        </w:rPr>
        <w:t>第三节  健全安全管理体系</w:t>
      </w:r>
      <w:bookmarkEnd w:id="82"/>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构建一体化安全监管责任体系。完善公安、规划自然资源、交通、文化旅游、应急、市场监管、消防等部门多跨协同机制，完善联合检查、联合执法工作机制，提升文旅安全保障能力。持续推进文化旅游体育市场主体、公共文化服务场所安全风险的辨识、管控，完善隐患排查治理制度。加强对重点区域、重点环节的排查力度，做到隐患早发现、早处理，将安全风险消除在萌芽状态。对于准备新开的文旅体经营场所，严格落实安全前置审批程序。</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完善应急预案与应急处置机制。针对旅游景区、星级酒店、旅游民宿、体育场馆等各类场所特点，制定和完善专项安全应急预案，明确应急响应流程、处置措施与责任分工。指导文旅企业加强日常安全管理，加大安全生产投入，督促企业负责人强化员工安全知识培训和安全应急演练，切实提升一线人员的风险辨识、先期处置与应急救援能力，提升企业整体安全管理水平。推动与川渝毗邻地区建立应急联动机制，实现应急资源共建共享与突发事件协同处置，共同提升区域安全风险抵御能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推进安全管理实现智慧化转型。依托文旅智慧监管平台，全面提升安全监测预警的智能化水平。建立安全风险大数据分析模型，对景区最大承载量、设施设备运行状态、地质灾害风险、突发公共事件等进行动态监测、实时分析与智能预警。在重点场所加快部署智能客流统计系统、电气火灾监控等智能感知设备，加强对消防安全、人员密集场所安全、设施安全等多维度的实时监测与智能管理。</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p>
    <w:p>
      <w:pPr>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44"/>
          <w:szCs w:val="24"/>
        </w:rPr>
      </w:pPr>
      <w:bookmarkStart w:id="83" w:name="_Toc15392"/>
      <w:r>
        <w:rPr>
          <w:rFonts w:hint="eastAsia" w:ascii="方正小标宋_GBK" w:hAnsi="方正小标宋_GBK" w:eastAsia="方正小标宋_GBK" w:cs="方正小标宋_GBK"/>
          <w:sz w:val="44"/>
          <w:szCs w:val="24"/>
        </w:rPr>
        <w:t xml:space="preserve">第六篇 </w:t>
      </w:r>
      <w:r>
        <w:rPr>
          <w:rFonts w:hint="eastAsia" w:ascii="方正小标宋_GBK" w:hAnsi="方正小标宋_GBK" w:eastAsia="方正小标宋_GBK" w:cs="方正小标宋_GBK"/>
          <w:sz w:val="44"/>
          <w:szCs w:val="24"/>
          <w:lang w:val="en-US" w:eastAsia="zh-CN"/>
        </w:rPr>
        <w:t xml:space="preserve"> </w:t>
      </w:r>
      <w:r>
        <w:rPr>
          <w:rFonts w:hint="eastAsia" w:ascii="方正小标宋_GBK" w:hAnsi="方正小标宋_GBK" w:eastAsia="方正小标宋_GBK" w:cs="方正小标宋_GBK"/>
          <w:sz w:val="44"/>
          <w:szCs w:val="24"/>
        </w:rPr>
        <w:t>规划实施保障</w:t>
      </w:r>
      <w:bookmarkEnd w:id="83"/>
    </w:p>
    <w:p>
      <w:pPr>
        <w:keepNext w:val="0"/>
        <w:keepLines w:val="0"/>
        <w:pageBreakBefore w:val="0"/>
        <w:widowControl w:val="0"/>
        <w:kinsoku/>
        <w:wordWrap/>
        <w:overflowPunct/>
        <w:topLinePunct w:val="0"/>
        <w:autoSpaceDE/>
        <w:autoSpaceDN/>
        <w:bidi w:val="0"/>
        <w:adjustRightInd/>
        <w:snapToGrid/>
        <w:spacing w:before="303" w:beforeLines="50" w:after="303" w:afterLines="50" w:line="594" w:lineRule="exact"/>
        <w:ind w:left="0" w:leftChars="0" w:right="0" w:rightChars="0" w:firstLine="0" w:firstLineChars="0"/>
        <w:jc w:val="center"/>
        <w:textAlignment w:val="auto"/>
        <w:outlineLvl w:val="0"/>
        <w:rPr>
          <w:rFonts w:hint="eastAsia" w:ascii="方正黑体_GBK" w:hAnsi="方正黑体_GBK" w:eastAsia="方正黑体_GBK" w:cs="方正黑体_GBK"/>
        </w:rPr>
      </w:pPr>
      <w:bookmarkStart w:id="84" w:name="_Toc4166"/>
      <w:r>
        <w:rPr>
          <w:rFonts w:hint="eastAsia" w:ascii="方正黑体_GBK" w:hAnsi="方正黑体_GBK" w:eastAsia="方正黑体_GBK" w:cs="方正黑体_GBK"/>
        </w:rPr>
        <w:t xml:space="preserve">第二十章 </w:t>
      </w:r>
      <w:r>
        <w:rPr>
          <w:rFonts w:hint="eastAsia" w:ascii="方正黑体_GBK" w:hAnsi="方正黑体_GBK" w:eastAsia="方正黑体_GBK" w:cs="方正黑体_GBK"/>
          <w:lang w:val="en-US" w:eastAsia="zh-CN"/>
        </w:rPr>
        <w:t xml:space="preserve"> </w:t>
      </w:r>
      <w:r>
        <w:rPr>
          <w:rFonts w:hint="eastAsia" w:ascii="方正黑体_GBK" w:hAnsi="方正黑体_GBK" w:eastAsia="方正黑体_GBK" w:cs="方正黑体_GBK"/>
        </w:rPr>
        <w:t>保障措施</w:t>
      </w:r>
      <w:bookmarkEnd w:id="84"/>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85" w:name="_Toc29669"/>
      <w:r>
        <w:rPr>
          <w:rFonts w:hint="eastAsia" w:ascii="方正楷体_GBK" w:hAnsi="方正楷体_GBK" w:eastAsia="方正楷体_GBK" w:cs="方正楷体_GBK"/>
          <w:lang w:val="en-US" w:eastAsia="zh-CN"/>
        </w:rPr>
        <w:t>第一节  加强制度保障</w:t>
      </w:r>
      <w:bookmarkEnd w:id="85"/>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压实目标责任。将本规划确定的主要指标和重点任务，分解纳入相关部门及各镇（街道）的年度绩效考核体系，强化考核结果在干部评价、资源配置等方面的运用。各镇（街道）、相关区级部门需对应设立工作专班，主要负责人履行第一责任人职责，确保规划目标任务在本区域、本领域得到全面落实。</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加强动态评估。确保本规划与重庆市、大足区国民经济和社会发展十五五规划、国土空间规划以及市级文化和旅游、体育事业发展专项规划保持紧密衔接。建立“年度监测—中期评估—期末总结”的全周期评估制度，于2027年开展规划中期评估，根据国家及市级战略导向与实际情况变化，依法依规对规划目标及重点任务进行动态优化调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86" w:name="_Toc17535"/>
      <w:r>
        <w:rPr>
          <w:rFonts w:hint="eastAsia" w:ascii="方正楷体_GBK" w:hAnsi="方正楷体_GBK" w:eastAsia="方正楷体_GBK" w:cs="方正楷体_GBK"/>
          <w:lang w:val="en-US" w:eastAsia="zh-CN"/>
        </w:rPr>
        <w:t>第二节  强化政策支持</w:t>
      </w:r>
      <w:bookmarkEnd w:id="86"/>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创新出台专项支持政策。优先保障重点文旅体项目用地需求，稳妥探索乡村旅游“点状供地”等灵活用地模式。设立区级文旅体产业高质量发展基金，扩大对中小微企业的贷款风险补偿规模，对在多层次资本市场成功上市或挂牌的文旅企业给予奖励。持续推出主题化、差异化的文旅消费促进活动，对组织过夜游客达到一定规模的旅行社予以奖励。对成功创建国家级、市级文旅体品牌（如国家级旅游度假区等）的主体给予相应奖励。</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集成产业消费支持政策。全面对接并积极争取国家、重庆市在文化旅游、体育产业、乡村振兴、生态建设、城市更新、消费促进等领域的各项扶持政策，研究制定并适时推出大足区在项目用地、财政补贴、税费优惠、金融支持等方面的配套实施细则。持续实施文旅消费券发放、景区门票优惠等惠民举措，有效激发市场消费活力。</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hint="eastAsia" w:ascii="方正楷体_GBK" w:hAnsi="方正楷体_GBK" w:eastAsia="方正楷体_GBK" w:cs="方正楷体_GBK"/>
          <w:lang w:val="en-US" w:eastAsia="zh-CN"/>
        </w:rPr>
      </w:pPr>
      <w:bookmarkStart w:id="87" w:name="_Toc19775"/>
      <w:r>
        <w:rPr>
          <w:rFonts w:hint="eastAsia" w:ascii="方正楷体_GBK" w:hAnsi="方正楷体_GBK" w:eastAsia="方正楷体_GBK" w:cs="方正楷体_GBK"/>
          <w:lang w:val="en-US" w:eastAsia="zh-CN"/>
        </w:rPr>
        <w:t>第三节  落实人才保障</w:t>
      </w:r>
      <w:bookmarkEnd w:id="87"/>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eastAsia"/>
        </w:rPr>
      </w:pPr>
      <w:r>
        <w:rPr>
          <w:rFonts w:hint="eastAsia"/>
        </w:rPr>
        <w:t>健全人才培育体系。建好文旅干部和文旅人才蓄水池，充分依托重庆高校及科研机构资源，共建文化旅游体育人才培训基地，推动产学研深度融合。制定实施文旅体领军人才与基层骨干“双百”培养计划，重点引进和培育产业融合发展急需的高层次管理人才、专业技术人才与技能实用人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pPr>
      <w:r>
        <w:rPr>
          <w:rFonts w:hint="eastAsia"/>
        </w:rPr>
        <w:t>提升从业人员素质。建立健全覆盖全行业的职业技能常态化培训体系，定期开展业务知识更新与服务技能提升培训。健全职业技能等级认定体系，支持非遗传承人、文艺名家、体育教练等专业人才发展，完善工匠工作室、名家工作室的奖励扶持政策。鼓励文旅企业开展岗位技能提升培训，培育兼具文化素养、专业技能与管理能力的复合型人才队伍。</w:t>
      </w:r>
    </w:p>
    <w:p>
      <w:pPr>
        <w:keepNext w:val="0"/>
        <w:keepLines w:val="0"/>
        <w:pageBreakBefore w:val="0"/>
        <w:widowControl w:val="0"/>
        <w:kinsoku/>
        <w:wordWrap/>
        <w:overflowPunct/>
        <w:topLinePunct w:val="0"/>
        <w:autoSpaceDE/>
        <w:autoSpaceDN/>
        <w:bidi w:val="0"/>
        <w:adjustRightInd/>
        <w:snapToGrid/>
        <w:textAlignment w:val="auto"/>
        <w:rPr>
          <w:rFonts w:hint="eastAsia"/>
          <w:lang w:val="en" w:eastAsia="zh-CN"/>
        </w:rPr>
      </w:pPr>
    </w:p>
    <w:p>
      <w:pPr>
        <w:pStyle w:val="2"/>
        <w:rPr>
          <w:rFonts w:hint="eastAsia"/>
          <w:lang w:val="en" w:eastAsia="zh-CN"/>
        </w:rPr>
        <w:sectPr>
          <w:footerReference r:id="rId3" w:type="default"/>
          <w:pgSz w:w="11906" w:h="16838"/>
          <w:pgMar w:top="1984" w:right="1446" w:bottom="1644" w:left="1446" w:header="720" w:footer="1361" w:gutter="0"/>
          <w:pgNumType w:fmt="decimal" w:start="1"/>
          <w:cols w:space="0" w:num="1"/>
          <w:rtlGutter w:val="0"/>
          <w:docGrid w:type="linesAndChars" w:linePitch="600" w:charSpace="0"/>
        </w:sectPr>
      </w:pPr>
    </w:p>
    <w:p>
      <w:pPr>
        <w:bidi w:val="0"/>
        <w:rPr>
          <w:rFonts w:hint="eastAsia" w:ascii="方正黑体_GBK" w:hAnsi="方正黑体_GBK" w:eastAsia="方正黑体_GBK" w:cs="方正黑体_GBK"/>
        </w:rPr>
      </w:pPr>
      <w:r>
        <w:rPr>
          <w:rFonts w:hint="eastAsia" w:ascii="方正黑体_GBK" w:hAnsi="方正黑体_GBK" w:eastAsia="方正黑体_GBK" w:cs="方正黑体_GBK"/>
        </w:rPr>
        <w:t>附件1</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_GBK" w:hAnsi="方正小标宋_GBK" w:eastAsia="方正小标宋_GBK" w:cs="方正小标宋_GBK"/>
          <w:color w:val="auto"/>
          <w:sz w:val="44"/>
          <w:szCs w:val="24"/>
        </w:rPr>
      </w:pPr>
      <w:r>
        <w:rPr>
          <w:rFonts w:hint="eastAsia" w:ascii="方正小标宋_GBK" w:hAnsi="方正小标宋_GBK" w:eastAsia="方正小标宋_GBK" w:cs="方正小标宋_GBK"/>
          <w:color w:val="auto"/>
          <w:sz w:val="44"/>
          <w:szCs w:val="24"/>
        </w:rPr>
        <w:t>重庆市大足区“十五五”建设国际文旅名城、打造巴蜀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rPr>
      </w:pPr>
      <w:r>
        <w:rPr>
          <w:rFonts w:hint="eastAsia" w:ascii="方正小标宋_GBK" w:hAnsi="方正小标宋_GBK" w:eastAsia="方正小标宋_GBK" w:cs="方正小标宋_GBK"/>
          <w:color w:val="auto"/>
          <w:sz w:val="44"/>
          <w:szCs w:val="24"/>
        </w:rPr>
        <w:t>文化会客厅规划重大项目清单</w:t>
      </w:r>
    </w:p>
    <w:tbl>
      <w:tblPr>
        <w:tblStyle w:val="34"/>
        <w:tblW w:w="15840" w:type="dxa"/>
        <w:jc w:val="center"/>
        <w:tblLayout w:type="fixed"/>
        <w:tblCellMar>
          <w:top w:w="0" w:type="dxa"/>
          <w:left w:w="108" w:type="dxa"/>
          <w:bottom w:w="0" w:type="dxa"/>
          <w:right w:w="108" w:type="dxa"/>
        </w:tblCellMar>
      </w:tblPr>
      <w:tblGrid>
        <w:gridCol w:w="738"/>
        <w:gridCol w:w="1644"/>
        <w:gridCol w:w="5265"/>
        <w:gridCol w:w="964"/>
        <w:gridCol w:w="882"/>
        <w:gridCol w:w="1247"/>
        <w:gridCol w:w="1247"/>
        <w:gridCol w:w="1077"/>
        <w:gridCol w:w="1285"/>
        <w:gridCol w:w="1491"/>
      </w:tblGrid>
      <w:tr>
        <w:tblPrEx>
          <w:tblCellMar>
            <w:top w:w="0" w:type="dxa"/>
            <w:left w:w="108" w:type="dxa"/>
            <w:bottom w:w="0" w:type="dxa"/>
            <w:right w:w="108" w:type="dxa"/>
          </w:tblCellMar>
        </w:tblPrEx>
        <w:trPr>
          <w:trHeight w:val="567" w:hRule="atLeast"/>
          <w:tblHeader/>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主要建设内容及规模</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“十五五”工作目标</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投资类型</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开工时间/计划开工时间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计划完工时间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总投资（亿元）</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计划“十五五”期间完成投资（亿元）</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牵头责任单位</w:t>
            </w:r>
          </w:p>
        </w:tc>
      </w:tr>
      <w:tr>
        <w:tblPrEx>
          <w:tblCellMar>
            <w:top w:w="0" w:type="dxa"/>
            <w:left w:w="108" w:type="dxa"/>
            <w:bottom w:w="0" w:type="dxa"/>
            <w:right w:w="108" w:type="dxa"/>
          </w:tblCellMar>
        </w:tblPrEx>
        <w:trPr>
          <w:trHeight w:val="567" w:hRule="atLeast"/>
          <w:jc w:val="center"/>
        </w:trPr>
        <w:tc>
          <w:tcPr>
            <w:tcW w:w="15840" w:type="dxa"/>
            <w:gridSpan w:val="10"/>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（一）保护研究利用类项目</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1</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大足石刻世界文化遗产保护利用设施提升项目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sz w:val="24"/>
                <w:szCs w:val="24"/>
              </w:rPr>
            </w:pPr>
            <w:r>
              <w:rPr>
                <w:rFonts w:hint="eastAsia"/>
                <w:sz w:val="24"/>
                <w:szCs w:val="24"/>
              </w:rPr>
              <w:t>整合大足石刻研究院本部及2处闲置存量建筑（教委、文化馆）进行系统性改造与功能重置，全面升级大足石刻世界文化遗产保护研究与价值转化核心平台，集约化打造“四大中心”—学术研究中心、文物保护中心（文物医院）、文物研究中心及国际文化交流传播中心；同步对南山、石篆山、石门山景区实施保护性基础设施补缺与提档升级，改造或新建游客中心、厕所、安防消防及导览服务等配套服务设施。</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2026.</w:t>
            </w:r>
            <w:r>
              <w:rPr>
                <w:rFonts w:hint="eastAsia"/>
                <w:sz w:val="24"/>
                <w:szCs w:val="24"/>
              </w:rPr>
              <w:t>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w:t>
            </w:r>
            <w:r>
              <w:rPr>
                <w:rFonts w:hint="eastAsia"/>
                <w:sz w:val="24"/>
                <w:szCs w:val="24"/>
              </w:rPr>
              <w:t>8</w:t>
            </w:r>
            <w:r>
              <w:rPr>
                <w:sz w:val="24"/>
                <w:szCs w:val="24"/>
              </w:rPr>
              <w:t>.12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2.5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2.5</w:t>
            </w:r>
          </w:p>
        </w:tc>
        <w:tc>
          <w:tcPr>
            <w:tcW w:w="149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大足北山摩崖造像保护设施提质改造项目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sz w:val="24"/>
                <w:szCs w:val="24"/>
              </w:rPr>
            </w:pPr>
            <w:r>
              <w:rPr>
                <w:sz w:val="24"/>
                <w:szCs w:val="24"/>
              </w:rPr>
              <w:t>扩建游客中心及展示展陈用房，新建景区电瓶车道路、景区停车场、石刻景区入口管理用房、景区围墙、景区公厕</w:t>
            </w:r>
            <w:r>
              <w:rPr>
                <w:rFonts w:hint="eastAsia"/>
                <w:sz w:val="24"/>
                <w:szCs w:val="24"/>
              </w:rPr>
              <w:t>等</w:t>
            </w:r>
            <w:r>
              <w:rPr>
                <w:sz w:val="24"/>
                <w:szCs w:val="24"/>
              </w:rPr>
              <w:t>配套设施。</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2026.6</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2027.12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3</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3</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3</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大足南山摩崖造像文物保护利用设施建设项目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left"/>
              <w:textAlignment w:val="auto"/>
              <w:rPr>
                <w:sz w:val="24"/>
                <w:szCs w:val="24"/>
              </w:rPr>
            </w:pPr>
            <w:r>
              <w:rPr>
                <w:sz w:val="24"/>
                <w:szCs w:val="24"/>
              </w:rPr>
              <w:t>改造南山石刻景区游客中心、文物区管理用房。新建景区内厕所、景区围墙、游步道、文物区消防</w:t>
            </w:r>
            <w:r>
              <w:rPr>
                <w:rFonts w:hint="eastAsia"/>
                <w:sz w:val="24"/>
                <w:szCs w:val="24"/>
              </w:rPr>
              <w:t>通道</w:t>
            </w:r>
            <w:r>
              <w:rPr>
                <w:sz w:val="24"/>
                <w:szCs w:val="24"/>
              </w:rPr>
              <w:t>、给水管网、排污管网、景区生态停车场</w:t>
            </w:r>
            <w:r>
              <w:rPr>
                <w:rFonts w:hint="eastAsia"/>
                <w:sz w:val="24"/>
                <w:szCs w:val="24"/>
              </w:rPr>
              <w:t>、</w:t>
            </w:r>
            <w:r>
              <w:rPr>
                <w:sz w:val="24"/>
                <w:szCs w:val="24"/>
              </w:rPr>
              <w:t>增设标识标牌、环卫设施，配套建设水、电、气、通讯、安防、消防、综合管网等附属工程，开展绿化环境整治等。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2027.1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2027.12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0.5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0.5</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4</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大足石门山摩崖造像文物保护利用设施建设项目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left"/>
              <w:textAlignment w:val="auto"/>
              <w:rPr>
                <w:sz w:val="24"/>
                <w:szCs w:val="24"/>
              </w:rPr>
            </w:pPr>
            <w:r>
              <w:rPr>
                <w:sz w:val="24"/>
                <w:szCs w:val="24"/>
              </w:rPr>
              <w:t>新建石门山游客服务中心、专用智慧停车场、外围连接路、入口大门、增设标识标牌、环卫设施，配套建设水、电、气、通讯、安防、消防、综合管网等附属工程，开展绿化环境整治等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2028.3</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2029.6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0.3</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0.3</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5</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大足石篆山摩崖造像文物保护利用设施建设项目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left"/>
              <w:textAlignment w:val="auto"/>
              <w:rPr>
                <w:sz w:val="24"/>
                <w:szCs w:val="24"/>
              </w:rPr>
            </w:pPr>
            <w:r>
              <w:rPr>
                <w:sz w:val="24"/>
                <w:szCs w:val="24"/>
              </w:rPr>
              <w:t>新建石篆山石刻景区游客服务中心、环景区过境连接道路、景区停车场、景区入口管理用房、景区围墙、景区公厕、游步道，配套建设水、电、气、通讯、安防、消防、综合管网等附属工程，开展绿化环境整治，拆迁改造房屋。</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2028.3</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2029.6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0.3</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0.3</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6</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大足宝顶山摩崖造像保护利用设施提升工程</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left"/>
              <w:textAlignment w:val="auto"/>
              <w:rPr>
                <w:sz w:val="24"/>
                <w:szCs w:val="24"/>
              </w:rPr>
            </w:pPr>
            <w:r>
              <w:rPr>
                <w:sz w:val="24"/>
                <w:szCs w:val="24"/>
              </w:rPr>
              <w:t>新建广大寺片区景区围墙、实施广大寺片区房屋风貌改造，新建游步道工程、绿化及整治等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2026.1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2026.12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0.2</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0.2</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7</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大足宝顶山景区10kv双电源电力基础设施建设项目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建设10kv高压线路5km，地埋电缆管沟5km，环网柜两进八出，T接点宝棠大道变电站。</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sz w:val="24"/>
                <w:szCs w:val="24"/>
                <w:lang w:val="en-US" w:eastAsia="zh-CN"/>
              </w:rPr>
            </w:pPr>
            <w:r>
              <w:rPr>
                <w:sz w:val="24"/>
                <w:szCs w:val="24"/>
              </w:rPr>
              <w:t>202</w:t>
            </w:r>
            <w:r>
              <w:rPr>
                <w:rFonts w:hint="eastAsia"/>
                <w:sz w:val="24"/>
                <w:szCs w:val="24"/>
                <w:lang w:val="en-US" w:eastAsia="zh-CN"/>
              </w:rPr>
              <w:t>8</w:t>
            </w:r>
            <w:r>
              <w:rPr>
                <w:sz w:val="24"/>
                <w:szCs w:val="24"/>
              </w:rPr>
              <w:t>.</w:t>
            </w:r>
            <w:r>
              <w:rPr>
                <w:rFonts w:hint="eastAsia"/>
                <w:sz w:val="24"/>
                <w:szCs w:val="24"/>
                <w:lang w:val="en-US" w:eastAsia="zh-CN"/>
              </w:rPr>
              <w:t>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w:t>
            </w:r>
            <w:r>
              <w:rPr>
                <w:rFonts w:hint="eastAsia"/>
                <w:sz w:val="24"/>
                <w:szCs w:val="24"/>
                <w:lang w:val="en-US" w:eastAsia="zh-CN"/>
              </w:rPr>
              <w:t>9</w:t>
            </w:r>
            <w:r>
              <w:rPr>
                <w:sz w:val="24"/>
                <w:szCs w:val="24"/>
              </w:rPr>
              <w:t>.12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0.2</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0.2</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8</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大足北山、南山景区10kv双电源电力基础设施建设项目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北山线路总长8km，架空5km，地埋电缆3km，高压环网柜两进四出，T接点中敖变电站。南山线路总长5km，架空3km，地埋电缆2km，高压环网柜两进四出，T接点西禅变电站</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w:t>
            </w:r>
            <w:r>
              <w:rPr>
                <w:rFonts w:hint="eastAsia"/>
                <w:sz w:val="24"/>
                <w:szCs w:val="24"/>
              </w:rPr>
              <w:t>9</w:t>
            </w:r>
            <w:r>
              <w:rPr>
                <w:sz w:val="24"/>
                <w:szCs w:val="24"/>
              </w:rPr>
              <w:t>.</w:t>
            </w:r>
            <w:r>
              <w:rPr>
                <w:rFonts w:hint="eastAsia"/>
                <w:sz w:val="24"/>
                <w:szCs w:val="24"/>
              </w:rPr>
              <w:t>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w:t>
            </w:r>
            <w:r>
              <w:rPr>
                <w:rFonts w:hint="eastAsia"/>
                <w:sz w:val="24"/>
                <w:szCs w:val="24"/>
              </w:rPr>
              <w:t>30</w:t>
            </w:r>
            <w:r>
              <w:rPr>
                <w:sz w:val="24"/>
                <w:szCs w:val="24"/>
              </w:rPr>
              <w:t>.12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0.2</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0.2</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9</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大足石刻文物库房项目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新建大足石刻文物库房，建筑面积3000㎡</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2028.1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2028.12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0.3</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0.3</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10</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大足石刻博物馆</w:t>
            </w:r>
            <w:r>
              <w:rPr>
                <w:rFonts w:hint="eastAsia"/>
                <w:sz w:val="24"/>
                <w:szCs w:val="24"/>
              </w:rPr>
              <w:t>改造提升</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保留已有基本陈列</w:t>
            </w:r>
            <w:r>
              <w:rPr>
                <w:rFonts w:hint="eastAsia"/>
                <w:sz w:val="24"/>
                <w:szCs w:val="24"/>
              </w:rPr>
              <w:t>主体部分</w:t>
            </w:r>
            <w:r>
              <w:rPr>
                <w:sz w:val="24"/>
                <w:szCs w:val="24"/>
              </w:rPr>
              <w:t>，</w:t>
            </w:r>
            <w:r>
              <w:rPr>
                <w:rFonts w:hint="eastAsia"/>
                <w:sz w:val="24"/>
                <w:szCs w:val="24"/>
              </w:rPr>
              <w:t>改造</w:t>
            </w:r>
            <w:r>
              <w:rPr>
                <w:sz w:val="24"/>
                <w:szCs w:val="24"/>
              </w:rPr>
              <w:t>包括大足石刻博物馆南门至北门出口区域、顶部阁楼、负一层临展厅、负三楼环幕影院</w:t>
            </w:r>
            <w:r>
              <w:rPr>
                <w:rFonts w:hint="eastAsia"/>
                <w:sz w:val="24"/>
                <w:szCs w:val="24"/>
              </w:rPr>
              <w:t>等区域</w:t>
            </w:r>
            <w:r>
              <w:rPr>
                <w:sz w:val="24"/>
                <w:szCs w:val="24"/>
              </w:rPr>
              <w:t>。</w:t>
            </w:r>
            <w:r>
              <w:rPr>
                <w:rFonts w:hint="eastAsia"/>
                <w:sz w:val="24"/>
                <w:szCs w:val="24"/>
              </w:rPr>
              <w:t>推动</w:t>
            </w:r>
            <w:r>
              <w:rPr>
                <w:sz w:val="24"/>
                <w:szCs w:val="24"/>
              </w:rPr>
              <w:t>巴蜀石窟专题展</w:t>
            </w:r>
            <w:r>
              <w:rPr>
                <w:rFonts w:hint="eastAsia"/>
                <w:sz w:val="24"/>
                <w:szCs w:val="24"/>
              </w:rPr>
              <w:t>策划实施，优化临展厅功能及配套设施，更新展柜、灯光，增加便民通道和设施，促进其他空间的合理、有效利用。</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2026.1</w:t>
            </w:r>
            <w:r>
              <w:rPr>
                <w:rFonts w:hint="eastAsia"/>
                <w:sz w:val="24"/>
                <w:szCs w:val="24"/>
              </w:rPr>
              <w:t>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w:t>
            </w:r>
            <w:r>
              <w:rPr>
                <w:rFonts w:hint="eastAsia"/>
                <w:sz w:val="24"/>
                <w:szCs w:val="24"/>
              </w:rPr>
              <w:t>8</w:t>
            </w:r>
            <w:r>
              <w:rPr>
                <w:sz w:val="24"/>
                <w:szCs w:val="24"/>
              </w:rPr>
              <w:t>.</w:t>
            </w:r>
            <w:r>
              <w:rPr>
                <w:rFonts w:hint="eastAsia"/>
                <w:sz w:val="24"/>
                <w:szCs w:val="24"/>
              </w:rPr>
              <w:t>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w:t>
            </w:r>
            <w:r>
              <w:rPr>
                <w:rFonts w:hint="eastAsia"/>
                <w:sz w:val="24"/>
                <w:szCs w:val="24"/>
              </w:rPr>
              <w:t>77</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w:t>
            </w:r>
            <w:r>
              <w:rPr>
                <w:rFonts w:hint="eastAsia"/>
                <w:sz w:val="24"/>
                <w:szCs w:val="24"/>
              </w:rPr>
              <w:t>77</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11</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大足妙高山、舒成岩摩崖造像文物保护利用设施建设项目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项目</w:t>
            </w:r>
            <w:r>
              <w:rPr>
                <w:rFonts w:hint="eastAsia"/>
                <w:sz w:val="24"/>
                <w:szCs w:val="24"/>
              </w:rPr>
              <w:t>占地约</w:t>
            </w:r>
            <w:r>
              <w:rPr>
                <w:sz w:val="24"/>
                <w:szCs w:val="24"/>
              </w:rPr>
              <w:t>30亩。新建妙高山游客服务中心、舒成岩游客服务中心、管理用房、游客参观步道、旅游专用智慧停车场、外围连接路、景区入口大门等基础设施。</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国家投资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2023.1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2030.12</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0.3</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0.3</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567" w:hRule="atLeast"/>
          <w:jc w:val="center"/>
        </w:trPr>
        <w:tc>
          <w:tcPr>
            <w:tcW w:w="15840" w:type="dxa"/>
            <w:gridSpan w:val="10"/>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（二）三山一城项目</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1</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宝顶山倒塔老街片区功能提升（一期）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倒塔基础设施及周边环境提升、文创驿站约250㎡改造及周边环境提升、焚香池外侧农田约23亩提升、完善电瓶车道1km等项目。</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2025.1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0.31</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0.31</w:t>
            </w:r>
          </w:p>
        </w:tc>
        <w:tc>
          <w:tcPr>
            <w:tcW w:w="149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大足石刻研究院、文旅集团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宝顶山倒塔老街片区功能提升（二期）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新建波宫出口风雨连廊约230m、新建老街出口停车场新建厕所约200㎡、新建广大寺索桥约115m、广大寺民宿连接道约1km、宝顶书院外围景观提升约300㎡、龙头山露营基地及配套设施建设；新建老街农贸市场约400㎡、水厂改造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2026.9</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0.348</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0.348</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大足石刻研究院、文旅集团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3</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宝顶山南北宋街功能提升（一期）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南北宋街约1.4万㎡酒店装修及周边景观提升，新建南宋街车行桥、南宋街南侧道路等项目</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2025.1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0.49</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0.49</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4</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宝顶山南北宋街功能提升（二期）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新建南北宋街核心景观改造约10万㎡、演绎中心、防火瞭望塔7层、丰收水库停车场约1.3万㎡、南北宋街周边道路及景观提升、佛缘山庄片区停车场项目等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2026.9</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0.9</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0.9</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大足石刻研究院、文旅集团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5</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宝顶山游客中心片区</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新建游客中心后雕塑停车场，占地面积约23亩</w:t>
            </w:r>
            <w:r>
              <w:rPr>
                <w:rFonts w:hint="eastAsia"/>
                <w:sz w:val="24"/>
                <w:szCs w:val="24"/>
              </w:rPr>
              <w:t>；</w:t>
            </w:r>
            <w:r>
              <w:rPr>
                <w:sz w:val="24"/>
                <w:szCs w:val="24"/>
              </w:rPr>
              <w:t>对高铁片区、荷花山庄、游客中心、宝顶镇、跳水鱼一条街等片区统筹进行商业策划及功能提升。</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2026.9</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0.495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0.495</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大足石刻研究院、宝顶镇、文旅集团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6</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宝顶学堂</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sz w:val="24"/>
                <w:szCs w:val="24"/>
              </w:rPr>
              <w:t>占地面积约22亩，房屋建筑面积约5157㎡；房屋结构加固；室内装饰、研学设施设备采购，周边环境整治，项目投资及运营管理。</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2025.12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2026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0.185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0.185</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文旅集团、区教委</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7</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大足三山一城</w:t>
            </w:r>
            <w:r>
              <w:rPr>
                <w:rFonts w:hint="eastAsia"/>
                <w:sz w:val="24"/>
                <w:szCs w:val="24"/>
              </w:rPr>
              <w:t>“</w:t>
            </w:r>
            <w:r>
              <w:rPr>
                <w:sz w:val="24"/>
                <w:szCs w:val="24"/>
              </w:rPr>
              <w:t>北山片区</w:t>
            </w:r>
            <w:r>
              <w:rPr>
                <w:rFonts w:hint="eastAsia"/>
                <w:sz w:val="24"/>
                <w:szCs w:val="24"/>
              </w:rPr>
              <w:t>”</w:t>
            </w:r>
            <w:r>
              <w:rPr>
                <w:sz w:val="24"/>
                <w:szCs w:val="24"/>
              </w:rPr>
              <w:t>（一期）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sz w:val="24"/>
                <w:szCs w:val="24"/>
              </w:rPr>
              <w:t>新建北山景区临时停车场1处，总占地面积约53亩，拟建设约550个临时停车位及停车管理系统，配套管理用房约200㎡；新建北山游客中心建筑面积约353平方米及停车场（一期）；对北塔寺周边面积约30亩地进行环境进行整治；新建游客中心至原停车场电瓶车道长360米，宽5.2米，改造电瓶车道长350米，宽5.2米，新建专用电瓶车道长413米，宽3米；新建步行道约110米，改扩建步行道约470米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2025.1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2026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0.37</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0.37</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8</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大足三山一城</w:t>
            </w:r>
            <w:r>
              <w:rPr>
                <w:rFonts w:hint="eastAsia"/>
                <w:sz w:val="24"/>
                <w:szCs w:val="24"/>
              </w:rPr>
              <w:t>“</w:t>
            </w:r>
            <w:r>
              <w:rPr>
                <w:sz w:val="24"/>
                <w:szCs w:val="24"/>
              </w:rPr>
              <w:t>北山片区</w:t>
            </w:r>
            <w:r>
              <w:rPr>
                <w:rFonts w:hint="eastAsia"/>
                <w:sz w:val="24"/>
                <w:szCs w:val="24"/>
              </w:rPr>
              <w:t>”</w:t>
            </w:r>
            <w:r>
              <w:rPr>
                <w:sz w:val="24"/>
                <w:szCs w:val="24"/>
              </w:rPr>
              <w:t>（二期）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sz w:val="24"/>
                <w:szCs w:val="24"/>
              </w:rPr>
              <w:t>新建北山景区游客中心二期，占地面积约28亩，建筑面积约1000平方米，景观及停车场面积约6100平方米</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2026.1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0.222</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0.222</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9</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大足</w:t>
            </w:r>
            <w:r>
              <w:rPr>
                <w:rFonts w:hint="eastAsia"/>
                <w:sz w:val="24"/>
                <w:szCs w:val="24"/>
              </w:rPr>
              <w:t>“</w:t>
            </w:r>
            <w:r>
              <w:rPr>
                <w:sz w:val="24"/>
                <w:szCs w:val="24"/>
              </w:rPr>
              <w:t>三山一城</w:t>
            </w:r>
            <w:r>
              <w:rPr>
                <w:rFonts w:hint="eastAsia"/>
                <w:sz w:val="24"/>
                <w:szCs w:val="24"/>
              </w:rPr>
              <w:t>”</w:t>
            </w:r>
            <w:r>
              <w:rPr>
                <w:sz w:val="24"/>
                <w:szCs w:val="24"/>
              </w:rPr>
              <w:t>南山片区功能提升二期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sz w:val="24"/>
                <w:szCs w:val="24"/>
              </w:rPr>
              <w:t>新建南山北入口牌坊，景区内部景观提升、厕所提升、新建电瓶车道约360米；游客中心建筑改造，植物园片区改造提升，原有停车场改造、步道提升600米，新增100米，福寿文化雕塑等；一棵树片区提升改造及新增建筑；电视塔形象提升、连接电视塔至防火通道步道及至翠屏步道，共计约1150米。</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2025.1</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2026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0.271</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0.271</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sz w:val="24"/>
                <w:szCs w:val="24"/>
              </w:rPr>
              <w:t>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10</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广大寺、宝顶镇小住旁民宿群落项目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改造广大寺24栋民房民宿，占地面积约377.27亩，建筑面积约6000m²；改造宝顶镇小住旁占地面积约20亩，5栋民房建筑面积约800m²及配套设施，项目投资及运营管理。</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2026.12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2028</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11</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厢子沟民宿群落项目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改造厢子沟40栋民房民宿，占地面积约192.27亩，建筑面积约8000m²及配套设施，项目投资及运营管理。</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2026.12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2028</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1.05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1.05</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12</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大足区棠香人家精品民宿群建设项目（民宿建设项目）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占地约72亩，主要包含新婚庆中心、会议中心和民宿及酒店。（一）婚庆中心：建筑面积约8958㎡，其中婚庆配套3072㎡、宴会厅5886㎡；（二）会议展示中心：建筑面积约7680㎡，其中会议中心3180㎡、展览厅2500㎡、商业配套2000㎡；（三）乡野别院：建筑面积约5890㎡，共24栋民宿，房间约120间；（四）酒店：建筑面积约5700㎡，房间约100间。</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2026.12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2028</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13</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荷花山庄开发用地</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位于宝顶镇荷花山庄内，占地面积约45亩，建筑面积约60000㎡。</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2026.12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2028</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2.5</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区住房城乡建委、文旅集团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14</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大足石刻北山景区索道项目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sz w:val="24"/>
                <w:szCs w:val="24"/>
              </w:rPr>
            </w:pPr>
            <w:r>
              <w:rPr>
                <w:sz w:val="24"/>
                <w:szCs w:val="24"/>
              </w:rPr>
              <w:t>建设总长度约500m，修建配套用房等设施；项目投资及运营管理。</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2026.12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0.3</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0.3</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大足石刻研究院、文旅集团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15</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宝顶之光艺术院落</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sz w:val="24"/>
                <w:szCs w:val="24"/>
              </w:rPr>
            </w:pPr>
            <w:r>
              <w:rPr>
                <w:sz w:val="24"/>
                <w:szCs w:val="24"/>
              </w:rPr>
              <w:t>位于宝顶景区北宋街北侧，占地面积约29亩，建筑面积约15000㎡，打造艺术创作、度假、康养、禅修等民宿，项目投资及运营管理。</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2026.12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大足石刻研究院、文旅集团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16</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大足石刻科技演艺项目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sz w:val="24"/>
                <w:szCs w:val="24"/>
              </w:rPr>
            </w:pPr>
            <w:r>
              <w:rPr>
                <w:sz w:val="24"/>
                <w:szCs w:val="24"/>
              </w:rPr>
              <w:t>暂定利用游客中心周边地块打造具有科技感、沉浸式体验的精品剧目。项目占地约20亩，项目投资及运营管理。</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2026.12</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1</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1</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文旅集团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17</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高铁新城TOD项目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sz w:val="24"/>
                <w:szCs w:val="24"/>
              </w:rPr>
            </w:pPr>
            <w:r>
              <w:rPr>
                <w:sz w:val="24"/>
                <w:szCs w:val="24"/>
              </w:rPr>
              <w:t>实施大足石刻高铁站文旅商服综合体及配套设施建设、站南路、S302麻雀湾路口至周家院子改线道路、化龙溪高铁站段综合治理、宝顶荷花山庄、宝顶文旅小镇整治提升项目。</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财政+国资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2025</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6.8</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6.8</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发展集团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18</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海棠国际CBD项目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sz w:val="24"/>
                <w:szCs w:val="24"/>
              </w:rPr>
            </w:pPr>
            <w:r>
              <w:rPr>
                <w:sz w:val="24"/>
                <w:szCs w:val="24"/>
              </w:rPr>
              <w:t>项目占地面积约50亩。项目包括超高层（塔楼）改造、裙楼、地面广场景观等，主要建设用途为地下车库、公寓、酒店及配套设施等。其中超高层（塔楼）改造建筑面积约8.2万㎡；裙楼建筑面积约3.2万㎡；广场环境景观约40亩，打造</w:t>
            </w:r>
            <w:r>
              <w:rPr>
                <w:rFonts w:hint="eastAsia"/>
                <w:sz w:val="24"/>
                <w:szCs w:val="24"/>
              </w:rPr>
              <w:t>“</w:t>
            </w:r>
            <w:r>
              <w:rPr>
                <w:sz w:val="24"/>
                <w:szCs w:val="24"/>
              </w:rPr>
              <w:t>主客共享</w:t>
            </w:r>
            <w:r>
              <w:rPr>
                <w:rFonts w:hint="eastAsia"/>
                <w:sz w:val="24"/>
                <w:szCs w:val="24"/>
              </w:rPr>
              <w:t>”</w:t>
            </w:r>
            <w:r>
              <w:rPr>
                <w:sz w:val="24"/>
                <w:szCs w:val="24"/>
              </w:rPr>
              <w:t>潮玩运动公园。</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2025</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6.4</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6.4</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sz w:val="24"/>
                <w:szCs w:val="24"/>
              </w:rPr>
              <w:t>发展集团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19</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实施母城城市更新（龙中路片区）一期，打造母城片区</w:t>
            </w:r>
            <w:r>
              <w:rPr>
                <w:sz w:val="24"/>
                <w:szCs w:val="24"/>
              </w:rPr>
              <w:t>10</w:t>
            </w:r>
            <w:r>
              <w:rPr>
                <w:rFonts w:hint="eastAsia"/>
                <w:sz w:val="24"/>
                <w:szCs w:val="24"/>
              </w:rPr>
              <w:t>大特色街区，增强“吃、住、游、购、娱”服务功能</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rFonts w:hint="eastAsia"/>
                <w:sz w:val="24"/>
                <w:szCs w:val="24"/>
              </w:rPr>
              <w:t>持续推进龙中路文化街区（大足印象魔幻光影秀）、工农北巷美食街区、国梁路特色服饰街区、丁家坡好吃街、滨河路滨水休闲街区、龙岗中路步行街、双塔路、县衙夜市（复兴街）、北环一路、北山路等</w:t>
            </w:r>
            <w:r>
              <w:rPr>
                <w:sz w:val="24"/>
                <w:szCs w:val="24"/>
              </w:rPr>
              <w:t>10</w:t>
            </w:r>
            <w:r>
              <w:rPr>
                <w:rFonts w:hint="eastAsia"/>
                <w:sz w:val="24"/>
                <w:szCs w:val="24"/>
              </w:rPr>
              <w:t>大特色街区建设，升级夜景灯饰和夜市环境，积极争创市级夜间经济示范区和4A级景区。在濑溪河上打造游船画舫项目，原公路养护中心打造文化院落，对龙中路原公路养护中心进行加固，并打造城市记忆馆、报恩寺茶馆、青年美术馆、书店等业态。</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2026</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0.45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0.45</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发展（开创）集团、海棠新城开发区、区住房城乡建委</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20</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昌州古城宋式文化街区文旅提升（昌州古城片区城市更新一期）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rFonts w:hint="eastAsia"/>
                <w:sz w:val="24"/>
                <w:szCs w:val="24"/>
              </w:rPr>
              <w:t>主要包括昌州古城片区整体更新提升，完善推出“一念·大足”水秀，丰富昌州古城夜间消费内容，常态化开展非遗巡演，丰富昌州戏苑节目表演，推陈出新百姓广场非遗表演，精心推出沉浸式特色文化餐秀。同步实施配套设施设备完善停车场修建，建筑外立面改造，街区形象提升，文化植入，公共区域装修利用等内容。</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2026</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0.5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0.5</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发展（开创）集团</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21</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晟耀酒店</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rFonts w:hint="eastAsia"/>
                <w:sz w:val="24"/>
                <w:szCs w:val="24"/>
              </w:rPr>
              <w:t>大力提升昌州古城游客住宿接待能力，力争晟耀酒店于2026年底完工投用。项目用地面积约</w:t>
            </w:r>
            <w:r>
              <w:rPr>
                <w:sz w:val="24"/>
                <w:szCs w:val="24"/>
              </w:rPr>
              <w:t>9</w:t>
            </w:r>
            <w:r>
              <w:rPr>
                <w:rFonts w:hint="eastAsia"/>
                <w:sz w:val="24"/>
                <w:szCs w:val="24"/>
              </w:rPr>
              <w:t>.</w:t>
            </w:r>
            <w:r>
              <w:rPr>
                <w:sz w:val="24"/>
                <w:szCs w:val="24"/>
              </w:rPr>
              <w:t>3</w:t>
            </w:r>
            <w:r>
              <w:rPr>
                <w:rFonts w:hint="eastAsia"/>
                <w:sz w:val="24"/>
                <w:szCs w:val="24"/>
              </w:rPr>
              <w:t>亩，总投资约</w:t>
            </w:r>
            <w:r>
              <w:rPr>
                <w:sz w:val="24"/>
                <w:szCs w:val="24"/>
              </w:rPr>
              <w:t>2</w:t>
            </w:r>
            <w:r>
              <w:rPr>
                <w:rFonts w:hint="eastAsia"/>
                <w:sz w:val="24"/>
                <w:szCs w:val="24"/>
              </w:rPr>
              <w:t>.</w:t>
            </w:r>
            <w:r>
              <w:rPr>
                <w:sz w:val="24"/>
                <w:szCs w:val="24"/>
              </w:rPr>
              <w:t>08</w:t>
            </w:r>
            <w:r>
              <w:rPr>
                <w:rFonts w:hint="eastAsia"/>
                <w:sz w:val="24"/>
                <w:szCs w:val="24"/>
              </w:rPr>
              <w:t>亿元，主要建设大堂接待区、住宿用房、餐饮用房、办公用房、活动用房、后勤服务用房、车库及设备用房、室外活动场等内容，建筑面积共</w:t>
            </w:r>
            <w:r>
              <w:rPr>
                <w:sz w:val="24"/>
                <w:szCs w:val="24"/>
              </w:rPr>
              <w:t>16880m2</w:t>
            </w:r>
            <w:r>
              <w:rPr>
                <w:rFonts w:hint="eastAsia"/>
                <w:sz w:val="24"/>
                <w:szCs w:val="24"/>
              </w:rPr>
              <w:t>。</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2026</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2026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2</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2</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区商务委、海棠新城开发区、区文化旅游委</w:t>
            </w:r>
          </w:p>
        </w:tc>
      </w:tr>
      <w:tr>
        <w:tblPrEx>
          <w:tblCellMar>
            <w:top w:w="0" w:type="dxa"/>
            <w:left w:w="108" w:type="dxa"/>
            <w:bottom w:w="0" w:type="dxa"/>
            <w:right w:w="108" w:type="dxa"/>
          </w:tblCellMar>
        </w:tblPrEx>
        <w:trPr>
          <w:trHeight w:val="567" w:hRule="atLeast"/>
          <w:jc w:val="center"/>
        </w:trPr>
        <w:tc>
          <w:tcPr>
            <w:tcW w:w="15840" w:type="dxa"/>
            <w:gridSpan w:val="10"/>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（三）大足石刻文创园项目</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1</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建设富瑞雕塑与工艺品项目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rFonts w:hint="eastAsia"/>
                <w:sz w:val="24"/>
                <w:szCs w:val="24"/>
              </w:rPr>
              <w:t>占地45亩，建筑面积约3万方，续建建筑面积约8000方。雕塑与工艺品设计与生产、研发大楼、职工宿舍等。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2026</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w:t>
            </w:r>
          </w:p>
        </w:tc>
        <w:tc>
          <w:tcPr>
            <w:tcW w:w="1491"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大足高新区</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2</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玉见未来•珠宝玉石生态链示范基地项目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rFonts w:hint="eastAsia"/>
                <w:sz w:val="24"/>
                <w:szCs w:val="24"/>
              </w:rPr>
              <w:t>租用社会国有房屋，打造集设计加工、研讨交流、展示展销、互动体验、研学实践、游客服务等多元功能于一体的珠宝玉石生态链示范基地。</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2026</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2026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1</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1</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大足高新区</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3</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西部国际珍珠产业园项目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rFonts w:hint="eastAsia"/>
                <w:sz w:val="24"/>
                <w:szCs w:val="24"/>
              </w:rPr>
              <w:t>租用社会房屋建筑面积3800平方米，建设珍珠加工、展示批发、直播带货、人才培训等多元功能于一体的西部国际珍珠产业园。</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2026</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2026</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0.3</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0.3</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大足高新区</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4</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粮仓1958众创空间建设项目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rPr>
                <w:sz w:val="24"/>
                <w:szCs w:val="24"/>
              </w:rPr>
            </w:pPr>
            <w:r>
              <w:rPr>
                <w:rFonts w:hint="eastAsia"/>
                <w:sz w:val="24"/>
                <w:szCs w:val="24"/>
              </w:rPr>
              <w:t>改造三驱老粮站片区，建筑面积约12066㎡，包括部分保障性住房装修，建筑物修缮，外立面提档升级，完善基础配套管网、基础设施等，打造以金丝楠木文化展示、生产加工、销售体验为主的文旅商宿综合体</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2026</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2027</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0.39</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lang w:val="en-US" w:eastAsia="zh-CN"/>
              </w:rPr>
              <w:t>0.39</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rPr>
                <w:sz w:val="24"/>
                <w:szCs w:val="24"/>
              </w:rPr>
            </w:pPr>
            <w:r>
              <w:rPr>
                <w:rFonts w:hint="eastAsia"/>
                <w:sz w:val="24"/>
                <w:szCs w:val="24"/>
              </w:rPr>
              <w:t>大足高新区、高科集团</w:t>
            </w:r>
          </w:p>
        </w:tc>
      </w:tr>
      <w:tr>
        <w:tblPrEx>
          <w:tblCellMar>
            <w:top w:w="0" w:type="dxa"/>
            <w:left w:w="108" w:type="dxa"/>
            <w:bottom w:w="0" w:type="dxa"/>
            <w:right w:w="108" w:type="dxa"/>
          </w:tblCellMar>
        </w:tblPrEx>
        <w:trPr>
          <w:trHeight w:val="567" w:hRule="atLeast"/>
          <w:jc w:val="center"/>
        </w:trPr>
        <w:tc>
          <w:tcPr>
            <w:tcW w:w="15840" w:type="dxa"/>
            <w:gridSpan w:val="10"/>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（四）龙水湖项目</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1</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禅乐寺片区环境整治及民宿打造</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禅乐寺周边景观提升；民宿项目占地约31.5亩，建筑面积约2672㎡。建设内容包括现状场地平整、现状建筑土建改造、部分建筑拆除、室内装修、室外配套建设道路、观景平台、景观工程等。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w:t>
            </w:r>
            <w:r>
              <w:rPr>
                <w:rFonts w:hint="eastAsia"/>
                <w:sz w:val="24"/>
                <w:szCs w:val="24"/>
              </w:rPr>
              <w:t>6</w:t>
            </w:r>
            <w:r>
              <w:rPr>
                <w:sz w:val="24"/>
                <w:szCs w:val="24"/>
              </w:rPr>
              <w:t>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202</w:t>
            </w:r>
            <w:r>
              <w:rPr>
                <w:rFonts w:hint="eastAsia"/>
                <w:sz w:val="24"/>
                <w:szCs w:val="24"/>
              </w:rPr>
              <w:t>8</w:t>
            </w:r>
            <w:r>
              <w:rPr>
                <w:sz w:val="24"/>
                <w:szCs w:val="24"/>
              </w:rPr>
              <w:t>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0.27</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0.27</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龙水湖度假区发展中心、新双圈公司</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2</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大足双桥及龙水湖绿色智慧整体提升项目（龙水湖景区环湖核心区）</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rFonts w:hint="eastAsia"/>
                <w:sz w:val="24"/>
                <w:szCs w:val="24"/>
              </w:rPr>
              <w:t>按打造国家级旅游度假区需求及建设时序分项目实施：新建环月亮湾城景融合试点；完善生态停车场；环湖贯通线；休憩设施、旅游厕所、光伏路灯等配套设施；建设经营服务点、解说系统、二销经营站点、消费引导标识、医疗服务、生态鱼养殖点；提档升级游客中心、滨湖特色小吃街、新业态场景等项目</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2026年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2029年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新双圈公司</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3</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大足双桥及龙水湖绿色智慧整体提升项目（龙水湖景区巴岳山片区）</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rFonts w:hint="eastAsia"/>
                <w:sz w:val="24"/>
                <w:szCs w:val="24"/>
              </w:rPr>
              <w:t>按打造国家级旅游度假区需求及建设时序分项目实施：启动禅乐寺民宿提升改造、登山步道、滑轨、森林观景台、瞭望台（标志景观）及配套基础设施</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国资</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2026年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2029年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1.0</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1.0</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新双圈公司</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4</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龙水湖树顶漫步自然教育基地</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rFonts w:hint="eastAsia"/>
                <w:sz w:val="24"/>
                <w:szCs w:val="24"/>
              </w:rPr>
              <w:t>建设科普步道、云端旋转滑梯、“森林之眼”观景塔、无动力运动设施、运动训练、水上运动体验（注：点状分布，由岸到水面约2000平方米左右）、冰雪体验、自然体验等设施项目。</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2026年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2028年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2.00</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2.0</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龙水湖度假区发展中心、林业局、新双圈公司</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5</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龙水湖国际越野基地</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left"/>
              <w:textAlignment w:val="auto"/>
              <w:rPr>
                <w:sz w:val="24"/>
                <w:szCs w:val="24"/>
              </w:rPr>
            </w:pPr>
            <w:r>
              <w:rPr>
                <w:sz w:val="24"/>
                <w:szCs w:val="24"/>
              </w:rPr>
              <w:t>围绕龙水湖打造国际越野赛车基地。</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202</w:t>
            </w:r>
            <w:r>
              <w:rPr>
                <w:rFonts w:hint="eastAsia"/>
                <w:sz w:val="24"/>
                <w:szCs w:val="24"/>
              </w:rPr>
              <w:t>7</w:t>
            </w:r>
            <w:r>
              <w:rPr>
                <w:sz w:val="24"/>
                <w:szCs w:val="24"/>
              </w:rPr>
              <w:t>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202</w:t>
            </w:r>
            <w:r>
              <w:rPr>
                <w:rFonts w:hint="eastAsia"/>
                <w:sz w:val="24"/>
                <w:szCs w:val="24"/>
              </w:rPr>
              <w:t>9</w:t>
            </w:r>
            <w:r>
              <w:rPr>
                <w:sz w:val="24"/>
                <w:szCs w:val="24"/>
              </w:rPr>
              <w:t>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0.3</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0.3</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龙水湖度假区发展中心、新双圈公司</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rFonts w:hint="eastAsia"/>
                <w:sz w:val="24"/>
                <w:szCs w:val="24"/>
                <w:lang w:eastAsia="zh-CN"/>
              </w:rPr>
            </w:pPr>
            <w:r>
              <w:rPr>
                <w:rFonts w:hint="eastAsia"/>
                <w:sz w:val="24"/>
                <w:szCs w:val="24"/>
                <w:lang w:val="en-US" w:eastAsia="zh-CN"/>
              </w:rPr>
              <w:t>6</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龙水湖小河片区田园艺术村落</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left"/>
              <w:textAlignment w:val="auto"/>
              <w:rPr>
                <w:sz w:val="24"/>
                <w:szCs w:val="24"/>
              </w:rPr>
            </w:pPr>
            <w:r>
              <w:rPr>
                <w:sz w:val="24"/>
                <w:szCs w:val="24"/>
              </w:rPr>
              <w:t>在小河片区发展民宿＋乡村旅游，基础配套设施建设。</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202</w:t>
            </w:r>
            <w:r>
              <w:rPr>
                <w:rFonts w:hint="eastAsia"/>
                <w:sz w:val="24"/>
                <w:szCs w:val="24"/>
              </w:rPr>
              <w:t>6</w:t>
            </w:r>
            <w:r>
              <w:rPr>
                <w:sz w:val="24"/>
                <w:szCs w:val="24"/>
              </w:rPr>
              <w:t>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202</w:t>
            </w:r>
            <w:r>
              <w:rPr>
                <w:rFonts w:hint="eastAsia"/>
                <w:sz w:val="24"/>
                <w:szCs w:val="24"/>
              </w:rPr>
              <w:t>8</w:t>
            </w:r>
            <w:r>
              <w:rPr>
                <w:sz w:val="24"/>
                <w:szCs w:val="24"/>
              </w:rPr>
              <w:t>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1</w:t>
            </w:r>
            <w:r>
              <w:rPr>
                <w:sz w:val="24"/>
                <w:szCs w:val="24"/>
              </w:rPr>
              <w:t>.5</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1</w:t>
            </w:r>
            <w:r>
              <w:rPr>
                <w:sz w:val="24"/>
                <w:szCs w:val="24"/>
              </w:rPr>
              <w:t>.5</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sz w:val="24"/>
                <w:szCs w:val="24"/>
              </w:rPr>
              <w:t>龙水湖度假区发展中心、新双圈公司</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rFonts w:hint="eastAsia"/>
                <w:sz w:val="24"/>
                <w:szCs w:val="24"/>
                <w:lang w:eastAsia="zh-CN"/>
              </w:rPr>
            </w:pPr>
            <w:r>
              <w:rPr>
                <w:rFonts w:hint="eastAsia"/>
                <w:sz w:val="24"/>
                <w:szCs w:val="24"/>
                <w:lang w:val="en-US" w:eastAsia="zh-CN"/>
              </w:rPr>
              <w:t>7</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龙水湖、巴岳山生态修复及彩化</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left"/>
              <w:textAlignment w:val="auto"/>
              <w:rPr>
                <w:sz w:val="24"/>
                <w:szCs w:val="24"/>
              </w:rPr>
            </w:pPr>
            <w:r>
              <w:rPr>
                <w:rFonts w:hint="eastAsia"/>
                <w:sz w:val="24"/>
                <w:szCs w:val="24"/>
              </w:rPr>
              <w:t>完成龙水湖库尾地800亩、岛屿周边150亩水环境治理、生态修复及彩化。（2026年投资100万，建设范围为环湖步道溜水片区及松鹤岛周边）</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财政</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2026年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2027年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0.06</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0.06</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区林业局、</w:t>
            </w:r>
          </w:p>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区龙水湖旅游度假区发展中心</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rFonts w:hint="eastAsia"/>
                <w:sz w:val="24"/>
                <w:szCs w:val="24"/>
                <w:lang w:eastAsia="zh-CN"/>
              </w:rPr>
            </w:pPr>
            <w:r>
              <w:rPr>
                <w:rFonts w:hint="eastAsia"/>
                <w:sz w:val="24"/>
                <w:szCs w:val="24"/>
                <w:lang w:val="en-US" w:eastAsia="zh-CN"/>
              </w:rPr>
              <w:t>8</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原联谊宾馆改建（龙水湖度假中心）</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left"/>
              <w:textAlignment w:val="auto"/>
              <w:rPr>
                <w:sz w:val="24"/>
                <w:szCs w:val="24"/>
              </w:rPr>
            </w:pPr>
            <w:r>
              <w:rPr>
                <w:rFonts w:hint="eastAsia"/>
                <w:sz w:val="24"/>
                <w:szCs w:val="24"/>
              </w:rPr>
              <w:t>收回原联谊宾馆，整合水管所管理房、家属院及周边区域，新建度假酒店，占地面积205亩、建筑总面积约23500㎡</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2024年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2027年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2.9</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2.9</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龙水湖度假区发展中心、新双圈公司</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rFonts w:hint="eastAsia"/>
                <w:sz w:val="24"/>
                <w:szCs w:val="24"/>
                <w:lang w:eastAsia="zh-CN"/>
              </w:rPr>
            </w:pPr>
            <w:r>
              <w:rPr>
                <w:rFonts w:hint="eastAsia"/>
                <w:sz w:val="24"/>
                <w:szCs w:val="24"/>
                <w:lang w:val="en-US" w:eastAsia="zh-CN"/>
              </w:rPr>
              <w:t>9</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浪漫小镇打造（二期）</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left"/>
              <w:textAlignment w:val="auto"/>
              <w:rPr>
                <w:sz w:val="24"/>
                <w:szCs w:val="24"/>
              </w:rPr>
            </w:pPr>
            <w:r>
              <w:rPr>
                <w:rFonts w:hint="eastAsia"/>
                <w:sz w:val="24"/>
                <w:szCs w:val="24"/>
              </w:rPr>
              <w:t>结合玉龙自然和文化资源，聚焦景区游客群体、年轻情侣等核心群体，从挖掘小镇浪漫文化元素、植入浪漫景观节点、开发浪漫主题项目、举办浪漫活动、完善配套服务设施等入手，打造具有“湖光山色、浪漫之约”的地中海风情浪漫小镇。</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国资+社会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2027年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2027年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0.1</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0.1</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70" w:lineRule="exact"/>
              <w:ind w:left="0" w:leftChars="0" w:right="0" w:rightChars="0" w:firstLine="0" w:firstLineChars="0"/>
              <w:jc w:val="center"/>
              <w:textAlignment w:val="auto"/>
              <w:rPr>
                <w:sz w:val="24"/>
                <w:szCs w:val="24"/>
              </w:rPr>
            </w:pPr>
            <w:r>
              <w:rPr>
                <w:rFonts w:hint="eastAsia"/>
                <w:sz w:val="24"/>
                <w:szCs w:val="24"/>
              </w:rPr>
              <w:t>新双圈公司</w:t>
            </w:r>
          </w:p>
        </w:tc>
      </w:tr>
      <w:tr>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sz w:val="24"/>
                <w:szCs w:val="24"/>
                <w:lang w:val="en-US" w:eastAsia="zh-CN"/>
              </w:rPr>
            </w:pPr>
            <w:r>
              <w:rPr>
                <w:rFonts w:hint="eastAsia"/>
                <w:sz w:val="24"/>
                <w:szCs w:val="24"/>
                <w:lang w:val="en-US" w:eastAsia="zh-CN"/>
              </w:rPr>
              <w:t>10</w:t>
            </w:r>
          </w:p>
        </w:tc>
        <w:tc>
          <w:tcPr>
            <w:tcW w:w="16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椿玺养护中心建设项目</w:t>
            </w:r>
          </w:p>
        </w:tc>
        <w:tc>
          <w:tcPr>
            <w:tcW w:w="5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sz w:val="24"/>
                <w:szCs w:val="24"/>
              </w:rPr>
            </w:pPr>
            <w:r>
              <w:rPr>
                <w:rFonts w:hint="eastAsia"/>
                <w:sz w:val="24"/>
                <w:szCs w:val="24"/>
              </w:rPr>
              <w:t>建筑面积约6405m²，新增88个高端康养住宿设施、床位176张，主要实施室内装修工程、适老化、智能化系统全覆盖、配套家具、家电、康复设备、厨房设施设备等</w:t>
            </w:r>
          </w:p>
        </w:tc>
        <w:tc>
          <w:tcPr>
            <w:tcW w:w="9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完工</w:t>
            </w:r>
          </w:p>
        </w:tc>
        <w:tc>
          <w:tcPr>
            <w:tcW w:w="88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社会</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2027年</w:t>
            </w:r>
          </w:p>
        </w:tc>
        <w:tc>
          <w:tcPr>
            <w:tcW w:w="12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2029年</w:t>
            </w:r>
          </w:p>
        </w:tc>
        <w:tc>
          <w:tcPr>
            <w:tcW w:w="1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0.8</w:t>
            </w:r>
          </w:p>
        </w:tc>
        <w:tc>
          <w:tcPr>
            <w:tcW w:w="12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0.8</w:t>
            </w:r>
          </w:p>
        </w:tc>
        <w:tc>
          <w:tcPr>
            <w:tcW w:w="14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sz w:val="24"/>
                <w:szCs w:val="24"/>
              </w:rPr>
            </w:pPr>
            <w:r>
              <w:rPr>
                <w:rFonts w:hint="eastAsia"/>
                <w:sz w:val="24"/>
                <w:szCs w:val="24"/>
              </w:rPr>
              <w:t>区龙水湖旅游度假区发展中心</w:t>
            </w:r>
          </w:p>
        </w:tc>
      </w:tr>
    </w:tbl>
    <w:p>
      <w:pPr>
        <w:bidi w:val="0"/>
        <w:rPr>
          <w:rFonts w:hint="default"/>
          <w:lang w:eastAsia="zh-CN"/>
        </w:rPr>
      </w:pPr>
    </w:p>
    <w:p>
      <w:pPr>
        <w:rPr>
          <w:rFonts w:hint="default"/>
          <w:lang w:eastAsia="zh-CN"/>
        </w:rPr>
      </w:pPr>
      <w:r>
        <w:rPr>
          <w:rFonts w:hint="default"/>
          <w:lang w:eastAsia="zh-CN"/>
        </w:rPr>
        <w:br w:type="page"/>
      </w:r>
    </w:p>
    <w:p>
      <w:pPr>
        <w:keepNext w:val="0"/>
        <w:keepLines w:val="0"/>
        <w:pageBreakBefore w:val="0"/>
        <w:widowControl w:val="0"/>
        <w:shd w:val="clear"/>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color w:val="auto"/>
          <w:sz w:val="44"/>
          <w:szCs w:val="24"/>
        </w:rPr>
      </w:pPr>
      <w:r>
        <w:rPr>
          <w:rFonts w:hint="eastAsia" w:ascii="方正小标宋_GBK" w:hAnsi="方正小标宋_GBK" w:eastAsia="方正小标宋_GBK" w:cs="方正小标宋_GBK"/>
          <w:color w:val="auto"/>
          <w:sz w:val="44"/>
          <w:szCs w:val="24"/>
        </w:rPr>
        <w:t>重庆市大足区“十五五”建设国际文旅名城、打造巴蜀</w:t>
      </w:r>
    </w:p>
    <w:p>
      <w:pPr>
        <w:keepNext w:val="0"/>
        <w:keepLines w:val="0"/>
        <w:pageBreakBefore w:val="0"/>
        <w:widowControl w:val="0"/>
        <w:shd w:val="clear"/>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color w:val="auto"/>
          <w:sz w:val="44"/>
          <w:szCs w:val="24"/>
        </w:rPr>
      </w:pPr>
      <w:r>
        <w:rPr>
          <w:rFonts w:hint="eastAsia" w:ascii="方正小标宋_GBK" w:hAnsi="方正小标宋_GBK" w:eastAsia="方正小标宋_GBK" w:cs="方正小标宋_GBK"/>
          <w:color w:val="auto"/>
          <w:sz w:val="44"/>
          <w:szCs w:val="24"/>
        </w:rPr>
        <w:t>文化会客厅规划重大改革清单</w:t>
      </w:r>
    </w:p>
    <w:tbl>
      <w:tblPr>
        <w:tblStyle w:val="34"/>
        <w:tblW w:w="15005" w:type="dxa"/>
        <w:jc w:val="center"/>
        <w:tblLayout w:type="fixed"/>
        <w:tblCellMar>
          <w:top w:w="0" w:type="dxa"/>
          <w:left w:w="108" w:type="dxa"/>
          <w:bottom w:w="0" w:type="dxa"/>
          <w:right w:w="108" w:type="dxa"/>
        </w:tblCellMar>
      </w:tblPr>
      <w:tblGrid>
        <w:gridCol w:w="737"/>
        <w:gridCol w:w="1758"/>
        <w:gridCol w:w="3118"/>
        <w:gridCol w:w="8050"/>
        <w:gridCol w:w="1342"/>
      </w:tblGrid>
      <w:tr>
        <w:tblPrEx>
          <w:tblCellMar>
            <w:top w:w="0" w:type="dxa"/>
            <w:left w:w="108" w:type="dxa"/>
            <w:bottom w:w="0" w:type="dxa"/>
            <w:right w:w="108" w:type="dxa"/>
          </w:tblCellMar>
        </w:tblPrEx>
        <w:trPr>
          <w:trHeight w:val="720" w:hRule="atLeast"/>
          <w:tblHeader/>
          <w:jc w:val="center"/>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17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重大改革事项</w:t>
            </w:r>
          </w:p>
        </w:tc>
        <w:tc>
          <w:tcPr>
            <w:tcW w:w="31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主要内容</w:t>
            </w:r>
          </w:p>
        </w:tc>
        <w:tc>
          <w:tcPr>
            <w:tcW w:w="80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预期目标</w:t>
            </w:r>
          </w:p>
        </w:tc>
        <w:tc>
          <w:tcPr>
            <w:tcW w:w="134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责任单位</w:t>
            </w:r>
          </w:p>
        </w:tc>
      </w:tr>
      <w:tr>
        <w:tblPrEx>
          <w:tblCellMar>
            <w:top w:w="0" w:type="dxa"/>
            <w:left w:w="108" w:type="dxa"/>
            <w:bottom w:w="0" w:type="dxa"/>
            <w:right w:w="108" w:type="dxa"/>
          </w:tblCellMar>
        </w:tblPrEx>
        <w:trPr>
          <w:trHeight w:val="720" w:hRule="atLeast"/>
          <w:jc w:val="center"/>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1</w:t>
            </w:r>
          </w:p>
        </w:tc>
        <w:tc>
          <w:tcPr>
            <w:tcW w:w="17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共建巴蜀文化旅游走廊</w:t>
            </w:r>
          </w:p>
        </w:tc>
        <w:tc>
          <w:tcPr>
            <w:tcW w:w="31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按照《巴蜀文化旅游走廊建设规划》，协同推动合作事项，推动巴蜀文化旅游走廊创新发展。</w:t>
            </w:r>
          </w:p>
        </w:tc>
        <w:tc>
          <w:tcPr>
            <w:tcW w:w="80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完成大足石刻中小石窟保护设施建设项目，打造全国中小石窟寺保护示范标杆；实施大足北山摩崖造像保护设施提质改造项目，全面实现提升北山石刻</w:t>
            </w:r>
            <w:r>
              <w:rPr>
                <w:rFonts w:hint="eastAsia"/>
                <w:sz w:val="24"/>
                <w:szCs w:val="24"/>
              </w:rPr>
              <w:t>景区</w:t>
            </w:r>
            <w:r>
              <w:rPr>
                <w:sz w:val="24"/>
                <w:szCs w:val="24"/>
              </w:rPr>
              <w:t>品质提升；实施大足石刻世界文化遗产保护利用设施提升项目，全面提升大足石刻研究院保护研究利用水平到2030年，大足区作为巴蜀文化旅游走廊关键节点，预期大足石刻文旅品牌享誉全球，跻身</w:t>
            </w:r>
            <w:r>
              <w:rPr>
                <w:rFonts w:hint="eastAsia"/>
                <w:sz w:val="24"/>
                <w:szCs w:val="24"/>
              </w:rPr>
              <w:t>世界文化遗产</w:t>
            </w:r>
            <w:r>
              <w:rPr>
                <w:sz w:val="24"/>
                <w:szCs w:val="24"/>
              </w:rPr>
              <w:t>前列。川渝石窟寺国家遗址公园全面建成开放，大足石刻研究院成世界顶尖研究机构。全域实现文旅深度融合，特色旅游线路丰富，年游客接待量大幅攀升，成为国际知名文旅胜地 ，极大提升巴蜀文化国际影响力。</w:t>
            </w:r>
          </w:p>
        </w:tc>
        <w:tc>
          <w:tcPr>
            <w:tcW w:w="134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区文化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旅游委</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720" w:hRule="atLeast"/>
          <w:jc w:val="center"/>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2</w:t>
            </w:r>
          </w:p>
        </w:tc>
        <w:tc>
          <w:tcPr>
            <w:tcW w:w="17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资阳大足文旅融合发展</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示范区</w:t>
            </w:r>
          </w:p>
        </w:tc>
        <w:tc>
          <w:tcPr>
            <w:tcW w:w="31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按照《资大文旅融合发展示范区总体方案》，共谋一体化发展新格局、共推文化遗产保护利用、共创区域文化旅游品牌、共塑区域文旅精品项目、共优旅游配套服务体系、共建文旅发展保障机制，共建川渝石窟寺国家遗址公园。</w:t>
            </w:r>
          </w:p>
        </w:tc>
        <w:tc>
          <w:tcPr>
            <w:tcW w:w="80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到2027年完成主题游径LOGO征集，完成主题游径开放点位相关配套基础设施建设，实施绿化景观整治提升，完成游径沿线标识标牌制作，实现主题游径全面开放。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到2030年，资大文旅融合发展示范区预期将基本建成巴蜀特色文化旅游目的地和全国知名文化创意产业基地。年接待游客量预计超1.2亿人次目标，接待游客总花费超过1500亿元。通过深化石窟寺保护利用与文旅融合，共建</w:t>
            </w:r>
            <w:r>
              <w:rPr>
                <w:rFonts w:hint="eastAsia"/>
                <w:sz w:val="24"/>
                <w:szCs w:val="24"/>
              </w:rPr>
              <w:t>“</w:t>
            </w:r>
            <w:r>
              <w:rPr>
                <w:sz w:val="24"/>
                <w:szCs w:val="24"/>
              </w:rPr>
              <w:t>资足常乐</w:t>
            </w:r>
            <w:r>
              <w:rPr>
                <w:rFonts w:hint="eastAsia"/>
                <w:sz w:val="24"/>
                <w:szCs w:val="24"/>
              </w:rPr>
              <w:t>”</w:t>
            </w:r>
            <w:r>
              <w:rPr>
                <w:sz w:val="24"/>
                <w:szCs w:val="24"/>
              </w:rPr>
              <w:t>等文旅IP，旨在实现文化产业和旅游产业增加值占GDP比重进一步提升，并助力巴蜀文化旅游走廊成为世界级休闲旅游胜地。</w:t>
            </w:r>
          </w:p>
        </w:tc>
        <w:tc>
          <w:tcPr>
            <w:tcW w:w="134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区文化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旅游委</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大足石刻研究院</w:t>
            </w:r>
          </w:p>
        </w:tc>
      </w:tr>
      <w:tr>
        <w:tblPrEx>
          <w:tblCellMar>
            <w:top w:w="0" w:type="dxa"/>
            <w:left w:w="108" w:type="dxa"/>
            <w:bottom w:w="0" w:type="dxa"/>
            <w:right w:w="108" w:type="dxa"/>
          </w:tblCellMar>
        </w:tblPrEx>
        <w:trPr>
          <w:trHeight w:val="720" w:hRule="atLeast"/>
          <w:jc w:val="center"/>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3</w:t>
            </w:r>
          </w:p>
        </w:tc>
        <w:tc>
          <w:tcPr>
            <w:tcW w:w="17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川渝石窟寺</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国家遗址公园</w:t>
            </w:r>
          </w:p>
        </w:tc>
        <w:tc>
          <w:tcPr>
            <w:tcW w:w="311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编制完成《川渝石窟寺国家遗址公园（重庆片区）总体规划》，对重庆地区石窟寺及相关文化资源的历史文化内涵进行总体梳理发掘，遴选出一系列主题明确、内涵清晰、影响突出的石窟寺遗产和相关文化资源，形成</w:t>
            </w:r>
            <w:r>
              <w:rPr>
                <w:rFonts w:hint="eastAsia"/>
                <w:sz w:val="24"/>
                <w:szCs w:val="24"/>
              </w:rPr>
              <w:t>“</w:t>
            </w:r>
            <w:r>
              <w:rPr>
                <w:sz w:val="24"/>
                <w:szCs w:val="24"/>
              </w:rPr>
              <w:t>遗产+乡村振兴</w:t>
            </w:r>
            <w:r>
              <w:rPr>
                <w:rFonts w:hint="eastAsia"/>
                <w:sz w:val="24"/>
                <w:szCs w:val="24"/>
              </w:rPr>
              <w:t>”“</w:t>
            </w:r>
            <w:r>
              <w:rPr>
                <w:sz w:val="24"/>
                <w:szCs w:val="24"/>
              </w:rPr>
              <w:t>+教育</w:t>
            </w:r>
            <w:r>
              <w:rPr>
                <w:rFonts w:hint="eastAsia"/>
                <w:sz w:val="24"/>
                <w:szCs w:val="24"/>
              </w:rPr>
              <w:t>”“</w:t>
            </w:r>
            <w:r>
              <w:rPr>
                <w:sz w:val="24"/>
                <w:szCs w:val="24"/>
              </w:rPr>
              <w:t>+旅游</w:t>
            </w:r>
            <w:r>
              <w:rPr>
                <w:rFonts w:hint="eastAsia"/>
                <w:sz w:val="24"/>
                <w:szCs w:val="24"/>
              </w:rPr>
              <w:t>”</w:t>
            </w:r>
            <w:r>
              <w:rPr>
                <w:sz w:val="24"/>
                <w:szCs w:val="24"/>
              </w:rPr>
              <w:t>等文化带动、旅游推动、产业联动的全域文化遗产可持续发展局面。</w:t>
            </w:r>
          </w:p>
        </w:tc>
        <w:tc>
          <w:tcPr>
            <w:tcW w:w="80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1. 推动国家文物局出台《川渝石窟寺国家遗址公园总体规划》。</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2. 围绕重点布局推动重要试点、示范项目建设，初步建立公园体系框架：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①重点推动大足</w:t>
            </w:r>
            <w:r>
              <w:rPr>
                <w:rFonts w:hint="eastAsia"/>
                <w:sz w:val="24"/>
                <w:szCs w:val="24"/>
              </w:rPr>
              <w:t>“</w:t>
            </w:r>
            <w:r>
              <w:rPr>
                <w:sz w:val="24"/>
                <w:szCs w:val="24"/>
              </w:rPr>
              <w:t>五山</w:t>
            </w:r>
            <w:r>
              <w:rPr>
                <w:rFonts w:hint="eastAsia"/>
                <w:sz w:val="24"/>
                <w:szCs w:val="24"/>
              </w:rPr>
              <w:t>”</w:t>
            </w:r>
            <w:r>
              <w:rPr>
                <w:sz w:val="24"/>
                <w:szCs w:val="24"/>
              </w:rPr>
              <w:t>核心园区，资阳大足石窟石刻文物主题游径建设，完成一批石窟展示点建设。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②结合第九批国保申报工作，增加石窟寺国保单位数量，推进文物保护规划编制。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③完成省级资源信息数据库与线上平台、省级监测预警平台框架的搭建。</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④完成两省（市）石窟内容总录，出版一批重要石窟寺考古报告，制定1-3部保护利用技术标准\导则\指南。</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⑤实施一批具有引领示范意义的考古研究、保护展示项目，全域石窟寺保存状况有效改善，安全防护能力持续增强，石窟寺文物保护单位实现安防设施全覆盖，重要石窟寺展示阐释水平得到提升，基础设施进一步完善，川渝协同的南方地区石质文物保护利用高地初具雏形。</w:t>
            </w:r>
          </w:p>
        </w:tc>
        <w:tc>
          <w:tcPr>
            <w:tcW w:w="134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大足石刻研究院</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区文化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旅游委</w:t>
            </w:r>
          </w:p>
        </w:tc>
      </w:tr>
    </w:tbl>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hint="eastAsia" w:ascii="方正小标宋_GBK" w:hAnsi="方正小标宋_GBK" w:eastAsia="方正小标宋_GBK" w:cs="方正小标宋_GBK"/>
          <w:color w:val="auto"/>
          <w:sz w:val="44"/>
          <w:szCs w:val="24"/>
        </w:rPr>
      </w:pPr>
      <w:r>
        <w:rPr>
          <w:color w:val="auto"/>
        </w:rPr>
        <w:br w:type="page"/>
      </w:r>
      <w:r>
        <w:rPr>
          <w:rFonts w:hint="eastAsia" w:ascii="方正小标宋_GBK" w:hAnsi="方正小标宋_GBK" w:eastAsia="方正小标宋_GBK" w:cs="方正小标宋_GBK"/>
          <w:color w:val="auto"/>
          <w:sz w:val="44"/>
          <w:szCs w:val="24"/>
        </w:rPr>
        <w:t>重庆市大足区“十五五”建设国际文旅名城、打造巴蜀</w:t>
      </w:r>
    </w:p>
    <w:p>
      <w:pPr>
        <w:keepNext w:val="0"/>
        <w:keepLines w:val="0"/>
        <w:pageBreakBefore w:val="0"/>
        <w:widowControl w:val="0"/>
        <w:shd w:val="clear"/>
        <w:kinsoku/>
        <w:wordWrap/>
        <w:overflowPunct/>
        <w:topLinePunct w:val="0"/>
        <w:autoSpaceDE/>
        <w:autoSpaceDN/>
        <w:bidi w:val="0"/>
        <w:adjustRightInd/>
        <w:snapToGrid/>
        <w:spacing w:line="600" w:lineRule="exact"/>
        <w:ind w:firstLine="0"/>
        <w:jc w:val="center"/>
        <w:textAlignment w:val="auto"/>
        <w:rPr>
          <w:rFonts w:ascii="方正小标宋_GBK" w:hAnsi="方正小标宋_GBK" w:eastAsia="方正小标宋_GBK" w:cs="方正小标宋_GBK"/>
          <w:color w:val="auto"/>
          <w:sz w:val="44"/>
          <w:szCs w:val="24"/>
        </w:rPr>
      </w:pPr>
      <w:r>
        <w:rPr>
          <w:rFonts w:hint="eastAsia" w:ascii="方正小标宋_GBK" w:hAnsi="方正小标宋_GBK" w:eastAsia="方正小标宋_GBK" w:cs="方正小标宋_GBK"/>
          <w:color w:val="auto"/>
          <w:sz w:val="44"/>
          <w:szCs w:val="24"/>
        </w:rPr>
        <w:t>文化会客厅规划</w:t>
      </w:r>
      <w:r>
        <w:rPr>
          <w:rFonts w:ascii="方正小标宋_GBK" w:hAnsi="方正小标宋_GBK" w:eastAsia="方正小标宋_GBK" w:cs="方正小标宋_GBK"/>
          <w:color w:val="auto"/>
          <w:sz w:val="44"/>
          <w:szCs w:val="24"/>
        </w:rPr>
        <w:t>重大政策清单</w:t>
      </w:r>
    </w:p>
    <w:tbl>
      <w:tblPr>
        <w:tblStyle w:val="34"/>
        <w:tblW w:w="16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14"/>
        <w:gridCol w:w="6520"/>
        <w:gridCol w:w="5839"/>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重大政策事项</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主要内容</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预期目标</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rFonts w:hint="eastAsia"/>
                <w:sz w:val="24"/>
                <w:szCs w:val="24"/>
              </w:rPr>
              <w:t>1</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龙水湖创建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国家级</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旅游度假区</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行动计划</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sz w:val="24"/>
                <w:szCs w:val="24"/>
              </w:rPr>
            </w:pPr>
            <w:r>
              <w:rPr>
                <w:sz w:val="24"/>
                <w:szCs w:val="24"/>
              </w:rPr>
              <w:t>对标对表《旅游度假区等级划分》国家级标准，根据自评成果，全面实施科学规划提级、产品体系提升、产品配套提质、基础设施提档、运营管理提标、宣传营销提效、招商引资提速、生态效益提能等8大行动，持续推进龙水湖度假区高质量发展，加快建设成为产城景融合发展示范区。</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sz w:val="24"/>
                <w:szCs w:val="24"/>
              </w:rPr>
            </w:pPr>
            <w:r>
              <w:rPr>
                <w:rFonts w:hint="eastAsia"/>
                <w:sz w:val="24"/>
                <w:szCs w:val="24"/>
                <w:lang w:val="en-US" w:eastAsia="zh-CN"/>
              </w:rPr>
              <w:t>力争</w:t>
            </w:r>
            <w:r>
              <w:rPr>
                <w:sz w:val="24"/>
                <w:szCs w:val="24"/>
              </w:rPr>
              <w:t>2027年</w:t>
            </w:r>
            <w:r>
              <w:rPr>
                <w:rFonts w:hint="eastAsia"/>
                <w:sz w:val="24"/>
                <w:szCs w:val="24"/>
              </w:rPr>
              <w:t>达到国家级旅游度假区创建标准，</w:t>
            </w:r>
            <w:r>
              <w:rPr>
                <w:sz w:val="24"/>
                <w:szCs w:val="24"/>
              </w:rPr>
              <w:t>到2030年</w:t>
            </w:r>
            <w:r>
              <w:rPr>
                <w:rFonts w:hint="eastAsia"/>
                <w:sz w:val="24"/>
                <w:szCs w:val="24"/>
              </w:rPr>
              <w:t>实现年接待游客100万人次，其中游船、温泉项目购票人次分别达到65万和35万，过夜游客规模突破30万人次。</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区龙水湖旅游度假区发展中心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rFonts w:hint="eastAsia"/>
                <w:sz w:val="24"/>
                <w:szCs w:val="24"/>
              </w:rPr>
              <w:t>2</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大足区拓展客源市场集团营销工作方案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sz w:val="24"/>
                <w:szCs w:val="24"/>
              </w:rPr>
            </w:pPr>
            <w:r>
              <w:rPr>
                <w:sz w:val="24"/>
                <w:szCs w:val="24"/>
              </w:rPr>
              <w:t>成立文旅营销工作专班</w:t>
            </w:r>
            <w:r>
              <w:rPr>
                <w:rFonts w:hint="eastAsia"/>
                <w:sz w:val="24"/>
                <w:szCs w:val="24"/>
              </w:rPr>
              <w:t>，</w:t>
            </w:r>
            <w:r>
              <w:rPr>
                <w:sz w:val="24"/>
                <w:szCs w:val="24"/>
              </w:rPr>
              <w:t>由</w:t>
            </w:r>
            <w:r>
              <w:rPr>
                <w:rFonts w:hint="eastAsia"/>
                <w:sz w:val="24"/>
                <w:szCs w:val="24"/>
              </w:rPr>
              <w:t>“</w:t>
            </w:r>
            <w:r>
              <w:rPr>
                <w:sz w:val="24"/>
                <w:szCs w:val="24"/>
              </w:rPr>
              <w:t>区领导+牵头部门+协作部门+文旅集团</w:t>
            </w:r>
            <w:r>
              <w:rPr>
                <w:rFonts w:hint="eastAsia"/>
                <w:sz w:val="24"/>
                <w:szCs w:val="24"/>
              </w:rPr>
              <w:t>”</w:t>
            </w:r>
            <w:r>
              <w:rPr>
                <w:sz w:val="24"/>
                <w:szCs w:val="24"/>
              </w:rPr>
              <w:t>组成集团营销工作组。按照</w:t>
            </w:r>
            <w:r>
              <w:rPr>
                <w:rFonts w:hint="eastAsia"/>
                <w:sz w:val="24"/>
                <w:szCs w:val="24"/>
              </w:rPr>
              <w:t>“</w:t>
            </w:r>
            <w:r>
              <w:rPr>
                <w:sz w:val="24"/>
                <w:szCs w:val="24"/>
              </w:rPr>
              <w:t>主攻国内重点市场，巩固港澳台客源市场，拓展境外新兴市场</w:t>
            </w:r>
            <w:r>
              <w:rPr>
                <w:rFonts w:hint="eastAsia"/>
                <w:sz w:val="24"/>
                <w:szCs w:val="24"/>
              </w:rPr>
              <w:t>”</w:t>
            </w:r>
            <w:r>
              <w:rPr>
                <w:sz w:val="24"/>
                <w:szCs w:val="24"/>
              </w:rPr>
              <w:t>的工作思路，细分客源市场，建立旅游宣传营销集团化体系，加强与境内外旅行商合作，通过积极拓展市场、开展文旅宣传、加强景区合作、开展招商引资等方式，不断提升大足旅游城市形象，推动大足文旅产业高质量发展</w:t>
            </w:r>
            <w:r>
              <w:rPr>
                <w:rFonts w:hint="eastAsia"/>
                <w:sz w:val="24"/>
                <w:szCs w:val="24"/>
              </w:rPr>
              <w:t>。</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sz w:val="24"/>
                <w:szCs w:val="24"/>
              </w:rPr>
            </w:pPr>
            <w:r>
              <w:rPr>
                <w:sz w:val="24"/>
                <w:szCs w:val="24"/>
              </w:rPr>
              <w:t>2030</w:t>
            </w:r>
            <w:r>
              <w:rPr>
                <w:rFonts w:hint="eastAsia"/>
                <w:sz w:val="24"/>
                <w:szCs w:val="24"/>
              </w:rPr>
              <w:t>年，实现大足石刻景区年接待国内外游客</w:t>
            </w:r>
            <w:r>
              <w:rPr>
                <w:sz w:val="24"/>
                <w:szCs w:val="24"/>
              </w:rPr>
              <w:t>500</w:t>
            </w:r>
            <w:r>
              <w:rPr>
                <w:rFonts w:hint="eastAsia"/>
                <w:sz w:val="24"/>
                <w:szCs w:val="24"/>
              </w:rPr>
              <w:t>万人次，其中国内组团游客</w:t>
            </w:r>
            <w:r>
              <w:rPr>
                <w:sz w:val="24"/>
                <w:szCs w:val="24"/>
              </w:rPr>
              <w:t>200</w:t>
            </w:r>
            <w:r>
              <w:rPr>
                <w:rFonts w:hint="eastAsia"/>
                <w:sz w:val="24"/>
                <w:szCs w:val="24"/>
              </w:rPr>
              <w:t>万人次、境外游客</w:t>
            </w:r>
            <w:r>
              <w:rPr>
                <w:sz w:val="24"/>
                <w:szCs w:val="24"/>
              </w:rPr>
              <w:t>30</w:t>
            </w:r>
            <w:r>
              <w:rPr>
                <w:rFonts w:hint="eastAsia"/>
                <w:sz w:val="24"/>
                <w:szCs w:val="24"/>
              </w:rPr>
              <w:t>万人次；龙水湖景区乘船游客</w:t>
            </w:r>
            <w:r>
              <w:rPr>
                <w:sz w:val="24"/>
                <w:szCs w:val="24"/>
              </w:rPr>
              <w:t>100</w:t>
            </w:r>
            <w:r>
              <w:rPr>
                <w:rFonts w:hint="eastAsia"/>
                <w:sz w:val="24"/>
                <w:szCs w:val="24"/>
              </w:rPr>
              <w:t>万人次，龙水湖温泉游客</w:t>
            </w:r>
            <w:r>
              <w:rPr>
                <w:sz w:val="24"/>
                <w:szCs w:val="24"/>
              </w:rPr>
              <w:t>60</w:t>
            </w:r>
            <w:r>
              <w:rPr>
                <w:rFonts w:hint="eastAsia"/>
                <w:sz w:val="24"/>
                <w:szCs w:val="24"/>
              </w:rPr>
              <w:t>万人次。</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区文化</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rFonts w:hint="eastAsia"/>
                <w:sz w:val="24"/>
                <w:szCs w:val="24"/>
              </w:rPr>
              <w:t>3</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大足区餐饮</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rFonts w:hint="eastAsia"/>
                <w:sz w:val="24"/>
                <w:szCs w:val="24"/>
              </w:rPr>
              <w:t>高</w:t>
            </w:r>
            <w:r>
              <w:rPr>
                <w:sz w:val="24"/>
                <w:szCs w:val="24"/>
              </w:rPr>
              <w:t>质量</w:t>
            </w:r>
            <w:r>
              <w:rPr>
                <w:rFonts w:hint="eastAsia"/>
                <w:sz w:val="24"/>
                <w:szCs w:val="24"/>
              </w:rPr>
              <w:t>发展</w:t>
            </w:r>
            <w:r>
              <w:rPr>
                <w:sz w:val="24"/>
                <w:szCs w:val="24"/>
              </w:rPr>
              <w:t>行动工作方案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sz w:val="24"/>
                <w:szCs w:val="24"/>
              </w:rPr>
            </w:pPr>
            <w:r>
              <w:rPr>
                <w:sz w:val="24"/>
                <w:szCs w:val="24"/>
              </w:rPr>
              <w:t>以</w:t>
            </w:r>
            <w:r>
              <w:rPr>
                <w:rFonts w:hint="eastAsia"/>
                <w:sz w:val="24"/>
                <w:szCs w:val="24"/>
              </w:rPr>
              <w:t>“</w:t>
            </w:r>
            <w:r>
              <w:rPr>
                <w:sz w:val="24"/>
                <w:szCs w:val="24"/>
              </w:rPr>
              <w:t>弘扬大足石刻文化、打造足菜特色品牌、建设文旅美食名城</w:t>
            </w:r>
            <w:r>
              <w:rPr>
                <w:rFonts w:hint="eastAsia"/>
                <w:sz w:val="24"/>
                <w:szCs w:val="24"/>
              </w:rPr>
              <w:t>”</w:t>
            </w:r>
            <w:r>
              <w:rPr>
                <w:sz w:val="24"/>
                <w:szCs w:val="24"/>
              </w:rPr>
              <w:t>为主线，以开放创新、文旅融合发展为动力，深化全区餐饮业供给侧结构性改革，促进餐饮业与旅游经济、假日经济、夜间经济和乡村振兴的深度融合，大力培育和引进多样化餐饮业态和实用型餐饮人才，努力实现餐饮业态丰富、服务专业、特色鲜明的现代经营方式，打造餐饮业大足特色品牌，推广唱响</w:t>
            </w:r>
            <w:r>
              <w:rPr>
                <w:rFonts w:hint="eastAsia"/>
                <w:sz w:val="24"/>
                <w:szCs w:val="24"/>
              </w:rPr>
              <w:t>“</w:t>
            </w:r>
            <w:r>
              <w:rPr>
                <w:sz w:val="24"/>
                <w:szCs w:val="24"/>
              </w:rPr>
              <w:t>吃在大足</w:t>
            </w:r>
            <w:r>
              <w:rPr>
                <w:rFonts w:hint="eastAsia"/>
                <w:sz w:val="24"/>
                <w:szCs w:val="24"/>
              </w:rPr>
              <w:t>”</w:t>
            </w:r>
            <w:r>
              <w:rPr>
                <w:sz w:val="24"/>
                <w:szCs w:val="24"/>
              </w:rPr>
              <w:t>主旋律。</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sz w:val="24"/>
                <w:szCs w:val="24"/>
              </w:rPr>
            </w:pPr>
            <w:r>
              <w:rPr>
                <w:sz w:val="24"/>
                <w:szCs w:val="24"/>
              </w:rPr>
              <w:t>力争到2027年，大足区餐饮业营业额突破40亿元，年均增长8%以上，培育新增限额以上餐饮单位100家以上，培育形成年营业额千万元餐饮企业3家以上，打造和提升具有地方特色的美食街区5条以上，每年评选大足名菜10道、大足名小吃10道、大足餐饮名店10家；力争到20</w:t>
            </w:r>
            <w:r>
              <w:rPr>
                <w:rFonts w:hint="eastAsia"/>
                <w:sz w:val="24"/>
                <w:szCs w:val="24"/>
              </w:rPr>
              <w:t>30</w:t>
            </w:r>
            <w:r>
              <w:rPr>
                <w:sz w:val="24"/>
                <w:szCs w:val="24"/>
              </w:rPr>
              <w:t>年，全区餐饮业营业额突破50亿元，年均增长8%以上，培育新增限额以上餐饮单位120家以上，培育形成年营业额千万元餐饮企业6家以上，培育和发展大足名菜50道以上、大足名小吃50道以上、大足餐饮名店50家以上，打造和提升具有地方特色的美食街区5条以上。</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sz w:val="24"/>
                <w:szCs w:val="24"/>
              </w:rPr>
            </w:pPr>
            <w:r>
              <w:rPr>
                <w:sz w:val="24"/>
                <w:szCs w:val="24"/>
              </w:rPr>
              <w:t>区商务委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lang w:val="en-US" w:eastAsia="zh-CN"/>
              </w:rPr>
              <w:t>4</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推动出台文创产业高质量发展专项政策</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rFonts w:hint="eastAsia"/>
                <w:sz w:val="24"/>
                <w:szCs w:val="24"/>
              </w:rPr>
              <w:t>聚焦石雕石材、珠宝饰品、潮流手</w:t>
            </w:r>
            <w:r>
              <w:rPr>
                <w:rFonts w:hint="default"/>
                <w:sz w:val="24"/>
                <w:szCs w:val="24"/>
              </w:rPr>
              <w:t>伴</w:t>
            </w:r>
            <w:r>
              <w:rPr>
                <w:rFonts w:hint="eastAsia"/>
                <w:sz w:val="24"/>
                <w:szCs w:val="24"/>
              </w:rPr>
              <w:t>三大核心产业，建立健全产业扶持机制，支持企业技术改造、设计创新与品牌培育；促进文创与数字经济融合，推动产品数字化展示、线上渠道拓展；深化区域产业协作，主动对接成渝地区文创市场资源。</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rFonts w:hint="default"/>
                <w:sz w:val="24"/>
                <w:szCs w:val="24"/>
                <w:lang w:val="en-US" w:eastAsia="zh-CN"/>
              </w:rPr>
              <w:t>石雕石材、珠宝饰品、潮流手</w:t>
            </w:r>
            <w:r>
              <w:rPr>
                <w:rFonts w:hint="default"/>
                <w:sz w:val="24"/>
                <w:szCs w:val="24"/>
                <w:lang w:eastAsia="zh-CN"/>
              </w:rPr>
              <w:t>伴</w:t>
            </w:r>
            <w:r>
              <w:rPr>
                <w:rFonts w:hint="default"/>
                <w:sz w:val="24"/>
                <w:szCs w:val="24"/>
                <w:lang w:val="en-US" w:eastAsia="zh-CN"/>
              </w:rPr>
              <w:t>三大主导产业发展能级持续壮大，产业集聚化、集群化水平显著提升，产业链条趋于完备成熟</w:t>
            </w:r>
            <w:r>
              <w:rPr>
                <w:rFonts w:hint="default"/>
                <w:sz w:val="24"/>
                <w:szCs w:val="24"/>
                <w:lang w:eastAsia="zh-CN"/>
              </w:rPr>
              <w:t>，</w:t>
            </w:r>
            <w:r>
              <w:rPr>
                <w:rFonts w:hint="default"/>
                <w:sz w:val="24"/>
                <w:szCs w:val="24"/>
                <w:lang w:val="en-US" w:eastAsia="zh-CN"/>
              </w:rPr>
              <w:t>大足石刻文创品牌影响力全面跃升，</w:t>
            </w:r>
            <w:r>
              <w:rPr>
                <w:rFonts w:hint="default"/>
                <w:sz w:val="24"/>
                <w:szCs w:val="24"/>
                <w:lang w:eastAsia="zh-CN"/>
              </w:rPr>
              <w:t>文创园成为</w:t>
            </w:r>
            <w:r>
              <w:rPr>
                <w:rFonts w:hint="default"/>
                <w:sz w:val="24"/>
                <w:szCs w:val="24"/>
                <w:lang w:val="en-US" w:eastAsia="zh-CN"/>
              </w:rPr>
              <w:t>在全国具</w:t>
            </w:r>
            <w:r>
              <w:rPr>
                <w:rFonts w:hint="default"/>
                <w:sz w:val="24"/>
                <w:szCs w:val="24"/>
                <w:lang w:eastAsia="zh-CN"/>
              </w:rPr>
              <w:t>有重要影响力的</w:t>
            </w:r>
            <w:r>
              <w:rPr>
                <w:rFonts w:hint="default"/>
                <w:sz w:val="24"/>
                <w:szCs w:val="24"/>
                <w:lang w:val="en-US" w:eastAsia="zh-CN"/>
              </w:rPr>
              <w:t>文创产业高地。</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大足高新区三驱园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5</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大足区丰富</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文旅研学行动工作方案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全力打造宝顶学堂</w:t>
            </w:r>
            <w:r>
              <w:rPr>
                <w:rFonts w:hint="eastAsia"/>
                <w:sz w:val="24"/>
                <w:szCs w:val="24"/>
              </w:rPr>
              <w:t>·</w:t>
            </w:r>
            <w:r>
              <w:rPr>
                <w:sz w:val="24"/>
                <w:szCs w:val="24"/>
              </w:rPr>
              <w:t>大思政创新研学中心，形成</w:t>
            </w:r>
            <w:r>
              <w:rPr>
                <w:rFonts w:hint="eastAsia"/>
                <w:sz w:val="24"/>
                <w:szCs w:val="24"/>
              </w:rPr>
              <w:t>“</w:t>
            </w:r>
            <w:r>
              <w:rPr>
                <w:sz w:val="24"/>
                <w:szCs w:val="24"/>
              </w:rPr>
              <w:t>核心引领、多点支撑</w:t>
            </w:r>
            <w:r>
              <w:rPr>
                <w:rFonts w:hint="eastAsia"/>
                <w:sz w:val="24"/>
                <w:szCs w:val="24"/>
              </w:rPr>
              <w:t>”</w:t>
            </w:r>
            <w:r>
              <w:rPr>
                <w:sz w:val="24"/>
                <w:szCs w:val="24"/>
              </w:rPr>
              <w:t>全域基地网络。开发</w:t>
            </w:r>
            <w:r>
              <w:rPr>
                <w:rFonts w:hint="eastAsia"/>
                <w:sz w:val="24"/>
                <w:szCs w:val="24"/>
              </w:rPr>
              <w:t>“</w:t>
            </w:r>
            <w:r>
              <w:rPr>
                <w:sz w:val="24"/>
                <w:szCs w:val="24"/>
              </w:rPr>
              <w:t>石刻之旅、红色之旅、科技之旅、工业之旅、乡村振兴之旅、非遗传承之</w:t>
            </w:r>
            <w:r>
              <w:rPr>
                <w:rFonts w:hint="eastAsia"/>
                <w:sz w:val="24"/>
                <w:szCs w:val="24"/>
              </w:rPr>
              <w:t>旅”</w:t>
            </w:r>
            <w:r>
              <w:rPr>
                <w:sz w:val="24"/>
                <w:szCs w:val="24"/>
              </w:rPr>
              <w:t>12条精品线路。专家领航，培育指导教师、安全员、管理员，打造复合型导师团队。数字赋能，智能化构建全域研学</w:t>
            </w:r>
            <w:r>
              <w:rPr>
                <w:rFonts w:hint="eastAsia"/>
                <w:sz w:val="24"/>
                <w:szCs w:val="24"/>
              </w:rPr>
              <w:t>“</w:t>
            </w:r>
            <w:r>
              <w:rPr>
                <w:sz w:val="24"/>
                <w:szCs w:val="24"/>
              </w:rPr>
              <w:t>一件事</w:t>
            </w:r>
            <w:r>
              <w:rPr>
                <w:rFonts w:hint="eastAsia"/>
                <w:sz w:val="24"/>
                <w:szCs w:val="24"/>
              </w:rPr>
              <w:t>”</w:t>
            </w:r>
            <w:r>
              <w:rPr>
                <w:sz w:val="24"/>
                <w:szCs w:val="24"/>
              </w:rPr>
              <w:t>云平台。文创开发，特色化开发地域文化衍生品系</w:t>
            </w:r>
            <w:r>
              <w:rPr>
                <w:rFonts w:hint="eastAsia"/>
                <w:sz w:val="24"/>
                <w:szCs w:val="24"/>
              </w:rPr>
              <w:t>。</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累计建成25个中小学社会实践教育基地，创建国家级研学基地1个以上，培育1个全国知名研学IP，研学课程总量达到200门，围绕6个主题开发12条精品线路，建强具备研学经验和专业技能的研学旅行专业人才队伍，覆盖研学群体35万人次。</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区教委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6</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大足区提升</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旅游交通行动工作方案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聚焦重点目标任务，深入实施</w:t>
            </w:r>
            <w:r>
              <w:rPr>
                <w:rFonts w:hint="eastAsia"/>
                <w:sz w:val="24"/>
                <w:szCs w:val="24"/>
              </w:rPr>
              <w:t>“</w:t>
            </w:r>
            <w:r>
              <w:rPr>
                <w:sz w:val="24"/>
                <w:szCs w:val="24"/>
              </w:rPr>
              <w:t>实施旅游公路路网提档升级工程</w:t>
            </w:r>
            <w:r>
              <w:rPr>
                <w:rFonts w:hint="eastAsia"/>
                <w:sz w:val="24"/>
                <w:szCs w:val="24"/>
              </w:rPr>
              <w:t>”“</w:t>
            </w:r>
            <w:r>
              <w:rPr>
                <w:sz w:val="24"/>
                <w:szCs w:val="24"/>
              </w:rPr>
              <w:t>实施旅游运输保障能力提升工程</w:t>
            </w:r>
            <w:r>
              <w:rPr>
                <w:rFonts w:hint="eastAsia"/>
                <w:sz w:val="24"/>
                <w:szCs w:val="24"/>
              </w:rPr>
              <w:t>”“</w:t>
            </w:r>
            <w:r>
              <w:rPr>
                <w:sz w:val="24"/>
                <w:szCs w:val="24"/>
              </w:rPr>
              <w:t>实施交通旅游服务水平提升工程</w:t>
            </w:r>
            <w:r>
              <w:rPr>
                <w:rFonts w:hint="eastAsia"/>
                <w:sz w:val="24"/>
                <w:szCs w:val="24"/>
              </w:rPr>
              <w:t>”</w:t>
            </w:r>
            <w:r>
              <w:rPr>
                <w:sz w:val="24"/>
                <w:szCs w:val="24"/>
              </w:rPr>
              <w:t>等三大工程，积极打造交旅融合发展体系，为全力做好</w:t>
            </w:r>
            <w:r>
              <w:rPr>
                <w:rFonts w:hint="eastAsia"/>
                <w:sz w:val="24"/>
                <w:szCs w:val="24"/>
              </w:rPr>
              <w:t>“</w:t>
            </w:r>
            <w:r>
              <w:rPr>
                <w:sz w:val="24"/>
                <w:szCs w:val="24"/>
              </w:rPr>
              <w:t>国际文旅名城、特色产业高地、城乡融合示范</w:t>
            </w:r>
            <w:r>
              <w:rPr>
                <w:rFonts w:hint="eastAsia"/>
                <w:sz w:val="24"/>
                <w:szCs w:val="24"/>
              </w:rPr>
              <w:t>”</w:t>
            </w:r>
            <w:r>
              <w:rPr>
                <w:sz w:val="24"/>
                <w:szCs w:val="24"/>
              </w:rPr>
              <w:t>三篇大文章提供坚实的交通运输保障。</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到2027年底，累计新（改）建干线公路60公里、</w:t>
            </w:r>
            <w:r>
              <w:rPr>
                <w:rFonts w:hint="eastAsia"/>
                <w:sz w:val="24"/>
                <w:szCs w:val="24"/>
              </w:rPr>
              <w:t>“</w:t>
            </w:r>
            <w:r>
              <w:rPr>
                <w:sz w:val="24"/>
                <w:szCs w:val="24"/>
              </w:rPr>
              <w:t>四好农村路</w:t>
            </w:r>
            <w:r>
              <w:rPr>
                <w:rFonts w:hint="eastAsia"/>
                <w:sz w:val="24"/>
                <w:szCs w:val="24"/>
              </w:rPr>
              <w:t>”</w:t>
            </w:r>
            <w:r>
              <w:rPr>
                <w:sz w:val="24"/>
                <w:szCs w:val="24"/>
              </w:rPr>
              <w:t>300公里，实现重要景区三级及以上公路通达率100%、旅客公共运输通行率100%、交通旅游服务水平持续提升，助力文旅产业高质量发展。</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区交通</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运输委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7</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大足区提升</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rFonts w:hint="eastAsia"/>
                <w:sz w:val="24"/>
                <w:szCs w:val="24"/>
              </w:rPr>
              <w:t>旅游住宿业行动</w:t>
            </w:r>
            <w:r>
              <w:rPr>
                <w:sz w:val="24"/>
                <w:szCs w:val="24"/>
              </w:rPr>
              <w:t>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rFonts w:hint="eastAsia"/>
                <w:sz w:val="24"/>
                <w:szCs w:val="24"/>
              </w:rPr>
              <w:t>立足本地文化底蕴，以“原生态、烟火气、大足韵”为内核，围绕“一心一山一湖多点”的总体空间布局，建立“精品酒店引领、主题民宿支撑、智慧旅居补充”的梯度供给体系，</w:t>
            </w:r>
            <w:r>
              <w:rPr>
                <w:sz w:val="24"/>
                <w:szCs w:val="24"/>
              </w:rPr>
              <w:t>通过大力发展品牌特色酒店、规范发展非标住宿业态、打造推出一批精品民宿、发展新业态新模式、大力提升智能化水平、健全住宿业标准化体系、开展住宿业市场秩序综合整治、强化突发事件应急处置、充分发挥行业协会作用，着力</w:t>
            </w:r>
            <w:r>
              <w:rPr>
                <w:rFonts w:hint="eastAsia"/>
                <w:sz w:val="24"/>
                <w:szCs w:val="24"/>
              </w:rPr>
              <w:t>构建“世界遗产观光+文化创意体验+生态康养度假”三位一体的住宿产业生态。</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rPr>
                <w:sz w:val="24"/>
                <w:szCs w:val="24"/>
              </w:rPr>
            </w:pPr>
            <w:r>
              <w:rPr>
                <w:sz w:val="24"/>
                <w:szCs w:val="24"/>
              </w:rPr>
              <w:t>到2030年，建成</w:t>
            </w:r>
            <w:r>
              <w:rPr>
                <w:rFonts w:hint="eastAsia"/>
                <w:sz w:val="24"/>
                <w:szCs w:val="24"/>
              </w:rPr>
              <w:t>“</w:t>
            </w:r>
            <w:r>
              <w:rPr>
                <w:sz w:val="24"/>
                <w:szCs w:val="24"/>
              </w:rPr>
              <w:t>半小时文旅住宿圈</w:t>
            </w:r>
            <w:r>
              <w:rPr>
                <w:rFonts w:hint="eastAsia"/>
                <w:sz w:val="24"/>
                <w:szCs w:val="24"/>
              </w:rPr>
              <w:t>”</w:t>
            </w:r>
            <w:r>
              <w:rPr>
                <w:sz w:val="24"/>
                <w:szCs w:val="24"/>
              </w:rPr>
              <w:t>，实现</w:t>
            </w:r>
            <w:r>
              <w:rPr>
                <w:rFonts w:hint="eastAsia"/>
                <w:sz w:val="24"/>
                <w:szCs w:val="24"/>
              </w:rPr>
              <w:t>“</w:t>
            </w:r>
            <w:r>
              <w:rPr>
                <w:sz w:val="24"/>
                <w:szCs w:val="24"/>
              </w:rPr>
              <w:t>15分钟到达核心景区、30分钟串联全域景点</w:t>
            </w:r>
            <w:r>
              <w:rPr>
                <w:rFonts w:hint="eastAsia"/>
                <w:sz w:val="24"/>
                <w:szCs w:val="24"/>
              </w:rPr>
              <w:t>”</w:t>
            </w:r>
            <w:r>
              <w:rPr>
                <w:sz w:val="24"/>
                <w:szCs w:val="24"/>
              </w:rPr>
              <w:t>的交通衔接体系，构建全域旅居服务网络，总接待床位突破15000张。实现过夜游客人次年均增长10%以上，过夜游客综合消费额年均增长10%以上‌。</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区文化</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sz w:val="24"/>
                <w:szCs w:val="24"/>
              </w:rPr>
            </w:pPr>
            <w:r>
              <w:rPr>
                <w:sz w:val="24"/>
                <w:szCs w:val="24"/>
              </w:rPr>
              <w:t>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8</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大足区丰富</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旅游演艺行动工作方案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rFonts w:hint="eastAsia"/>
                <w:sz w:val="24"/>
                <w:szCs w:val="24"/>
              </w:rPr>
              <w:t>以“文旅融合、科技赋能、全域联动”为核心理念，围绕大足石刻文化、五金文化、海棠文化、乡村生态等核心资源，打造具有国际影响力、地域辨识度的旅游演艺品牌体系。</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到20</w:t>
            </w:r>
            <w:r>
              <w:rPr>
                <w:rFonts w:hint="eastAsia"/>
                <w:sz w:val="24"/>
                <w:szCs w:val="24"/>
              </w:rPr>
              <w:t>30</w:t>
            </w:r>
            <w:r>
              <w:rPr>
                <w:sz w:val="24"/>
                <w:szCs w:val="24"/>
              </w:rPr>
              <w:t>年，形成8个具有大足文旅标志性的旅游演艺新空间，年观演人次突破60万，构建</w:t>
            </w:r>
            <w:r>
              <w:rPr>
                <w:rFonts w:hint="eastAsia"/>
                <w:sz w:val="24"/>
                <w:szCs w:val="24"/>
              </w:rPr>
              <w:t>“</w:t>
            </w:r>
            <w:r>
              <w:rPr>
                <w:sz w:val="24"/>
                <w:szCs w:val="24"/>
              </w:rPr>
              <w:t>白天游景区、夜晚看演艺</w:t>
            </w:r>
            <w:r>
              <w:rPr>
                <w:rFonts w:hint="eastAsia"/>
                <w:sz w:val="24"/>
                <w:szCs w:val="24"/>
              </w:rPr>
              <w:t>”</w:t>
            </w:r>
            <w:r>
              <w:rPr>
                <w:sz w:val="24"/>
                <w:szCs w:val="24"/>
              </w:rPr>
              <w:t>的全时旅游消费格局</w:t>
            </w:r>
            <w:r>
              <w:rPr>
                <w:rFonts w:hint="eastAsia"/>
                <w:sz w:val="24"/>
                <w:szCs w:val="24"/>
              </w:rPr>
              <w:t>。</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区文化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9</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大足区旅游</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宣传</w:t>
            </w:r>
            <w:r>
              <w:rPr>
                <w:sz w:val="24"/>
                <w:szCs w:val="24"/>
              </w:rPr>
              <w:t>营销行动工作方案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rFonts w:hint="eastAsia"/>
                <w:sz w:val="24"/>
                <w:szCs w:val="24"/>
              </w:rPr>
              <w:t>一是实施消费客群引育行动。二是实施节会品牌塑造行动。三是实施百业联动引流行动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rFonts w:hint="eastAsia"/>
                <w:sz w:val="24"/>
                <w:szCs w:val="24"/>
              </w:rPr>
              <w:t>。四是实施媒体矩阵扩容行动。五是实施数字技术赋能行动。六是实施国际传播提效行动。七是实施全民营销推广行动。</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rFonts w:hint="eastAsia"/>
                <w:sz w:val="24"/>
                <w:szCs w:val="24"/>
              </w:rPr>
              <w:t>到2027年底，大足文旅品牌影响力、文化感召力、市场转化力全面提升，国际文旅名城形象更加彰显，“国际发声、国内联动、区域共振”传播格局更加立体，各类宣传报道全网累计曝光量达18亿次，其中自有海外新媒体传播矩阵用户数超过30万、曝光量达400万次，助力全区年接待游客量达5000万人次。</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区委宣传部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10</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大足区促进</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大足区民宿业高质量发展</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实施意见</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依托世界文化遗产、山水资源禀赋、美丽乡村基底及特色民俗风情，形成</w:t>
            </w:r>
            <w:r>
              <w:rPr>
                <w:rFonts w:hint="eastAsia"/>
                <w:sz w:val="24"/>
                <w:szCs w:val="24"/>
              </w:rPr>
              <w:t>“</w:t>
            </w:r>
            <w:r>
              <w:rPr>
                <w:sz w:val="24"/>
                <w:szCs w:val="24"/>
              </w:rPr>
              <w:t>一心五湖六山多点</w:t>
            </w:r>
            <w:r>
              <w:rPr>
                <w:rFonts w:hint="eastAsia"/>
                <w:sz w:val="24"/>
                <w:szCs w:val="24"/>
              </w:rPr>
              <w:t>”</w:t>
            </w:r>
            <w:r>
              <w:rPr>
                <w:sz w:val="24"/>
                <w:szCs w:val="24"/>
              </w:rPr>
              <w:t>的民宿发展格局。</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初步形成业态多元、特色鲜明、内涵丰富、服务优质、品牌凸显的民宿产业发展格局，</w:t>
            </w:r>
            <w:r>
              <w:rPr>
                <w:rFonts w:hint="eastAsia"/>
                <w:sz w:val="24"/>
                <w:szCs w:val="24"/>
              </w:rPr>
              <w:t>“</w:t>
            </w:r>
            <w:r>
              <w:rPr>
                <w:sz w:val="24"/>
                <w:szCs w:val="24"/>
              </w:rPr>
              <w:t>知</w:t>
            </w:r>
            <w:r>
              <w:rPr>
                <w:rFonts w:hint="eastAsia"/>
                <w:sz w:val="24"/>
                <w:szCs w:val="24"/>
              </w:rPr>
              <w:t>·</w:t>
            </w:r>
            <w:r>
              <w:rPr>
                <w:sz w:val="24"/>
                <w:szCs w:val="24"/>
              </w:rPr>
              <w:t>足</w:t>
            </w:r>
            <w:r>
              <w:rPr>
                <w:rFonts w:hint="eastAsia"/>
                <w:sz w:val="24"/>
                <w:szCs w:val="24"/>
              </w:rPr>
              <w:t>”“</w:t>
            </w:r>
            <w:r>
              <w:rPr>
                <w:sz w:val="24"/>
                <w:szCs w:val="24"/>
              </w:rPr>
              <w:t>石</w:t>
            </w:r>
            <w:r>
              <w:rPr>
                <w:rFonts w:hint="eastAsia"/>
                <w:sz w:val="24"/>
                <w:szCs w:val="24"/>
              </w:rPr>
              <w:t>·</w:t>
            </w:r>
            <w:r>
              <w:rPr>
                <w:sz w:val="24"/>
                <w:szCs w:val="24"/>
              </w:rPr>
              <w:t>韵</w:t>
            </w:r>
            <w:r>
              <w:rPr>
                <w:rFonts w:hint="eastAsia"/>
                <w:sz w:val="24"/>
                <w:szCs w:val="24"/>
              </w:rPr>
              <w:t>”“</w:t>
            </w:r>
            <w:r>
              <w:rPr>
                <w:sz w:val="24"/>
                <w:szCs w:val="24"/>
              </w:rPr>
              <w:t>湖</w:t>
            </w:r>
            <w:r>
              <w:rPr>
                <w:rFonts w:hint="eastAsia"/>
                <w:sz w:val="24"/>
                <w:szCs w:val="24"/>
              </w:rPr>
              <w:t>·</w:t>
            </w:r>
            <w:r>
              <w:rPr>
                <w:sz w:val="24"/>
                <w:szCs w:val="24"/>
              </w:rPr>
              <w:t>语</w:t>
            </w:r>
            <w:r>
              <w:rPr>
                <w:rFonts w:hint="eastAsia"/>
                <w:sz w:val="24"/>
                <w:szCs w:val="24"/>
              </w:rPr>
              <w:t>”“</w:t>
            </w:r>
            <w:r>
              <w:rPr>
                <w:sz w:val="24"/>
                <w:szCs w:val="24"/>
              </w:rPr>
              <w:t>棠</w:t>
            </w:r>
            <w:r>
              <w:rPr>
                <w:rFonts w:hint="eastAsia"/>
                <w:sz w:val="24"/>
                <w:szCs w:val="24"/>
              </w:rPr>
              <w:t>·</w:t>
            </w:r>
            <w:r>
              <w:rPr>
                <w:sz w:val="24"/>
                <w:szCs w:val="24"/>
              </w:rPr>
              <w:t>月</w:t>
            </w:r>
            <w:r>
              <w:rPr>
                <w:rFonts w:hint="eastAsia"/>
                <w:sz w:val="24"/>
                <w:szCs w:val="24"/>
              </w:rPr>
              <w:t>”</w:t>
            </w:r>
            <w:r>
              <w:rPr>
                <w:sz w:val="24"/>
                <w:szCs w:val="24"/>
              </w:rPr>
              <w:t>等民宿品牌影响力持续增强，</w:t>
            </w:r>
            <w:r>
              <w:rPr>
                <w:rFonts w:hint="eastAsia"/>
                <w:sz w:val="24"/>
                <w:szCs w:val="24"/>
              </w:rPr>
              <w:t>“</w:t>
            </w:r>
            <w:r>
              <w:rPr>
                <w:sz w:val="24"/>
                <w:szCs w:val="24"/>
              </w:rPr>
              <w:t>一心五湖六山多点</w:t>
            </w:r>
            <w:r>
              <w:rPr>
                <w:rFonts w:hint="eastAsia"/>
                <w:sz w:val="24"/>
                <w:szCs w:val="24"/>
              </w:rPr>
              <w:t>”</w:t>
            </w:r>
            <w:r>
              <w:rPr>
                <w:sz w:val="24"/>
                <w:szCs w:val="24"/>
              </w:rPr>
              <w:t>的民宿发展格局进一步健全。</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区文化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11</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推动大足区</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文旅产业高质量发展扶持政策</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放大大足文旅资源优势，着力完善现代文旅产业体系，系统推进高质量文旅经济、高水平文旅供给、高品质文旅体验、高效能文旅治理，通过实施</w:t>
            </w:r>
            <w:r>
              <w:rPr>
                <w:rFonts w:hint="eastAsia"/>
                <w:sz w:val="24"/>
                <w:szCs w:val="24"/>
              </w:rPr>
              <w:t>“</w:t>
            </w:r>
            <w:r>
              <w:rPr>
                <w:sz w:val="24"/>
                <w:szCs w:val="24"/>
              </w:rPr>
              <w:t>文化大赋能</w:t>
            </w:r>
            <w:r>
              <w:rPr>
                <w:rFonts w:hint="eastAsia"/>
                <w:sz w:val="24"/>
                <w:szCs w:val="24"/>
              </w:rPr>
              <w:t>”“</w:t>
            </w:r>
            <w:r>
              <w:rPr>
                <w:sz w:val="24"/>
                <w:szCs w:val="24"/>
              </w:rPr>
              <w:t>景区大联动</w:t>
            </w:r>
            <w:r>
              <w:rPr>
                <w:rFonts w:hint="eastAsia"/>
                <w:sz w:val="24"/>
                <w:szCs w:val="24"/>
              </w:rPr>
              <w:t>”“</w:t>
            </w:r>
            <w:r>
              <w:rPr>
                <w:sz w:val="24"/>
                <w:szCs w:val="24"/>
              </w:rPr>
              <w:t>产业大融合</w:t>
            </w:r>
            <w:r>
              <w:rPr>
                <w:rFonts w:hint="eastAsia"/>
                <w:sz w:val="24"/>
                <w:szCs w:val="24"/>
              </w:rPr>
              <w:t>”“</w:t>
            </w:r>
            <w:r>
              <w:rPr>
                <w:sz w:val="24"/>
                <w:szCs w:val="24"/>
              </w:rPr>
              <w:t>营销大创新</w:t>
            </w:r>
            <w:r>
              <w:rPr>
                <w:rFonts w:hint="eastAsia"/>
                <w:sz w:val="24"/>
                <w:szCs w:val="24"/>
              </w:rPr>
              <w:t>”“</w:t>
            </w:r>
            <w:r>
              <w:rPr>
                <w:sz w:val="24"/>
                <w:szCs w:val="24"/>
              </w:rPr>
              <w:t>服务大提升</w:t>
            </w:r>
            <w:r>
              <w:rPr>
                <w:rFonts w:hint="eastAsia"/>
                <w:sz w:val="24"/>
                <w:szCs w:val="24"/>
              </w:rPr>
              <w:t>”</w:t>
            </w:r>
            <w:r>
              <w:rPr>
                <w:sz w:val="24"/>
                <w:szCs w:val="24"/>
              </w:rPr>
              <w:t>五大专项行动，着力构建</w:t>
            </w:r>
            <w:r>
              <w:rPr>
                <w:rFonts w:hint="eastAsia"/>
                <w:sz w:val="24"/>
                <w:szCs w:val="24"/>
              </w:rPr>
              <w:t>“</w:t>
            </w:r>
            <w:r>
              <w:rPr>
                <w:sz w:val="24"/>
                <w:szCs w:val="24"/>
              </w:rPr>
              <w:t>1354</w:t>
            </w:r>
            <w:r>
              <w:rPr>
                <w:rFonts w:hint="eastAsia"/>
                <w:sz w:val="24"/>
                <w:szCs w:val="24"/>
              </w:rPr>
              <w:t>”</w:t>
            </w:r>
            <w:r>
              <w:rPr>
                <w:sz w:val="24"/>
                <w:szCs w:val="24"/>
              </w:rPr>
              <w:t>文旅高质量发展体系，打造具有</w:t>
            </w:r>
            <w:r>
              <w:rPr>
                <w:rFonts w:hint="eastAsia"/>
                <w:sz w:val="24"/>
                <w:szCs w:val="24"/>
              </w:rPr>
              <w:t>“</w:t>
            </w:r>
            <w:r>
              <w:rPr>
                <w:sz w:val="24"/>
                <w:szCs w:val="24"/>
              </w:rPr>
              <w:t>大足辨识度、重庆影响力</w:t>
            </w:r>
            <w:r>
              <w:rPr>
                <w:rFonts w:hint="eastAsia"/>
                <w:sz w:val="24"/>
                <w:szCs w:val="24"/>
              </w:rPr>
              <w:t>”</w:t>
            </w:r>
            <w:r>
              <w:rPr>
                <w:sz w:val="24"/>
                <w:szCs w:val="24"/>
              </w:rPr>
              <w:t>的文旅高质量发展标志性成果，推动大足文旅高质量发展取得新突破。</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到2027年，全区年接待游客量达5000万人次，游客总花费达500亿元，过夜游客120万人次以上，境外游客14万人次以上。其中大足石刻景区购票游客300万人次以上、门票收入2.5亿元以上。龙水湖旅游度假区游船、温泉购票分别达到65万人次、35万人次。全区文化产业增加值占GDP比重5%以上，旅游业增加值占GDP比重5.2%以上。</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区文化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12</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大足中心城区文旅场景提升工作方案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以中心城区文旅功能升级为核心，系统推进母城片区、昌州古城、海棠国际三大核心区域场景创新</w:t>
            </w:r>
            <w:r>
              <w:rPr>
                <w:rFonts w:hint="eastAsia"/>
                <w:sz w:val="24"/>
                <w:szCs w:val="24"/>
              </w:rPr>
              <w:t>。</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rFonts w:hint="eastAsia"/>
                <w:sz w:val="24"/>
                <w:szCs w:val="24"/>
                <w:lang w:eastAsia="zh-CN"/>
              </w:rPr>
              <w:t>大足老城</w:t>
            </w:r>
            <w:r>
              <w:rPr>
                <w:sz w:val="24"/>
                <w:szCs w:val="24"/>
              </w:rPr>
              <w:t>片区完成总体策划，重点推进</w:t>
            </w:r>
            <w:r>
              <w:rPr>
                <w:rFonts w:hint="eastAsia"/>
                <w:sz w:val="24"/>
                <w:szCs w:val="24"/>
              </w:rPr>
              <w:t>“</w:t>
            </w:r>
            <w:r>
              <w:rPr>
                <w:sz w:val="24"/>
                <w:szCs w:val="24"/>
              </w:rPr>
              <w:t>大足印象</w:t>
            </w:r>
            <w:r>
              <w:rPr>
                <w:rFonts w:hint="eastAsia"/>
                <w:sz w:val="24"/>
                <w:szCs w:val="24"/>
              </w:rPr>
              <w:t>”</w:t>
            </w:r>
            <w:r>
              <w:rPr>
                <w:sz w:val="24"/>
                <w:szCs w:val="24"/>
              </w:rPr>
              <w:t>魔幻场景建设及龙中路花箱布置，完成丁家坡好吃街打造，滨河路、国梁路、工农北巷提升，完成夜市延伸打造；完成龙中路院落打造（包含烟草公司文化大院、公路养护中心城市魔方、卫健委网红达人大楼、健康教育中心青年休闲空间、交委特色民宿）；昌州古城完成运营策划，完成香霏阁及帝师桥宋韵美学空间、荷棠夜市沉浸式宋风街区的场景打造，工会剧场项目投入使用，香霏阁周边及帝师桥灯光秀、街区风貌营造及多元示范性商业业态植入。海棠国际优化设计方案开展招商工作，争取全面开工。海棠国际施工完成并全面招商，逐步投入运营。</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发展（开创）集团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13</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大足区文旅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国际化行动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sz w:val="24"/>
                <w:szCs w:val="24"/>
              </w:rPr>
              <w:t>工作方案</w:t>
            </w:r>
          </w:p>
        </w:tc>
        <w:tc>
          <w:tcPr>
            <w:tcW w:w="65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聚焦国际化，坚持以文塑旅、以旅彰文，深度挖掘大足文旅资源潜力，通过创新举措与协同发展，全面提升大足文旅的国际知名度、美誉度和吸引力，加快推进国际文旅名城建设。</w:t>
            </w:r>
          </w:p>
        </w:tc>
        <w:tc>
          <w:tcPr>
            <w:tcW w:w="5839"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rPr>
                <w:sz w:val="24"/>
                <w:szCs w:val="24"/>
              </w:rPr>
            </w:pPr>
            <w:r>
              <w:rPr>
                <w:sz w:val="24"/>
                <w:szCs w:val="24"/>
              </w:rPr>
              <w:t>到2027年，发挥大足石刻、龙水湖旅游度假区的国际影响力，提升国际交往服务能力。大足石刻研究院初步建成世界知名研究院，国际文旅名城的带动效应得到彰显。外国网红、留学生来足宣传形成常态。接待外国政要、使领馆官员及来访团组等外宾和港澳来宾2000人次以上，年接待境外游客14万人次以上。</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sz w:val="24"/>
                <w:szCs w:val="24"/>
              </w:rPr>
            </w:pPr>
            <w:r>
              <w:rPr>
                <w:rFonts w:hint="eastAsia"/>
                <w:sz w:val="24"/>
                <w:szCs w:val="24"/>
              </w:rPr>
              <w:t>区政府外办</w:t>
            </w:r>
          </w:p>
        </w:tc>
      </w:tr>
    </w:tbl>
    <w:p>
      <w:pPr>
        <w:keepNext w:val="0"/>
        <w:keepLines w:val="0"/>
        <w:pageBreakBefore w:val="0"/>
        <w:widowControl w:val="0"/>
        <w:shd w:val="clear"/>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color w:val="auto"/>
          <w:sz w:val="44"/>
          <w:szCs w:val="24"/>
        </w:rPr>
      </w:pPr>
      <w:r>
        <w:rPr>
          <w:color w:val="auto"/>
        </w:rPr>
        <w:br w:type="page"/>
      </w:r>
      <w:r>
        <w:rPr>
          <w:rFonts w:hint="eastAsia" w:ascii="方正小标宋_GBK" w:hAnsi="方正小标宋_GBK" w:eastAsia="方正小标宋_GBK" w:cs="方正小标宋_GBK"/>
          <w:color w:val="auto"/>
          <w:sz w:val="44"/>
          <w:szCs w:val="24"/>
        </w:rPr>
        <w:t>重庆市大足区“十五五”建设国际文旅名城、打造巴蜀</w:t>
      </w:r>
    </w:p>
    <w:p>
      <w:pPr>
        <w:keepNext w:val="0"/>
        <w:keepLines w:val="0"/>
        <w:pageBreakBefore w:val="0"/>
        <w:widowControl w:val="0"/>
        <w:shd w:val="clear"/>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color w:val="auto"/>
          <w:sz w:val="44"/>
          <w:szCs w:val="24"/>
        </w:rPr>
      </w:pPr>
      <w:r>
        <w:rPr>
          <w:rFonts w:hint="eastAsia" w:ascii="方正小标宋_GBK" w:hAnsi="方正小标宋_GBK" w:eastAsia="方正小标宋_GBK" w:cs="方正小标宋_GBK"/>
          <w:color w:val="auto"/>
          <w:sz w:val="44"/>
          <w:szCs w:val="24"/>
        </w:rPr>
        <w:t>文化会客厅规划重大平台清单</w:t>
      </w:r>
    </w:p>
    <w:tbl>
      <w:tblPr>
        <w:tblStyle w:val="34"/>
        <w:tblW w:w="16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14"/>
        <w:gridCol w:w="6180"/>
        <w:gridCol w:w="606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重大平台</w:t>
            </w:r>
          </w:p>
        </w:tc>
        <w:tc>
          <w:tcPr>
            <w:tcW w:w="618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主要内容</w:t>
            </w:r>
          </w:p>
        </w:tc>
        <w:tc>
          <w:tcPr>
            <w:tcW w:w="6066"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预期目标</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1</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资大石窟寺</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文物主题游径</w:t>
            </w:r>
          </w:p>
        </w:tc>
        <w:tc>
          <w:tcPr>
            <w:tcW w:w="618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石窟寺保护管理设施及管理用房建设、石窟寺展示设施提升、石窟寺重点景区环境整治及景观提升、主题游径标识及导览系统建设、川东道徒步线路保护建设、旅游道路系统提升及相关配套设施建设、游径驿站建设、石窟寺夜游开发（以北山为主）、研学教育中心建设、旅游公交线路开通、相关非遗展示传承场所建设、文创园非遗展示中心建设、数字化管理平台搭建、电子地图及线上导览系统建设、主题宣传片拍摄等。</w:t>
            </w:r>
          </w:p>
        </w:tc>
        <w:tc>
          <w:tcPr>
            <w:tcW w:w="6066"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到2027年完成主题游径LOGO征集，完成主题游径开放点位相关配套基础设施建设，实施绿化景观整治提升，完成游径沿线标识标牌制作，全面实现游径对外开放。</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到2030年，以“川渝石窟寺国家遗址公园”建设为契机，深度融入</w:t>
            </w:r>
            <w:r>
              <w:rPr>
                <w:rFonts w:hint="eastAsia"/>
                <w:sz w:val="24"/>
                <w:szCs w:val="24"/>
              </w:rPr>
              <w:t>成渝地区双城经济圈建设</w:t>
            </w:r>
            <w:r>
              <w:rPr>
                <w:sz w:val="24"/>
                <w:szCs w:val="24"/>
              </w:rPr>
              <w:t>与乡村振兴战略，打造“乡村石窟寺文化景点”“乡村石窟寺微景观”，“乡村石窟寺文化公园”，串珠成链，构建起独具特色的石窟（刻）文物主题游径，带动周边区县农商文旅产业发展。</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sz w:val="24"/>
                <w:szCs w:val="24"/>
              </w:rPr>
              <w:t>大足石刻研究院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2</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龙水湖创建</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国家级旅游</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度假区</w:t>
            </w:r>
          </w:p>
        </w:tc>
        <w:tc>
          <w:tcPr>
            <w:tcW w:w="618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rFonts w:hint="eastAsia"/>
                <w:sz w:val="24"/>
                <w:szCs w:val="24"/>
              </w:rPr>
              <w:t>对标《旅游度假区等级划分》国家级标准，以创建国家级旅游度假区为目标，系统推进八大提升行动：聚焦科学规划引领，打造“休闲运动、康体疗养、研学体验、主题游乐、创意夜游”融合发展的产品体系；健全“酒店+公寓+民宿+营地”等多元住宿和特色餐饮购物配套；推动基础设施智慧化、服务标准化和管理精细化；强化品牌营销和区域联动；加大康养、文旅等重点领域招商引资与存量资产盘活；加强生态保护修复，推动绿色可持续发展，全面促进度假区提质升级，打造产城景融合发展的示范标杆。</w:t>
            </w:r>
          </w:p>
        </w:tc>
        <w:tc>
          <w:tcPr>
            <w:tcW w:w="6066"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sz w:val="24"/>
                <w:szCs w:val="24"/>
              </w:rPr>
              <w:t>2027年，</w:t>
            </w:r>
            <w:r>
              <w:rPr>
                <w:rFonts w:hint="eastAsia"/>
                <w:sz w:val="24"/>
                <w:szCs w:val="24"/>
                <w:lang w:val="en-US" w:eastAsia="zh-CN"/>
              </w:rPr>
              <w:t>力争</w:t>
            </w:r>
            <w:r>
              <w:rPr>
                <w:rFonts w:hint="eastAsia"/>
                <w:sz w:val="24"/>
                <w:szCs w:val="24"/>
              </w:rPr>
              <w:t>达到国家级旅游度假区创建标准，</w:t>
            </w:r>
            <w:r>
              <w:rPr>
                <w:sz w:val="24"/>
                <w:szCs w:val="24"/>
              </w:rPr>
              <w:t>到2030年</w:t>
            </w:r>
            <w:r>
              <w:rPr>
                <w:rFonts w:hint="eastAsia"/>
                <w:sz w:val="24"/>
                <w:szCs w:val="24"/>
              </w:rPr>
              <w:t>实现年接待游客100万人次，其中游船、温泉项目购票人次分别达到65万和35万，过夜游客规模突破30万人次。通过度假区业态扩充与服务升级，有效促进区域文旅消费提升与经济社会协调发展，成为渝西地区重要的旅游目的地和产城景融合发展的示范样板。</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区龙水湖旅游度假区发展中心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sz w:val="24"/>
                <w:szCs w:val="24"/>
                <w:lang w:val="en-US" w:eastAsia="zh-CN"/>
              </w:rPr>
            </w:pPr>
            <w:r>
              <w:rPr>
                <w:rFonts w:hint="eastAsia"/>
                <w:sz w:val="24"/>
                <w:szCs w:val="24"/>
                <w:lang w:val="en-US" w:eastAsia="zh-CN"/>
              </w:rPr>
              <w:t>3</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sz w:val="24"/>
                <w:szCs w:val="24"/>
              </w:rPr>
            </w:pPr>
            <w:r>
              <w:rPr>
                <w:rFonts w:hint="eastAsia"/>
                <w:sz w:val="24"/>
                <w:szCs w:val="24"/>
              </w:rPr>
              <w:t>文创园</w:t>
            </w:r>
            <w:r>
              <w:rPr>
                <w:rFonts w:hint="default"/>
                <w:sz w:val="24"/>
                <w:szCs w:val="24"/>
              </w:rPr>
              <w:t>5</w:t>
            </w:r>
            <w:r>
              <w:rPr>
                <w:rFonts w:hint="eastAsia"/>
                <w:sz w:val="24"/>
                <w:szCs w:val="24"/>
              </w:rPr>
              <w:t>A级景区建设</w:t>
            </w:r>
          </w:p>
        </w:tc>
        <w:tc>
          <w:tcPr>
            <w:tcW w:w="618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sz w:val="24"/>
                <w:szCs w:val="24"/>
              </w:rPr>
            </w:pPr>
            <w:r>
              <w:rPr>
                <w:rFonts w:hint="eastAsia"/>
                <w:sz w:val="24"/>
                <w:szCs w:val="24"/>
              </w:rPr>
              <w:t>按照5A级景区标准，完善园区旅游配套，因地制宜布局主题民宿、文创市集等业态，建设游客服务中心，提升园区“吃住行游购娱商养学闲情奇”旅游要素，持续组织开展文旅特色活动。</w:t>
            </w:r>
          </w:p>
        </w:tc>
        <w:tc>
          <w:tcPr>
            <w:tcW w:w="6066"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rFonts w:hint="eastAsia"/>
                <w:sz w:val="24"/>
                <w:szCs w:val="24"/>
              </w:rPr>
              <w:t>园区旅游基础配套完备齐全，文创+旅游产业深度融合发展，文旅吸引力显著增强，年游客量超 50 万人次。</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sz w:val="24"/>
                <w:szCs w:val="24"/>
              </w:rPr>
            </w:pPr>
            <w:r>
              <w:rPr>
                <w:rFonts w:hint="eastAsia"/>
                <w:sz w:val="24"/>
                <w:szCs w:val="24"/>
              </w:rPr>
              <w:t>区文化旅游委、大足高新区、高科集团</w:t>
            </w:r>
          </w:p>
        </w:tc>
      </w:tr>
    </w:tbl>
    <w:p>
      <w:pPr>
        <w:keepNext w:val="0"/>
        <w:keepLines w:val="0"/>
        <w:pageBreakBefore w:val="0"/>
        <w:widowControl w:val="0"/>
        <w:kinsoku/>
        <w:wordWrap/>
        <w:overflowPunct/>
        <w:topLinePunct w:val="0"/>
        <w:autoSpaceDE/>
        <w:autoSpaceDN/>
        <w:bidi w:val="0"/>
        <w:adjustRightInd/>
        <w:snapToGrid/>
        <w:spacing w:line="80" w:lineRule="exact"/>
        <w:textAlignment w:val="auto"/>
        <w:rPr>
          <w:rFonts w:hint="default"/>
          <w:lang w:val="en-US" w:eastAsia="zh-CN"/>
        </w:rPr>
      </w:pPr>
    </w:p>
    <w:sectPr>
      <w:footerReference r:id="rId4" w:type="default"/>
      <w:pgSz w:w="16838" w:h="11906" w:orient="landscape"/>
      <w:pgMar w:top="1134" w:right="1134" w:bottom="1134" w:left="1134" w:header="720" w:footer="907" w:gutter="0"/>
      <w:pgNumType w:fmt="decimal"/>
      <w:cols w:space="0" w:num="1"/>
      <w:rtlGutter w:val="0"/>
      <w:docGrid w:type="linesAndChars" w:linePitch="6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0963201-4560-484D-B429-2965875495F9}"/>
  </w:font>
  <w:font w:name="Arial">
    <w:panose1 w:val="020B0604020202020204"/>
    <w:charset w:val="01"/>
    <w:family w:val="swiss"/>
    <w:pitch w:val="default"/>
    <w:sig w:usb0="E0002AFF" w:usb1="C0007843" w:usb2="00000009" w:usb3="00000000" w:csb0="400001FF" w:csb1="FFFF0000"/>
    <w:embedRegular r:id="rId2" w:fontKey="{18DFC0D3-BE0E-4252-9DB2-741C325DAF9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D046B04-4280-4F85-AA19-ACF157965E54}"/>
  </w:font>
  <w:font w:name="Symbol">
    <w:panose1 w:val="05050102010706020507"/>
    <w:charset w:val="02"/>
    <w:family w:val="roman"/>
    <w:pitch w:val="default"/>
    <w:sig w:usb0="00000000" w:usb1="00000000" w:usb2="00000000" w:usb3="00000000" w:csb0="80000000" w:csb1="00000000"/>
    <w:embedRegular r:id="rId4" w:fontKey="{1C84368F-C1DB-42B4-95CA-8DF1E6BD15A5}"/>
  </w:font>
  <w:font w:name="Calibri">
    <w:panose1 w:val="020F0502020204030204"/>
    <w:charset w:val="00"/>
    <w:family w:val="swiss"/>
    <w:pitch w:val="default"/>
    <w:sig w:usb0="E00002FF" w:usb1="4000ACFF" w:usb2="00000001" w:usb3="00000000" w:csb0="2000019F" w:csb1="00000000"/>
    <w:embedRegular r:id="rId5" w:fontKey="{3CF208EA-285E-4518-85DB-C1401AAB0A7E}"/>
  </w:font>
  <w:font w:name="方正仿宋_GBK">
    <w:panose1 w:val="03000509000000000000"/>
    <w:charset w:val="86"/>
    <w:family w:val="script"/>
    <w:pitch w:val="default"/>
    <w:sig w:usb0="00000001" w:usb1="080E0000" w:usb2="00000000" w:usb3="00000000" w:csb0="00040000" w:csb1="00000000"/>
    <w:embedRegular r:id="rId6" w:fontKey="{66C8BDAA-E697-4472-AECD-B8FFA5E9FBEF}"/>
  </w:font>
  <w:font w:name="方正小标宋_GBK">
    <w:panose1 w:val="03000509000000000000"/>
    <w:charset w:val="86"/>
    <w:family w:val="script"/>
    <w:pitch w:val="default"/>
    <w:sig w:usb0="00000001" w:usb1="080E0000" w:usb2="00000000" w:usb3="00000000" w:csb0="00040000" w:csb1="00000000"/>
    <w:embedRegular r:id="rId7" w:fontKey="{481A0968-8D90-47C4-A3C6-CB672D15370A}"/>
  </w:font>
  <w:font w:name="方正黑体_GBK">
    <w:panose1 w:val="03000509000000000000"/>
    <w:charset w:val="86"/>
    <w:family w:val="auto"/>
    <w:pitch w:val="default"/>
    <w:sig w:usb0="00000001" w:usb1="080E0000" w:usb2="00000000" w:usb3="00000000" w:csb0="00040000" w:csb1="00000000"/>
    <w:embedRegular r:id="rId8" w:fontKey="{6AFDC31F-AA5E-49C5-956B-E0C9C006F905}"/>
  </w:font>
  <w:font w:name="方正楷体_GBK">
    <w:panose1 w:val="03000509000000000000"/>
    <w:charset w:val="86"/>
    <w:family w:val="auto"/>
    <w:pitch w:val="default"/>
    <w:sig w:usb0="00000001" w:usb1="080E0000" w:usb2="00000000" w:usb3="00000000" w:csb0="00040000" w:csb1="00000000"/>
    <w:embedRegular r:id="rId9" w:fontKey="{24EAAE0E-86CC-4770-9160-D0DC9830E994}"/>
  </w:font>
  <w:font w:name="Tw Cen MT Condensed">
    <w:panose1 w:val="020B0606020104020203"/>
    <w:charset w:val="00"/>
    <w:family w:val="auto"/>
    <w:pitch w:val="default"/>
    <w:sig w:usb0="00000003" w:usb1="00000000" w:usb2="00000000" w:usb3="00000000" w:csb0="20000003" w:csb1="00000000"/>
    <w:embedRegular r:id="rId10" w:fontKey="{7F7511CC-CBF9-4FDB-8AD1-929E4BB8C96B}"/>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auto"/>
    <w:pitch w:val="default"/>
    <w:sig w:usb0="E00002FF" w:usb1="400004FF" w:usb2="00000000" w:usb3="00000000" w:csb0="2000019F" w:csb1="00000000"/>
    <w:embedRegular r:id="rId11" w:fontKey="{D27B7C19-B33D-4215-A679-7CCA6A8047AC}"/>
  </w:font>
  <w:font w:name="楷体_GB2312">
    <w:altName w:val="楷体"/>
    <w:panose1 w:val="02010609030101010101"/>
    <w:charset w:val="86"/>
    <w:family w:val="modern"/>
    <w:pitch w:val="default"/>
    <w:sig w:usb0="00000000" w:usb1="00000000" w:usb2="00000000" w:usb3="00000000" w:csb0="00040000" w:csb1="00000000"/>
  </w:font>
  <w:font w:name="Helvetica">
    <w:panose1 w:val="020B0504020202030204"/>
    <w:charset w:val="00"/>
    <w:family w:val="swiss"/>
    <w:pitch w:val="default"/>
    <w:sig w:usb0="00000007" w:usb1="00000000" w:usb2="00000000" w:usb3="00000000" w:csb0="00000093" w:csb1="00000000"/>
    <w:embedRegular r:id="rId12" w:fontKey="{9A2AA091-AFC7-45B0-8106-A85BCF6F0404}"/>
  </w:font>
  <w:font w:name="Tahoma">
    <w:panose1 w:val="020B0604030504040204"/>
    <w:charset w:val="01"/>
    <w:family w:val="auto"/>
    <w:pitch w:val="default"/>
    <w:sig w:usb0="E1002EFF" w:usb1="C000605B" w:usb2="00000029" w:usb3="00000000" w:csb0="200101FF" w:csb1="20280000"/>
    <w:embedRegular r:id="rId13" w:fontKey="{FBCEAB65-861A-4562-B0A6-063D8B290C12}"/>
  </w:font>
  <w:font w:name="仿宋">
    <w:panose1 w:val="02010609060101010101"/>
    <w:charset w:val="86"/>
    <w:family w:val="auto"/>
    <w:pitch w:val="default"/>
    <w:sig w:usb0="800002BF" w:usb1="38CF7CFA" w:usb2="00000016" w:usb3="00000000" w:csb0="00040001" w:csb1="00000000"/>
    <w:embedRegular r:id="rId14" w:fontKey="{6AADBDA7-56EE-440B-B2C5-C2BAF0FCAFB8}"/>
  </w:font>
  <w:font w:name="方正姚体">
    <w:altName w:val="宋体"/>
    <w:panose1 w:val="02010601030101010101"/>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0"/>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-266700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ascii="仿宋" w:hAnsi="仿宋" w:eastAsia="仿宋" w:cs="仿宋"/>
                              <w:sz w:val="24"/>
                              <w:szCs w:val="24"/>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21pt;height:144pt;width:144pt;mso-position-horizontal:outside;mso-position-horizontal-relative:margin;mso-wrap-style:none;z-index:251659264;mso-width-relative:page;mso-height-relative:page;" filled="f" stroked="f" coordsize="21600,21600" o:gfxdata="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oGhjtMAAAAIAQAADwAAAAAAAAABACAAAAAiAAAAZHJzL2Rvd25yZXYu&#10;eG1sUEsBAhQAFAAAAAgAh07iQPQJJ5fHAQAAmQMAAA4AAAAAAAAAAQAgAAAAIgEAAGRycy9lMm9E&#10;b2MueG1sUEsFBgAAAAAGAAYAWQEAAFsFAAAAAA==&#10;">
              <v:fill on="f" focussize="0,0"/>
              <v:stroke on="f"/>
              <v:imagedata o:title=""/>
              <o:lock v:ext="edit" aspectratio="f"/>
              <v:textbox inset="0mm,0mm,0mm,0mm" style="mso-fit-shape-to-text:t;">
                <w:txbxContent>
                  <w:p>
                    <w:pPr>
                      <w:pStyle w:val="20"/>
                      <w:rPr>
                        <w:rFonts w:hint="eastAsia" w:ascii="仿宋" w:hAnsi="仿宋" w:eastAsia="仿宋" w:cs="仿宋"/>
                        <w:sz w:val="24"/>
                        <w:szCs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0"/>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-266700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ascii="仿宋" w:hAnsi="仿宋" w:eastAsia="仿宋" w:cs="仿宋"/>
                              <w:sz w:val="24"/>
                              <w:szCs w:val="24"/>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21pt;height:144pt;width:144pt;mso-position-horizontal:outside;mso-position-horizontal-relative:margin;mso-wrap-style:none;z-index:251661312;mso-width-relative:page;mso-height-relative:page;" filled="f" stroked="f" coordsize="21600,21600" o:gfxdata="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KBoY7TAAAACAEAAA8AAAAAAAAAAQAgAAAAIgAAAGRycy9kb3ducmV2&#10;LnhtbFBLAQIUABQAAAAIAIdO4kAlkzSpyAEAAJkDAAAOAAAAAAAAAAEAIAAAACIBAABkcnMvZTJv&#10;RG9jLnhtbFBLBQYAAAAABgAGAFkBAABcBQAAAAA=&#10;">
              <v:fill on="f" focussize="0,0"/>
              <v:stroke on="f"/>
              <v:imagedata o:title=""/>
              <o:lock v:ext="edit" aspectratio="f"/>
              <v:textbox inset="0mm,0mm,0mm,0mm" style="mso-fit-shape-to-text:t;">
                <w:txbxContent>
                  <w:p>
                    <w:pPr>
                      <w:pStyle w:val="20"/>
                      <w:rPr>
                        <w:rFonts w:hint="eastAsia" w:ascii="仿宋" w:hAnsi="仿宋" w:eastAsia="仿宋" w:cs="仿宋"/>
                        <w:sz w:val="24"/>
                        <w:szCs w:val="24"/>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chineseCounting"/>
      <w:suff w:val="nothing"/>
      <w:lvlText w:val="第%1章 "/>
      <w:lvlJc w:val="left"/>
      <w:pPr>
        <w:ind w:left="432" w:hanging="432"/>
      </w:pPr>
      <w:rPr>
        <w:rFonts w:hint="eastAsia" w:eastAsia="方正黑体_GBK"/>
        <w:sz w:val="32"/>
      </w:rPr>
    </w:lvl>
    <w:lvl w:ilvl="1" w:tentative="0">
      <w:start w:val="1"/>
      <w:numFmt w:val="decimal"/>
      <w:isLgl/>
      <w:suff w:val="space"/>
      <w:lvlText w:val="%1.%2."/>
      <w:lvlJc w:val="left"/>
      <w:pPr>
        <w:ind w:left="0" w:firstLine="113"/>
      </w:pPr>
      <w:rPr>
        <w:rFonts w:hint="eastAsia" w:eastAsia="方正楷体_GBK"/>
        <w:sz w:val="28"/>
        <w:szCs w:val="30"/>
      </w:rPr>
    </w:lvl>
    <w:lvl w:ilvl="2" w:tentative="0">
      <w:start w:val="1"/>
      <w:numFmt w:val="decimal"/>
      <w:pStyle w:val="2"/>
      <w:isLgl/>
      <w:suff w:val="space"/>
      <w:lvlText w:val="%1.%2.%3."/>
      <w:lvlJc w:val="left"/>
      <w:pPr>
        <w:tabs>
          <w:tab w:val="left" w:pos="420"/>
        </w:tabs>
        <w:ind w:left="0" w:firstLine="113"/>
      </w:pPr>
      <w:rPr>
        <w:rFonts w:hint="eastAsia" w:eastAsia="方正楷体_GBK"/>
        <w:sz w:val="28"/>
      </w:rPr>
    </w:lvl>
    <w:lvl w:ilvl="3" w:tentative="0">
      <w:start w:val="1"/>
      <w:numFmt w:val="decimal"/>
      <w:isLgl/>
      <w:lvlText w:val="%1.%2.%3.%4."/>
      <w:lvlJc w:val="left"/>
      <w:pPr>
        <w:ind w:left="1857"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lvlRestart w:val="2"/>
      <w:isLgl/>
      <w:suff w:val="space"/>
      <w:lvlText w:val="图%1.%2-%7"/>
      <w:lvlJc w:val="center"/>
      <w:pPr>
        <w:tabs>
          <w:tab w:val="left" w:pos="420"/>
        </w:tabs>
        <w:ind w:left="1296" w:hanging="1296"/>
      </w:pPr>
      <w:rPr>
        <w:rFonts w:hint="eastAsia" w:ascii="方正黑体_GBK" w:hAnsi="方正黑体_GBK" w:eastAsia="方正黑体_GBK" w:cs="宋体"/>
        <w:sz w:val="28"/>
      </w:rPr>
    </w:lvl>
    <w:lvl w:ilvl="7" w:tentative="0">
      <w:start w:val="1"/>
      <w:numFmt w:val="decimal"/>
      <w:lvlRestart w:val="2"/>
      <w:isLgl/>
      <w:suff w:val="space"/>
      <w:lvlText w:val="表%1.%2-%8"/>
      <w:lvlJc w:val="left"/>
      <w:pPr>
        <w:tabs>
          <w:tab w:val="left" w:pos="420"/>
        </w:tabs>
        <w:ind w:left="0" w:firstLine="0"/>
      </w:pPr>
      <w:rPr>
        <w:rFonts w:hint="eastAsia" w:ascii="方正黑体_GBK" w:hAnsi="方正黑体_GBK" w:eastAsia="方正黑体_GBK" w:cs="宋体"/>
        <w:sz w:val="28"/>
      </w:rPr>
    </w:lvl>
    <w:lvl w:ilvl="8" w:tentative="0">
      <w:start w:val="1"/>
      <w:numFmt w:val="decimal"/>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320"/>
  <w:drawingGridVerticalSpacing w:val="300"/>
  <w:displayHorizontalDrawingGridEvery w:val="1"/>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3MjJkMDE4YzI1YzgzYWM4ZmUzMGYxZTE4NGM1MmUifQ=="/>
  </w:docVars>
  <w:rsids>
    <w:rsidRoot w:val="00172A27"/>
    <w:rsid w:val="000E25AC"/>
    <w:rsid w:val="003B5F0D"/>
    <w:rsid w:val="004C0D46"/>
    <w:rsid w:val="00564C5E"/>
    <w:rsid w:val="006900D4"/>
    <w:rsid w:val="008249F5"/>
    <w:rsid w:val="0092700D"/>
    <w:rsid w:val="00B5443F"/>
    <w:rsid w:val="00FA5B43"/>
    <w:rsid w:val="013F624D"/>
    <w:rsid w:val="0158633E"/>
    <w:rsid w:val="015B3238"/>
    <w:rsid w:val="016A347B"/>
    <w:rsid w:val="018C2A59"/>
    <w:rsid w:val="01A53CED"/>
    <w:rsid w:val="01B71ED7"/>
    <w:rsid w:val="01C74429"/>
    <w:rsid w:val="020115E9"/>
    <w:rsid w:val="02254F71"/>
    <w:rsid w:val="023D4080"/>
    <w:rsid w:val="02DE2C3C"/>
    <w:rsid w:val="02F41CAD"/>
    <w:rsid w:val="03005BA8"/>
    <w:rsid w:val="030D40BE"/>
    <w:rsid w:val="03597303"/>
    <w:rsid w:val="03791753"/>
    <w:rsid w:val="03D26FD0"/>
    <w:rsid w:val="04021255"/>
    <w:rsid w:val="0422003D"/>
    <w:rsid w:val="04373815"/>
    <w:rsid w:val="047F3275"/>
    <w:rsid w:val="04877251"/>
    <w:rsid w:val="0488180C"/>
    <w:rsid w:val="05095343"/>
    <w:rsid w:val="05143E2A"/>
    <w:rsid w:val="052E7CC8"/>
    <w:rsid w:val="054A6800"/>
    <w:rsid w:val="054F6C10"/>
    <w:rsid w:val="05B127D4"/>
    <w:rsid w:val="05BC75CD"/>
    <w:rsid w:val="05D8564F"/>
    <w:rsid w:val="060317A8"/>
    <w:rsid w:val="060B6A74"/>
    <w:rsid w:val="060D31F3"/>
    <w:rsid w:val="064C510C"/>
    <w:rsid w:val="06526B42"/>
    <w:rsid w:val="06744454"/>
    <w:rsid w:val="06B059B1"/>
    <w:rsid w:val="06FF66D6"/>
    <w:rsid w:val="071C4480"/>
    <w:rsid w:val="0743350A"/>
    <w:rsid w:val="079012EF"/>
    <w:rsid w:val="07C37441"/>
    <w:rsid w:val="07E44F1F"/>
    <w:rsid w:val="08114592"/>
    <w:rsid w:val="08561B6D"/>
    <w:rsid w:val="08873AC3"/>
    <w:rsid w:val="08BB636A"/>
    <w:rsid w:val="08FD4BD5"/>
    <w:rsid w:val="091E3B74"/>
    <w:rsid w:val="0943196B"/>
    <w:rsid w:val="0957312E"/>
    <w:rsid w:val="095E1B17"/>
    <w:rsid w:val="09A03EDE"/>
    <w:rsid w:val="09C113F6"/>
    <w:rsid w:val="09D973F0"/>
    <w:rsid w:val="09E941BE"/>
    <w:rsid w:val="0A221277"/>
    <w:rsid w:val="0AA03A6A"/>
    <w:rsid w:val="0ABA044E"/>
    <w:rsid w:val="0AC01A94"/>
    <w:rsid w:val="0AC4530F"/>
    <w:rsid w:val="0ADD4CBE"/>
    <w:rsid w:val="0B34712F"/>
    <w:rsid w:val="0B9E1E42"/>
    <w:rsid w:val="0C10684C"/>
    <w:rsid w:val="0C142961"/>
    <w:rsid w:val="0C6974CE"/>
    <w:rsid w:val="0C776A4C"/>
    <w:rsid w:val="0C795300"/>
    <w:rsid w:val="0C913FB2"/>
    <w:rsid w:val="0CA855B3"/>
    <w:rsid w:val="0CA93B97"/>
    <w:rsid w:val="0E0343B9"/>
    <w:rsid w:val="0E501D26"/>
    <w:rsid w:val="0E7C07F7"/>
    <w:rsid w:val="0EA90592"/>
    <w:rsid w:val="0EAF5534"/>
    <w:rsid w:val="0F0B1BEF"/>
    <w:rsid w:val="0F1A57D1"/>
    <w:rsid w:val="0F3550C8"/>
    <w:rsid w:val="0F3A0931"/>
    <w:rsid w:val="0F3D2A43"/>
    <w:rsid w:val="0F607C6B"/>
    <w:rsid w:val="0F621C35"/>
    <w:rsid w:val="0F7702DF"/>
    <w:rsid w:val="0FA9274A"/>
    <w:rsid w:val="0FCB1589"/>
    <w:rsid w:val="103E61FE"/>
    <w:rsid w:val="104B091B"/>
    <w:rsid w:val="1065378B"/>
    <w:rsid w:val="106F0166"/>
    <w:rsid w:val="10853E2D"/>
    <w:rsid w:val="10DE353E"/>
    <w:rsid w:val="10EC007E"/>
    <w:rsid w:val="10F60142"/>
    <w:rsid w:val="10F66AD9"/>
    <w:rsid w:val="111E09AB"/>
    <w:rsid w:val="112A1C88"/>
    <w:rsid w:val="11303369"/>
    <w:rsid w:val="11472CB8"/>
    <w:rsid w:val="11553800"/>
    <w:rsid w:val="11691059"/>
    <w:rsid w:val="118916FB"/>
    <w:rsid w:val="11AA6321"/>
    <w:rsid w:val="11DD7A33"/>
    <w:rsid w:val="123F1DBA"/>
    <w:rsid w:val="12442A26"/>
    <w:rsid w:val="12540C05"/>
    <w:rsid w:val="12A54313"/>
    <w:rsid w:val="12C00550"/>
    <w:rsid w:val="13346B9F"/>
    <w:rsid w:val="135F173E"/>
    <w:rsid w:val="13622204"/>
    <w:rsid w:val="136F66CF"/>
    <w:rsid w:val="13907277"/>
    <w:rsid w:val="13984A59"/>
    <w:rsid w:val="13FD014D"/>
    <w:rsid w:val="140E5EE8"/>
    <w:rsid w:val="147C3F5E"/>
    <w:rsid w:val="14885C9A"/>
    <w:rsid w:val="14997EA7"/>
    <w:rsid w:val="14A40341"/>
    <w:rsid w:val="14A8364A"/>
    <w:rsid w:val="15094E14"/>
    <w:rsid w:val="15400323"/>
    <w:rsid w:val="155B6F0B"/>
    <w:rsid w:val="15C54CCC"/>
    <w:rsid w:val="15D512B9"/>
    <w:rsid w:val="15D831D7"/>
    <w:rsid w:val="15DD3DC4"/>
    <w:rsid w:val="15E2762C"/>
    <w:rsid w:val="160808B5"/>
    <w:rsid w:val="161E17DF"/>
    <w:rsid w:val="16625052"/>
    <w:rsid w:val="16702331"/>
    <w:rsid w:val="16960A37"/>
    <w:rsid w:val="16CB6312"/>
    <w:rsid w:val="16CC4954"/>
    <w:rsid w:val="16DB47A7"/>
    <w:rsid w:val="16EE18F3"/>
    <w:rsid w:val="17033CFE"/>
    <w:rsid w:val="1720040C"/>
    <w:rsid w:val="172F4AF3"/>
    <w:rsid w:val="176B7471"/>
    <w:rsid w:val="17B70F2B"/>
    <w:rsid w:val="17CA632C"/>
    <w:rsid w:val="183B0D58"/>
    <w:rsid w:val="18554C8B"/>
    <w:rsid w:val="1869160B"/>
    <w:rsid w:val="18892320"/>
    <w:rsid w:val="18DF60A5"/>
    <w:rsid w:val="18EB16E7"/>
    <w:rsid w:val="190B4032"/>
    <w:rsid w:val="19342DA6"/>
    <w:rsid w:val="194C391E"/>
    <w:rsid w:val="196F5B7B"/>
    <w:rsid w:val="197C3BFF"/>
    <w:rsid w:val="1A35648A"/>
    <w:rsid w:val="1A61381A"/>
    <w:rsid w:val="1A732F49"/>
    <w:rsid w:val="1A954419"/>
    <w:rsid w:val="1AEB1669"/>
    <w:rsid w:val="1B0301BD"/>
    <w:rsid w:val="1B5543FC"/>
    <w:rsid w:val="1B560C73"/>
    <w:rsid w:val="1B5D49E1"/>
    <w:rsid w:val="1B7D48E4"/>
    <w:rsid w:val="1C247BD1"/>
    <w:rsid w:val="1C256CC1"/>
    <w:rsid w:val="1C2C33AF"/>
    <w:rsid w:val="1C752750"/>
    <w:rsid w:val="1C7B6717"/>
    <w:rsid w:val="1C8747F8"/>
    <w:rsid w:val="1CB74DF8"/>
    <w:rsid w:val="1CE55376"/>
    <w:rsid w:val="1D0B4D96"/>
    <w:rsid w:val="1D573B70"/>
    <w:rsid w:val="1DA50631"/>
    <w:rsid w:val="1DCA2426"/>
    <w:rsid w:val="1E0D5462"/>
    <w:rsid w:val="1E0E437F"/>
    <w:rsid w:val="1E1D56A5"/>
    <w:rsid w:val="1E455A6E"/>
    <w:rsid w:val="1E5B441F"/>
    <w:rsid w:val="1EDF6033"/>
    <w:rsid w:val="1F0C11BD"/>
    <w:rsid w:val="1F5350F7"/>
    <w:rsid w:val="1F5462F6"/>
    <w:rsid w:val="1F5F3A9B"/>
    <w:rsid w:val="1F7D9FEF"/>
    <w:rsid w:val="1FFE5062"/>
    <w:rsid w:val="20315438"/>
    <w:rsid w:val="20387D53"/>
    <w:rsid w:val="20E014D7"/>
    <w:rsid w:val="20E1722F"/>
    <w:rsid w:val="21B0125A"/>
    <w:rsid w:val="21C251D0"/>
    <w:rsid w:val="21E729A6"/>
    <w:rsid w:val="22031056"/>
    <w:rsid w:val="2221328A"/>
    <w:rsid w:val="22484B48"/>
    <w:rsid w:val="225249E2"/>
    <w:rsid w:val="22BB723B"/>
    <w:rsid w:val="22E70030"/>
    <w:rsid w:val="22EC5646"/>
    <w:rsid w:val="23272B22"/>
    <w:rsid w:val="23454FED"/>
    <w:rsid w:val="238241FC"/>
    <w:rsid w:val="2394021D"/>
    <w:rsid w:val="239534B0"/>
    <w:rsid w:val="2415496F"/>
    <w:rsid w:val="24C34ACD"/>
    <w:rsid w:val="254C061E"/>
    <w:rsid w:val="25581F8B"/>
    <w:rsid w:val="25626EDC"/>
    <w:rsid w:val="259557F4"/>
    <w:rsid w:val="25A42208"/>
    <w:rsid w:val="25A43AEC"/>
    <w:rsid w:val="25E35446"/>
    <w:rsid w:val="25FA7F0A"/>
    <w:rsid w:val="26151358"/>
    <w:rsid w:val="261B5662"/>
    <w:rsid w:val="26CE2F66"/>
    <w:rsid w:val="26D94B2C"/>
    <w:rsid w:val="276A7481"/>
    <w:rsid w:val="27805098"/>
    <w:rsid w:val="27AB0E77"/>
    <w:rsid w:val="27C72003"/>
    <w:rsid w:val="27E17743"/>
    <w:rsid w:val="28000064"/>
    <w:rsid w:val="28100029"/>
    <w:rsid w:val="28642123"/>
    <w:rsid w:val="287455CC"/>
    <w:rsid w:val="28846321"/>
    <w:rsid w:val="28C03C8E"/>
    <w:rsid w:val="29030306"/>
    <w:rsid w:val="290452EB"/>
    <w:rsid w:val="29126240"/>
    <w:rsid w:val="29183639"/>
    <w:rsid w:val="293D5284"/>
    <w:rsid w:val="29957F27"/>
    <w:rsid w:val="299B0A39"/>
    <w:rsid w:val="2A7C1D63"/>
    <w:rsid w:val="2A837F28"/>
    <w:rsid w:val="2A946F2E"/>
    <w:rsid w:val="2ACD47C7"/>
    <w:rsid w:val="2AD668E9"/>
    <w:rsid w:val="2AF90B43"/>
    <w:rsid w:val="2AFC7CD4"/>
    <w:rsid w:val="2B290177"/>
    <w:rsid w:val="2B573134"/>
    <w:rsid w:val="2B8143FC"/>
    <w:rsid w:val="2BE32156"/>
    <w:rsid w:val="2BFFE038"/>
    <w:rsid w:val="2C0D3FCE"/>
    <w:rsid w:val="2C765C42"/>
    <w:rsid w:val="2C9A6113"/>
    <w:rsid w:val="2CAE1BBE"/>
    <w:rsid w:val="2D1F7289"/>
    <w:rsid w:val="2D353537"/>
    <w:rsid w:val="2D5409B8"/>
    <w:rsid w:val="2D5B7F98"/>
    <w:rsid w:val="2D5C6467"/>
    <w:rsid w:val="2D725B1D"/>
    <w:rsid w:val="2D807AA5"/>
    <w:rsid w:val="2D8962B5"/>
    <w:rsid w:val="2D9C7120"/>
    <w:rsid w:val="2DCD00DD"/>
    <w:rsid w:val="2DEA41EE"/>
    <w:rsid w:val="2DFD4901"/>
    <w:rsid w:val="2E0410A1"/>
    <w:rsid w:val="2E9512B4"/>
    <w:rsid w:val="2E9F51DD"/>
    <w:rsid w:val="2F141D43"/>
    <w:rsid w:val="2F150AC3"/>
    <w:rsid w:val="2F402514"/>
    <w:rsid w:val="2F40519C"/>
    <w:rsid w:val="2F432843"/>
    <w:rsid w:val="2F471BB1"/>
    <w:rsid w:val="2FB13E9F"/>
    <w:rsid w:val="30157220"/>
    <w:rsid w:val="302D729E"/>
    <w:rsid w:val="302F1268"/>
    <w:rsid w:val="30807152"/>
    <w:rsid w:val="308B5E06"/>
    <w:rsid w:val="316302FF"/>
    <w:rsid w:val="31772EC7"/>
    <w:rsid w:val="31B9703B"/>
    <w:rsid w:val="3215314E"/>
    <w:rsid w:val="32754E13"/>
    <w:rsid w:val="32836522"/>
    <w:rsid w:val="32B6748E"/>
    <w:rsid w:val="32C24A76"/>
    <w:rsid w:val="32ED747E"/>
    <w:rsid w:val="33010C9A"/>
    <w:rsid w:val="336E3F80"/>
    <w:rsid w:val="33C10429"/>
    <w:rsid w:val="33C85C5B"/>
    <w:rsid w:val="33DF8A36"/>
    <w:rsid w:val="3441770E"/>
    <w:rsid w:val="344234CA"/>
    <w:rsid w:val="34515C51"/>
    <w:rsid w:val="347B17B7"/>
    <w:rsid w:val="34943D90"/>
    <w:rsid w:val="34991CDD"/>
    <w:rsid w:val="34DC0866"/>
    <w:rsid w:val="34E75182"/>
    <w:rsid w:val="34E95E89"/>
    <w:rsid w:val="351B2DDE"/>
    <w:rsid w:val="352717EA"/>
    <w:rsid w:val="354A5FFD"/>
    <w:rsid w:val="35727C2D"/>
    <w:rsid w:val="357B4DDA"/>
    <w:rsid w:val="35F63BCE"/>
    <w:rsid w:val="36151109"/>
    <w:rsid w:val="369342FF"/>
    <w:rsid w:val="36940077"/>
    <w:rsid w:val="37040504"/>
    <w:rsid w:val="37AC55D9"/>
    <w:rsid w:val="37D518BD"/>
    <w:rsid w:val="37E44082"/>
    <w:rsid w:val="37E60E8E"/>
    <w:rsid w:val="383733B0"/>
    <w:rsid w:val="38482EC7"/>
    <w:rsid w:val="38563A30"/>
    <w:rsid w:val="388B4419"/>
    <w:rsid w:val="38AD1BFF"/>
    <w:rsid w:val="38F17A02"/>
    <w:rsid w:val="39076479"/>
    <w:rsid w:val="39460354"/>
    <w:rsid w:val="39535FC7"/>
    <w:rsid w:val="39763503"/>
    <w:rsid w:val="397911E9"/>
    <w:rsid w:val="39A3534F"/>
    <w:rsid w:val="39C4084D"/>
    <w:rsid w:val="39E4734C"/>
    <w:rsid w:val="3A184B1B"/>
    <w:rsid w:val="3A931131"/>
    <w:rsid w:val="3A976388"/>
    <w:rsid w:val="3AA74B70"/>
    <w:rsid w:val="3AFFDE49"/>
    <w:rsid w:val="3B1B56C1"/>
    <w:rsid w:val="3B7505CA"/>
    <w:rsid w:val="3B8D5299"/>
    <w:rsid w:val="3BBF18B0"/>
    <w:rsid w:val="3BC91BB9"/>
    <w:rsid w:val="3BE63123"/>
    <w:rsid w:val="3BF7610E"/>
    <w:rsid w:val="3C401C26"/>
    <w:rsid w:val="3C534F15"/>
    <w:rsid w:val="3CC907E9"/>
    <w:rsid w:val="3CDE3D95"/>
    <w:rsid w:val="3CF7310E"/>
    <w:rsid w:val="3D1A059A"/>
    <w:rsid w:val="3D5642D8"/>
    <w:rsid w:val="3D8F1598"/>
    <w:rsid w:val="3D9F5C7F"/>
    <w:rsid w:val="3E0D49F1"/>
    <w:rsid w:val="3E0D692F"/>
    <w:rsid w:val="3E1211F4"/>
    <w:rsid w:val="3E2E4771"/>
    <w:rsid w:val="3EC24111"/>
    <w:rsid w:val="3EE46CAE"/>
    <w:rsid w:val="3F4F7BC3"/>
    <w:rsid w:val="3F574472"/>
    <w:rsid w:val="3F5C306B"/>
    <w:rsid w:val="3F711F5A"/>
    <w:rsid w:val="3FC476F9"/>
    <w:rsid w:val="3FF80903"/>
    <w:rsid w:val="40083FBF"/>
    <w:rsid w:val="4057269D"/>
    <w:rsid w:val="406665E0"/>
    <w:rsid w:val="40781CE8"/>
    <w:rsid w:val="40DB5220"/>
    <w:rsid w:val="40F55BB6"/>
    <w:rsid w:val="410A0698"/>
    <w:rsid w:val="41166EC5"/>
    <w:rsid w:val="4125660E"/>
    <w:rsid w:val="413002BC"/>
    <w:rsid w:val="4154564F"/>
    <w:rsid w:val="418E5DCB"/>
    <w:rsid w:val="418F6F89"/>
    <w:rsid w:val="41BE244C"/>
    <w:rsid w:val="41D85C07"/>
    <w:rsid w:val="425E2DF2"/>
    <w:rsid w:val="426A3D05"/>
    <w:rsid w:val="42764AD5"/>
    <w:rsid w:val="428B6983"/>
    <w:rsid w:val="42C121F4"/>
    <w:rsid w:val="42CB3072"/>
    <w:rsid w:val="431359EE"/>
    <w:rsid w:val="434C41B3"/>
    <w:rsid w:val="43CE2E1A"/>
    <w:rsid w:val="43EF0474"/>
    <w:rsid w:val="43F7AA14"/>
    <w:rsid w:val="440A74E8"/>
    <w:rsid w:val="445164C0"/>
    <w:rsid w:val="451E2C51"/>
    <w:rsid w:val="453C00C2"/>
    <w:rsid w:val="45461D96"/>
    <w:rsid w:val="45A57BAB"/>
    <w:rsid w:val="45B562DF"/>
    <w:rsid w:val="45BB64A4"/>
    <w:rsid w:val="46386C71"/>
    <w:rsid w:val="4642234C"/>
    <w:rsid w:val="464F10A4"/>
    <w:rsid w:val="465055D4"/>
    <w:rsid w:val="46790C1C"/>
    <w:rsid w:val="46B8618C"/>
    <w:rsid w:val="46C30101"/>
    <w:rsid w:val="47906638"/>
    <w:rsid w:val="47AB039B"/>
    <w:rsid w:val="47B60B33"/>
    <w:rsid w:val="47CA299A"/>
    <w:rsid w:val="47E50732"/>
    <w:rsid w:val="47E60158"/>
    <w:rsid w:val="47E66175"/>
    <w:rsid w:val="480E2CA5"/>
    <w:rsid w:val="4823204A"/>
    <w:rsid w:val="482B07DA"/>
    <w:rsid w:val="482C6DF9"/>
    <w:rsid w:val="48420568"/>
    <w:rsid w:val="485B1065"/>
    <w:rsid w:val="48693111"/>
    <w:rsid w:val="48856F5D"/>
    <w:rsid w:val="48B63CF8"/>
    <w:rsid w:val="48BD140A"/>
    <w:rsid w:val="49660D43"/>
    <w:rsid w:val="49AD275B"/>
    <w:rsid w:val="49F20762"/>
    <w:rsid w:val="4A4C264C"/>
    <w:rsid w:val="4A905435"/>
    <w:rsid w:val="4B086AF0"/>
    <w:rsid w:val="4B136D9F"/>
    <w:rsid w:val="4B5A31E5"/>
    <w:rsid w:val="4B9F12F1"/>
    <w:rsid w:val="4C252804"/>
    <w:rsid w:val="4C806C7C"/>
    <w:rsid w:val="4CA26BF2"/>
    <w:rsid w:val="4CB00DF0"/>
    <w:rsid w:val="4CC233A5"/>
    <w:rsid w:val="4CDC6082"/>
    <w:rsid w:val="4D1473C4"/>
    <w:rsid w:val="4DAD1CF2"/>
    <w:rsid w:val="4DC1754C"/>
    <w:rsid w:val="4E32337B"/>
    <w:rsid w:val="4E4A06EA"/>
    <w:rsid w:val="4E8D6907"/>
    <w:rsid w:val="4EC937A3"/>
    <w:rsid w:val="4ED004E2"/>
    <w:rsid w:val="4EEC0171"/>
    <w:rsid w:val="4F362FF3"/>
    <w:rsid w:val="4F453369"/>
    <w:rsid w:val="4F5D37AE"/>
    <w:rsid w:val="4F6A09BD"/>
    <w:rsid w:val="4F89131D"/>
    <w:rsid w:val="4F91342E"/>
    <w:rsid w:val="4F93348B"/>
    <w:rsid w:val="4FAA7B87"/>
    <w:rsid w:val="4FCC24B3"/>
    <w:rsid w:val="4FF5172F"/>
    <w:rsid w:val="500C7D36"/>
    <w:rsid w:val="502D1B24"/>
    <w:rsid w:val="50727901"/>
    <w:rsid w:val="507D4283"/>
    <w:rsid w:val="50A142FC"/>
    <w:rsid w:val="50AB003F"/>
    <w:rsid w:val="50B23E08"/>
    <w:rsid w:val="50BE1592"/>
    <w:rsid w:val="50C05A8B"/>
    <w:rsid w:val="50D9188C"/>
    <w:rsid w:val="50F32112"/>
    <w:rsid w:val="511C1BCF"/>
    <w:rsid w:val="519311FF"/>
    <w:rsid w:val="51B046EB"/>
    <w:rsid w:val="51DC0DF8"/>
    <w:rsid w:val="5303248E"/>
    <w:rsid w:val="53214C96"/>
    <w:rsid w:val="53545D61"/>
    <w:rsid w:val="538E1E01"/>
    <w:rsid w:val="539C5BDD"/>
    <w:rsid w:val="53D17CA8"/>
    <w:rsid w:val="53DA00F1"/>
    <w:rsid w:val="54084E68"/>
    <w:rsid w:val="5426635A"/>
    <w:rsid w:val="54602C97"/>
    <w:rsid w:val="54634F1B"/>
    <w:rsid w:val="548B440F"/>
    <w:rsid w:val="54AB512E"/>
    <w:rsid w:val="54BF40B9"/>
    <w:rsid w:val="54E40013"/>
    <w:rsid w:val="551E5284"/>
    <w:rsid w:val="55322ADD"/>
    <w:rsid w:val="556F788D"/>
    <w:rsid w:val="557231F2"/>
    <w:rsid w:val="55967510"/>
    <w:rsid w:val="56446DC8"/>
    <w:rsid w:val="56480224"/>
    <w:rsid w:val="565E627F"/>
    <w:rsid w:val="56762791"/>
    <w:rsid w:val="56835CE6"/>
    <w:rsid w:val="570A3D11"/>
    <w:rsid w:val="572D0293"/>
    <w:rsid w:val="57322E2E"/>
    <w:rsid w:val="577D21E4"/>
    <w:rsid w:val="57934289"/>
    <w:rsid w:val="57CA34A1"/>
    <w:rsid w:val="57DC2CA1"/>
    <w:rsid w:val="57FE69AE"/>
    <w:rsid w:val="581E36C4"/>
    <w:rsid w:val="5852780D"/>
    <w:rsid w:val="586255F3"/>
    <w:rsid w:val="58E93DFA"/>
    <w:rsid w:val="59493614"/>
    <w:rsid w:val="596D14BE"/>
    <w:rsid w:val="59926D70"/>
    <w:rsid w:val="599E4BE5"/>
    <w:rsid w:val="59D2663D"/>
    <w:rsid w:val="59E9792E"/>
    <w:rsid w:val="5A054782"/>
    <w:rsid w:val="5A5C03CB"/>
    <w:rsid w:val="5A6D387F"/>
    <w:rsid w:val="5A7140A7"/>
    <w:rsid w:val="5A8D60FE"/>
    <w:rsid w:val="5AAC2E58"/>
    <w:rsid w:val="5AF35E62"/>
    <w:rsid w:val="5B134FC3"/>
    <w:rsid w:val="5B1A64ED"/>
    <w:rsid w:val="5B1F5ED4"/>
    <w:rsid w:val="5B3734C9"/>
    <w:rsid w:val="5B6634E0"/>
    <w:rsid w:val="5B6D2AC1"/>
    <w:rsid w:val="5B91594C"/>
    <w:rsid w:val="5BA54009"/>
    <w:rsid w:val="5BC76675"/>
    <w:rsid w:val="5BE80ADD"/>
    <w:rsid w:val="5BF756B1"/>
    <w:rsid w:val="5C06486C"/>
    <w:rsid w:val="5C091E82"/>
    <w:rsid w:val="5C1D0043"/>
    <w:rsid w:val="5C2B0364"/>
    <w:rsid w:val="5C2D3FFE"/>
    <w:rsid w:val="5C4C22C4"/>
    <w:rsid w:val="5C537F09"/>
    <w:rsid w:val="5C6E2A79"/>
    <w:rsid w:val="5CAD18B3"/>
    <w:rsid w:val="5CB15E9E"/>
    <w:rsid w:val="5CC46D08"/>
    <w:rsid w:val="5CE71B55"/>
    <w:rsid w:val="5D027239"/>
    <w:rsid w:val="5D1777B0"/>
    <w:rsid w:val="5D5A7075"/>
    <w:rsid w:val="5DA41125"/>
    <w:rsid w:val="5DE95B7E"/>
    <w:rsid w:val="5DEFAC70"/>
    <w:rsid w:val="5E04133F"/>
    <w:rsid w:val="5E0E5E7B"/>
    <w:rsid w:val="5E7430FC"/>
    <w:rsid w:val="5E7B3747"/>
    <w:rsid w:val="5E8E03DF"/>
    <w:rsid w:val="5EB61AAA"/>
    <w:rsid w:val="5EF804C2"/>
    <w:rsid w:val="5EFF3158"/>
    <w:rsid w:val="5F091345"/>
    <w:rsid w:val="5F0A4300"/>
    <w:rsid w:val="5F42183D"/>
    <w:rsid w:val="5F6F2A80"/>
    <w:rsid w:val="5FC52828"/>
    <w:rsid w:val="5FF40969"/>
    <w:rsid w:val="60107E14"/>
    <w:rsid w:val="602A6A51"/>
    <w:rsid w:val="60D52084"/>
    <w:rsid w:val="615F10FE"/>
    <w:rsid w:val="617B110F"/>
    <w:rsid w:val="618D7163"/>
    <w:rsid w:val="618F1AE1"/>
    <w:rsid w:val="61AB7EF6"/>
    <w:rsid w:val="61DB497E"/>
    <w:rsid w:val="61F14720"/>
    <w:rsid w:val="622B7232"/>
    <w:rsid w:val="62316097"/>
    <w:rsid w:val="62452BB1"/>
    <w:rsid w:val="628152D1"/>
    <w:rsid w:val="62965CC7"/>
    <w:rsid w:val="62C236F2"/>
    <w:rsid w:val="62FD0BCE"/>
    <w:rsid w:val="630C520F"/>
    <w:rsid w:val="63133F4E"/>
    <w:rsid w:val="635B58F5"/>
    <w:rsid w:val="6367429A"/>
    <w:rsid w:val="63812886"/>
    <w:rsid w:val="6405009F"/>
    <w:rsid w:val="64790728"/>
    <w:rsid w:val="64E07246"/>
    <w:rsid w:val="6511781E"/>
    <w:rsid w:val="651D6071"/>
    <w:rsid w:val="65BF03BD"/>
    <w:rsid w:val="65D14EBC"/>
    <w:rsid w:val="662248FE"/>
    <w:rsid w:val="662841B4"/>
    <w:rsid w:val="665973B5"/>
    <w:rsid w:val="6687244F"/>
    <w:rsid w:val="66911D59"/>
    <w:rsid w:val="66AA6977"/>
    <w:rsid w:val="66C31F67"/>
    <w:rsid w:val="66EB1EBF"/>
    <w:rsid w:val="66F8140C"/>
    <w:rsid w:val="67915D89"/>
    <w:rsid w:val="67AB1FA1"/>
    <w:rsid w:val="67E21E77"/>
    <w:rsid w:val="68155CA2"/>
    <w:rsid w:val="682E182A"/>
    <w:rsid w:val="6857537B"/>
    <w:rsid w:val="68594AF9"/>
    <w:rsid w:val="685A617B"/>
    <w:rsid w:val="686F0BF3"/>
    <w:rsid w:val="687234C5"/>
    <w:rsid w:val="68752FB5"/>
    <w:rsid w:val="68774F7F"/>
    <w:rsid w:val="68A551CF"/>
    <w:rsid w:val="68B55A65"/>
    <w:rsid w:val="69124CA8"/>
    <w:rsid w:val="693D7282"/>
    <w:rsid w:val="694C511B"/>
    <w:rsid w:val="696C260A"/>
    <w:rsid w:val="69765236"/>
    <w:rsid w:val="697E625E"/>
    <w:rsid w:val="698D1EC7"/>
    <w:rsid w:val="69AE2795"/>
    <w:rsid w:val="69B95123"/>
    <w:rsid w:val="6A034648"/>
    <w:rsid w:val="6A0B716D"/>
    <w:rsid w:val="6A2D5459"/>
    <w:rsid w:val="6A443448"/>
    <w:rsid w:val="6A4946F9"/>
    <w:rsid w:val="6A5EB9FA"/>
    <w:rsid w:val="6A747AFC"/>
    <w:rsid w:val="6A9509CC"/>
    <w:rsid w:val="6AA11E61"/>
    <w:rsid w:val="6AC82E26"/>
    <w:rsid w:val="6B8F7F90"/>
    <w:rsid w:val="6BCA1745"/>
    <w:rsid w:val="6BD6020E"/>
    <w:rsid w:val="6C0D4C34"/>
    <w:rsid w:val="6CB247D7"/>
    <w:rsid w:val="6D3A379E"/>
    <w:rsid w:val="6D661CF9"/>
    <w:rsid w:val="6D7101EF"/>
    <w:rsid w:val="6DAB18A5"/>
    <w:rsid w:val="6DB1442D"/>
    <w:rsid w:val="6DD15677"/>
    <w:rsid w:val="6DFC062D"/>
    <w:rsid w:val="6E260D30"/>
    <w:rsid w:val="6E527A66"/>
    <w:rsid w:val="6E7206C2"/>
    <w:rsid w:val="6EE3374D"/>
    <w:rsid w:val="6EFF5CCE"/>
    <w:rsid w:val="6F131BC1"/>
    <w:rsid w:val="6F2F42E2"/>
    <w:rsid w:val="6F3D687D"/>
    <w:rsid w:val="6F6176F1"/>
    <w:rsid w:val="6F9128AA"/>
    <w:rsid w:val="6FAF4FFE"/>
    <w:rsid w:val="6FB0306C"/>
    <w:rsid w:val="6FB4197D"/>
    <w:rsid w:val="70181C00"/>
    <w:rsid w:val="70715CDC"/>
    <w:rsid w:val="70C66AA3"/>
    <w:rsid w:val="70CC398E"/>
    <w:rsid w:val="7138118D"/>
    <w:rsid w:val="713E2ADE"/>
    <w:rsid w:val="714108E2"/>
    <w:rsid w:val="71686E59"/>
    <w:rsid w:val="71870063"/>
    <w:rsid w:val="71E05943"/>
    <w:rsid w:val="71E17D83"/>
    <w:rsid w:val="71EE6373"/>
    <w:rsid w:val="71F635BC"/>
    <w:rsid w:val="71FD115E"/>
    <w:rsid w:val="725D2FD1"/>
    <w:rsid w:val="72BD69CA"/>
    <w:rsid w:val="72D62DEE"/>
    <w:rsid w:val="72EF57C9"/>
    <w:rsid w:val="735F6D3E"/>
    <w:rsid w:val="737E79D9"/>
    <w:rsid w:val="737F73DD"/>
    <w:rsid w:val="73994E41"/>
    <w:rsid w:val="73D37AEB"/>
    <w:rsid w:val="73D647D5"/>
    <w:rsid w:val="73E07E7C"/>
    <w:rsid w:val="742005B0"/>
    <w:rsid w:val="746C5BB4"/>
    <w:rsid w:val="75022074"/>
    <w:rsid w:val="75144A97"/>
    <w:rsid w:val="75172068"/>
    <w:rsid w:val="754B57C9"/>
    <w:rsid w:val="756526DF"/>
    <w:rsid w:val="75AF6E51"/>
    <w:rsid w:val="763C15B6"/>
    <w:rsid w:val="76632AE0"/>
    <w:rsid w:val="766B13B3"/>
    <w:rsid w:val="76BB6EE2"/>
    <w:rsid w:val="76DC050E"/>
    <w:rsid w:val="770D21DF"/>
    <w:rsid w:val="777E3FB8"/>
    <w:rsid w:val="77AFBD66"/>
    <w:rsid w:val="77FE7BEC"/>
    <w:rsid w:val="78240C0A"/>
    <w:rsid w:val="784D17FC"/>
    <w:rsid w:val="784E3645"/>
    <w:rsid w:val="78842487"/>
    <w:rsid w:val="788E5235"/>
    <w:rsid w:val="78C7160B"/>
    <w:rsid w:val="78D73450"/>
    <w:rsid w:val="78EE1D5F"/>
    <w:rsid w:val="79036507"/>
    <w:rsid w:val="791231F5"/>
    <w:rsid w:val="7957222A"/>
    <w:rsid w:val="79850C80"/>
    <w:rsid w:val="79B02A11"/>
    <w:rsid w:val="79C82F0C"/>
    <w:rsid w:val="79E97924"/>
    <w:rsid w:val="7A6573F2"/>
    <w:rsid w:val="7AB87051"/>
    <w:rsid w:val="7AE566C5"/>
    <w:rsid w:val="7AF20495"/>
    <w:rsid w:val="7AF4B1B1"/>
    <w:rsid w:val="7B011375"/>
    <w:rsid w:val="7B05466C"/>
    <w:rsid w:val="7B3C6CD2"/>
    <w:rsid w:val="7B491B28"/>
    <w:rsid w:val="7C220A5E"/>
    <w:rsid w:val="7C3074C7"/>
    <w:rsid w:val="7C4433A8"/>
    <w:rsid w:val="7C4925B3"/>
    <w:rsid w:val="7C7E46D6"/>
    <w:rsid w:val="7CB522A1"/>
    <w:rsid w:val="7D16490F"/>
    <w:rsid w:val="7D1C3D40"/>
    <w:rsid w:val="7D6F4655"/>
    <w:rsid w:val="7D7369C1"/>
    <w:rsid w:val="7DACBF8B"/>
    <w:rsid w:val="7E1A042F"/>
    <w:rsid w:val="7E21356B"/>
    <w:rsid w:val="7E3C03A5"/>
    <w:rsid w:val="7E761B28"/>
    <w:rsid w:val="7E8470F2"/>
    <w:rsid w:val="7E90302F"/>
    <w:rsid w:val="7EAB49F3"/>
    <w:rsid w:val="7EE8052D"/>
    <w:rsid w:val="7EFB6102"/>
    <w:rsid w:val="7EFFC864"/>
    <w:rsid w:val="7F421E85"/>
    <w:rsid w:val="7F460357"/>
    <w:rsid w:val="7F527E4E"/>
    <w:rsid w:val="7F956D31"/>
    <w:rsid w:val="7F9941FC"/>
    <w:rsid w:val="7F995383"/>
    <w:rsid w:val="7FA501CC"/>
    <w:rsid w:val="7FA63EE6"/>
    <w:rsid w:val="7FF6125F"/>
    <w:rsid w:val="7FF81AEC"/>
    <w:rsid w:val="7FFA200A"/>
    <w:rsid w:val="AED7AE89"/>
    <w:rsid w:val="BD2F3F41"/>
    <w:rsid w:val="BD6F1522"/>
    <w:rsid w:val="BFBF2834"/>
    <w:rsid w:val="BFBF6970"/>
    <w:rsid w:val="DB9F2047"/>
    <w:rsid w:val="DDCE72D9"/>
    <w:rsid w:val="DEFF7D57"/>
    <w:rsid w:val="E5E8B894"/>
    <w:rsid w:val="E7F5F855"/>
    <w:rsid w:val="F1F75D9A"/>
    <w:rsid w:val="F3960BE9"/>
    <w:rsid w:val="F6EE0D36"/>
    <w:rsid w:val="F8714A7A"/>
    <w:rsid w:val="F96A50F2"/>
    <w:rsid w:val="FA7F5C67"/>
    <w:rsid w:val="FABF45FD"/>
    <w:rsid w:val="FC7E0DDA"/>
    <w:rsid w:val="FDADBC64"/>
    <w:rsid w:val="FFED81FE"/>
    <w:rsid w:val="FFF661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qFormat="1" w:uiPriority="99"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rPr>
  </w:style>
  <w:style w:type="paragraph" w:styleId="3">
    <w:name w:val="heading 1"/>
    <w:basedOn w:val="1"/>
    <w:next w:val="1"/>
    <w:link w:val="91"/>
    <w:qFormat/>
    <w:uiPriority w:val="0"/>
    <w:pPr>
      <w:adjustRightInd w:val="0"/>
      <w:snapToGrid w:val="0"/>
      <w:spacing w:line="600" w:lineRule="exact"/>
      <w:jc w:val="center"/>
      <w:textAlignment w:val="center"/>
      <w:outlineLvl w:val="0"/>
    </w:pPr>
    <w:rPr>
      <w:rFonts w:ascii="宋体" w:hAnsi="宋体" w:eastAsia="方正小标宋_GBK" w:cs="宋体"/>
      <w:kern w:val="0"/>
      <w:sz w:val="44"/>
      <w:szCs w:val="32"/>
    </w:rPr>
  </w:style>
  <w:style w:type="paragraph" w:styleId="4">
    <w:name w:val="heading 2"/>
    <w:basedOn w:val="1"/>
    <w:next w:val="1"/>
    <w:link w:val="89"/>
    <w:unhideWhenUsed/>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2">
    <w:name w:val="heading 3"/>
    <w:basedOn w:val="1"/>
    <w:next w:val="1"/>
    <w:link w:val="87"/>
    <w:qFormat/>
    <w:uiPriority w:val="0"/>
    <w:pPr>
      <w:keepNext/>
      <w:keepLines/>
      <w:numPr>
        <w:ilvl w:val="2"/>
        <w:numId w:val="1"/>
      </w:numPr>
      <w:spacing w:before="260" w:beforeLines="0" w:beforeAutospacing="0" w:after="260" w:afterLines="0" w:afterAutospacing="0" w:line="413" w:lineRule="auto"/>
      <w:ind w:firstLine="113"/>
      <w:outlineLvl w:val="2"/>
    </w:pPr>
    <w:rPr>
      <w:b/>
      <w:sz w:val="32"/>
    </w:rPr>
  </w:style>
  <w:style w:type="paragraph" w:styleId="5">
    <w:name w:val="heading 4"/>
    <w:basedOn w:val="1"/>
    <w:next w:val="1"/>
    <w:link w:val="88"/>
    <w:qFormat/>
    <w:uiPriority w:val="0"/>
    <w:pPr>
      <w:keepNext/>
      <w:keepLines/>
      <w:widowControl/>
      <w:spacing w:line="240" w:lineRule="auto"/>
      <w:ind w:firstLine="200" w:firstLineChars="200"/>
      <w:outlineLvl w:val="3"/>
    </w:pPr>
    <w:rPr>
      <w:rFonts w:ascii="Arial" w:hAnsi="Arial" w:eastAsia="方正仿宋_GBK"/>
      <w:sz w:val="32"/>
    </w:rPr>
  </w:style>
  <w:style w:type="character" w:default="1" w:styleId="36">
    <w:name w:val="Default Paragraph Font"/>
    <w:link w:val="37"/>
    <w:qFormat/>
    <w:uiPriority w:val="0"/>
    <w:rPr>
      <w:rFonts w:eastAsia="方正仿宋_GBK"/>
      <w:sz w:val="32"/>
      <w:szCs w:val="20"/>
    </w:rPr>
  </w:style>
  <w:style w:type="table" w:default="1" w:styleId="34">
    <w:name w:val="Normal Table"/>
    <w:semiHidden/>
    <w:qFormat/>
    <w:uiPriority w:val="0"/>
    <w:tblPr>
      <w:tblCellMar>
        <w:top w:w="0" w:type="dxa"/>
        <w:left w:w="108" w:type="dxa"/>
        <w:bottom w:w="0" w:type="dxa"/>
        <w:right w:w="108" w:type="dxa"/>
      </w:tblCellMar>
    </w:tblPr>
  </w:style>
  <w:style w:type="paragraph" w:styleId="6">
    <w:name w:val="toc 7"/>
    <w:basedOn w:val="1"/>
    <w:next w:val="1"/>
    <w:qFormat/>
    <w:uiPriority w:val="0"/>
    <w:pPr>
      <w:ind w:left="2520"/>
    </w:pPr>
  </w:style>
  <w:style w:type="paragraph" w:styleId="7">
    <w:name w:val="table of authorities"/>
    <w:basedOn w:val="1"/>
    <w:next w:val="1"/>
    <w:qFormat/>
    <w:uiPriority w:val="0"/>
    <w:pPr>
      <w:ind w:left="420" w:leftChars="200"/>
    </w:pPr>
    <w:rPr>
      <w:rFonts w:ascii="Times New Roman" w:hAnsi="Times New Roman" w:eastAsia="宋体" w:cs="Times New Roman"/>
    </w:rPr>
  </w:style>
  <w:style w:type="paragraph" w:styleId="8">
    <w:name w:val="index 8"/>
    <w:basedOn w:val="1"/>
    <w:next w:val="1"/>
    <w:qFormat/>
    <w:uiPriority w:val="0"/>
    <w:pPr>
      <w:widowControl w:val="0"/>
      <w:ind w:left="1400" w:leftChars="1400"/>
      <w:jc w:val="both"/>
    </w:pPr>
    <w:rPr>
      <w:rFonts w:ascii="Times New Roman" w:hAnsi="Times New Roman" w:eastAsia="方正仿宋_GBK" w:cs="Times New Roman"/>
      <w:kern w:val="2"/>
      <w:sz w:val="32"/>
      <w:szCs w:val="24"/>
      <w:lang w:val="en-US" w:eastAsia="zh-CN" w:bidi="ar-SA"/>
    </w:rPr>
  </w:style>
  <w:style w:type="paragraph" w:styleId="9">
    <w:name w:val="Normal Indent"/>
    <w:basedOn w:val="1"/>
    <w:next w:val="1"/>
    <w:qFormat/>
    <w:uiPriority w:val="0"/>
    <w:pPr>
      <w:ind w:firstLine="200" w:firstLineChars="200"/>
    </w:pPr>
    <w:rPr>
      <w:rFonts w:ascii="Calibri" w:hAnsi="Calibri" w:eastAsia="宋体" w:cs="Calibri"/>
      <w:lang w:bidi="ar-SA"/>
    </w:rPr>
  </w:style>
  <w:style w:type="paragraph" w:styleId="10">
    <w:name w:val="caption"/>
    <w:basedOn w:val="1"/>
    <w:next w:val="1"/>
    <w:qFormat/>
    <w:uiPriority w:val="0"/>
    <w:rPr>
      <w:rFonts w:ascii="Arial" w:hAnsi="Arial" w:eastAsia="黑体"/>
      <w:b/>
      <w:sz w:val="20"/>
    </w:rPr>
  </w:style>
  <w:style w:type="paragraph" w:styleId="11">
    <w:name w:val="toa heading"/>
    <w:basedOn w:val="1"/>
    <w:next w:val="1"/>
    <w:semiHidden/>
    <w:qFormat/>
    <w:uiPriority w:val="0"/>
    <w:pPr>
      <w:spacing w:before="120"/>
    </w:pPr>
    <w:rPr>
      <w:rFonts w:ascii="Arial" w:hAnsi="Arial" w:cs="Arial"/>
      <w:sz w:val="24"/>
      <w:szCs w:val="24"/>
    </w:rPr>
  </w:style>
  <w:style w:type="paragraph" w:styleId="12">
    <w:name w:val="index 6"/>
    <w:basedOn w:val="1"/>
    <w:next w:val="1"/>
    <w:qFormat/>
    <w:uiPriority w:val="0"/>
    <w:pPr>
      <w:widowControl w:val="0"/>
      <w:ind w:left="2100"/>
      <w:jc w:val="both"/>
    </w:pPr>
    <w:rPr>
      <w:rFonts w:ascii="Calibri" w:hAnsi="Calibri" w:eastAsia="宋体" w:cs="Times New Roman"/>
      <w:kern w:val="2"/>
      <w:sz w:val="21"/>
      <w:szCs w:val="24"/>
      <w:lang w:val="en-US" w:eastAsia="zh-CN" w:bidi="ar-SA"/>
    </w:rPr>
  </w:style>
  <w:style w:type="paragraph" w:styleId="13">
    <w:name w:val="Salutation"/>
    <w:basedOn w:val="1"/>
    <w:next w:val="1"/>
    <w:qFormat/>
    <w:uiPriority w:val="0"/>
  </w:style>
  <w:style w:type="paragraph" w:styleId="14">
    <w:name w:val="Body Text"/>
    <w:basedOn w:val="1"/>
    <w:next w:val="15"/>
    <w:qFormat/>
    <w:uiPriority w:val="0"/>
    <w:pPr>
      <w:spacing w:after="120" w:afterLines="0" w:afterAutospacing="0"/>
    </w:pPr>
    <w:rPr>
      <w:rFonts w:ascii="Tw Cen MT Condensed" w:hAnsi="Tw Cen MT Condensed"/>
    </w:rPr>
  </w:style>
  <w:style w:type="paragraph" w:customStyle="1" w:styleId="15">
    <w:name w:val="Body Text Indent1"/>
    <w:basedOn w:val="1"/>
    <w:link w:val="62"/>
    <w:qFormat/>
    <w:uiPriority w:val="0"/>
    <w:pPr>
      <w:spacing w:after="120" w:afterLines="0"/>
      <w:ind w:left="200" w:leftChars="200"/>
    </w:pPr>
  </w:style>
  <w:style w:type="paragraph" w:styleId="16">
    <w:name w:val="toc 5"/>
    <w:basedOn w:val="1"/>
    <w:next w:val="1"/>
    <w:qFormat/>
    <w:uiPriority w:val="0"/>
    <w:pPr>
      <w:ind w:left="1680" w:leftChars="800"/>
    </w:pPr>
    <w:rPr>
      <w:rFonts w:ascii="Calibri" w:hAnsi="Calibri"/>
    </w:rPr>
  </w:style>
  <w:style w:type="paragraph" w:styleId="17">
    <w:name w:val="toc 3"/>
    <w:basedOn w:val="1"/>
    <w:next w:val="1"/>
    <w:qFormat/>
    <w:uiPriority w:val="39"/>
    <w:pPr>
      <w:ind w:left="840" w:leftChars="400"/>
    </w:pPr>
    <w:rPr>
      <w:rFonts w:cs="Times New Roman"/>
      <w:szCs w:val="24"/>
    </w:rPr>
  </w:style>
  <w:style w:type="paragraph" w:styleId="18">
    <w:name w:val="Plain Text"/>
    <w:basedOn w:val="1"/>
    <w:next w:val="8"/>
    <w:qFormat/>
    <w:uiPriority w:val="0"/>
    <w:rPr>
      <w:rFonts w:ascii="宋体" w:hAnsi="宋体" w:eastAsia="仿宋_GB2312"/>
      <w:kern w:val="2"/>
      <w:sz w:val="32"/>
      <w:lang w:val="en-US" w:eastAsia="zh-CN" w:bidi="ar-SA"/>
    </w:rPr>
  </w:style>
  <w:style w:type="paragraph" w:styleId="19">
    <w:name w:val="Balloon Text"/>
    <w:qFormat/>
    <w:uiPriority w:val="0"/>
    <w:pPr>
      <w:widowControl w:val="0"/>
      <w:jc w:val="both"/>
    </w:pPr>
    <w:rPr>
      <w:rFonts w:ascii="Times New Roman" w:hAnsi="Times New Roman" w:eastAsia="方正仿宋_GBK" w:cs="Times New Roman"/>
      <w:kern w:val="2"/>
      <w:sz w:val="18"/>
      <w:szCs w:val="18"/>
      <w:lang w:val="en-US" w:eastAsia="zh-CN"/>
    </w:rPr>
  </w:style>
  <w:style w:type="paragraph" w:styleId="20">
    <w:name w:val="footer"/>
    <w:basedOn w:val="1"/>
    <w:qFormat/>
    <w:uiPriority w:val="0"/>
    <w:pPr>
      <w:tabs>
        <w:tab w:val="center" w:pos="4153"/>
        <w:tab w:val="right" w:pos="8306"/>
      </w:tabs>
      <w:snapToGrid w:val="0"/>
      <w:jc w:val="left"/>
    </w:pPr>
    <w:rPr>
      <w:sz w:val="18"/>
    </w:rPr>
  </w:style>
  <w:style w:type="paragraph" w:styleId="21">
    <w:name w:val="envelope return"/>
    <w:next w:val="14"/>
    <w:qFormat/>
    <w:uiPriority w:val="0"/>
    <w:pPr>
      <w:widowControl w:val="0"/>
      <w:snapToGrid w:val="0"/>
      <w:jc w:val="both"/>
    </w:pPr>
    <w:rPr>
      <w:rFonts w:ascii="Arial" w:hAnsi="Arial" w:eastAsia="宋体" w:cs="Times New Roman"/>
      <w:kern w:val="2"/>
      <w:sz w:val="21"/>
      <w:szCs w:val="24"/>
      <w:lang w:val="en-US" w:eastAsia="zh-CN" w:bidi="ar-SA"/>
    </w:rPr>
  </w:style>
  <w:style w:type="paragraph" w:styleId="22">
    <w:name w:val="header"/>
    <w:basedOn w:val="1"/>
    <w:next w:val="2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23">
    <w:name w:val="Intense Quote"/>
    <w:next w:val="1"/>
    <w:qFormat/>
    <w:uiPriority w:val="0"/>
    <w:pPr>
      <w:wordWrap w:val="0"/>
      <w:spacing w:before="360" w:beforeLines="0" w:after="360" w:afterLines="0"/>
      <w:ind w:left="950" w:right="950"/>
      <w:jc w:val="center"/>
    </w:pPr>
    <w:rPr>
      <w:rFonts w:ascii="Calibri" w:hAnsi="Calibri" w:eastAsia="宋体" w:cs="Times New Roman"/>
      <w:i/>
      <w:color w:val="auto"/>
      <w:sz w:val="21"/>
      <w:lang w:val="en-US" w:eastAsia="zh-CN"/>
    </w:rPr>
  </w:style>
  <w:style w:type="paragraph" w:styleId="24">
    <w:name w:val="toc 1"/>
    <w:basedOn w:val="1"/>
    <w:next w:val="1"/>
    <w:qFormat/>
    <w:uiPriority w:val="0"/>
    <w:rPr>
      <w:lang w:eastAsia="zh-Hans"/>
    </w:rPr>
  </w:style>
  <w:style w:type="paragraph" w:styleId="25">
    <w:name w:val="footnote text"/>
    <w:next w:val="1"/>
    <w:qFormat/>
    <w:uiPriority w:val="0"/>
    <w:pPr>
      <w:widowControl w:val="0"/>
      <w:snapToGrid w:val="0"/>
      <w:jc w:val="left"/>
    </w:pPr>
    <w:rPr>
      <w:rFonts w:ascii="Times New Roman" w:hAnsi="Times New Roman" w:eastAsia="方正仿宋_GBK" w:cs="Times New Roman"/>
      <w:kern w:val="2"/>
      <w:sz w:val="18"/>
      <w:szCs w:val="18"/>
      <w:lang w:val="en-US" w:eastAsia="zh-CN" w:bidi="ar-SA"/>
    </w:rPr>
  </w:style>
  <w:style w:type="paragraph" w:styleId="26">
    <w:name w:val="index 7"/>
    <w:basedOn w:val="1"/>
    <w:next w:val="1"/>
    <w:unhideWhenUsed/>
    <w:qFormat/>
    <w:uiPriority w:val="99"/>
    <w:pPr>
      <w:ind w:left="1200" w:leftChars="1200"/>
    </w:pPr>
  </w:style>
  <w:style w:type="paragraph" w:styleId="27">
    <w:name w:val="toc 2"/>
    <w:basedOn w:val="1"/>
    <w:next w:val="1"/>
    <w:qFormat/>
    <w:uiPriority w:val="39"/>
    <w:pPr>
      <w:ind w:left="420" w:leftChars="200"/>
    </w:pPr>
    <w:rPr>
      <w:rFonts w:cs="Times New Roman"/>
      <w:szCs w:val="24"/>
    </w:rPr>
  </w:style>
  <w:style w:type="paragraph" w:styleId="28">
    <w:name w:val="Message Header"/>
    <w:basedOn w:val="1"/>
    <w:next w:val="14"/>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eastAsia="宋体"/>
      <w:sz w:val="24"/>
    </w:rPr>
  </w:style>
  <w:style w:type="paragraph" w:styleId="2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next w:val="6"/>
    <w:unhideWhenUsed/>
    <w:qFormat/>
    <w:uiPriority w:val="99"/>
    <w:pPr>
      <w:widowControl/>
      <w:spacing w:before="100" w:beforeAutospacing="1" w:after="100" w:afterAutospacing="1"/>
      <w:jc w:val="left"/>
    </w:pPr>
    <w:rPr>
      <w:rFonts w:ascii="宋体" w:hAnsi="宋体" w:cs="宋体"/>
      <w:kern w:val="0"/>
      <w:sz w:val="24"/>
      <w:szCs w:val="24"/>
    </w:rPr>
  </w:style>
  <w:style w:type="paragraph" w:styleId="31">
    <w:name w:val="Title"/>
    <w:basedOn w:val="1"/>
    <w:next w:val="1"/>
    <w:qFormat/>
    <w:uiPriority w:val="0"/>
    <w:pPr>
      <w:spacing w:before="240" w:beforeLines="0" w:after="60" w:afterLines="0"/>
      <w:jc w:val="center"/>
      <w:outlineLvl w:val="0"/>
    </w:pPr>
    <w:rPr>
      <w:rFonts w:ascii="Arial" w:hAnsi="Arial"/>
      <w:b/>
      <w:sz w:val="32"/>
    </w:rPr>
  </w:style>
  <w:style w:type="paragraph" w:styleId="32">
    <w:name w:val="Body Text First Indent"/>
    <w:basedOn w:val="14"/>
    <w:next w:val="25"/>
    <w:unhideWhenUsed/>
    <w:qFormat/>
    <w:uiPriority w:val="99"/>
    <w:pPr>
      <w:ind w:firstLine="420" w:firstLineChars="100"/>
    </w:pPr>
  </w:style>
  <w:style w:type="paragraph" w:styleId="33">
    <w:name w:val="Body Text First Indent 2"/>
    <w:qFormat/>
    <w:uiPriority w:val="0"/>
    <w:pPr>
      <w:ind w:firstLine="420" w:firstLineChars="200"/>
    </w:pPr>
    <w:rPr>
      <w:rFonts w:ascii="Times New Roman" w:hAnsi="Times New Roman" w:eastAsia="宋体" w:cs="Times New Roman"/>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默认段落字体 Para Char Char"/>
    <w:basedOn w:val="1"/>
    <w:link w:val="36"/>
    <w:qFormat/>
    <w:uiPriority w:val="0"/>
    <w:pPr>
      <w:spacing w:before="156" w:beforeLines="50" w:after="156" w:afterLines="50"/>
    </w:pPr>
    <w:rPr>
      <w:rFonts w:eastAsia="方正仿宋_GBK"/>
      <w:sz w:val="32"/>
      <w:szCs w:val="20"/>
    </w:rPr>
  </w:style>
  <w:style w:type="character" w:styleId="38">
    <w:name w:val="Strong"/>
    <w:basedOn w:val="36"/>
    <w:qFormat/>
    <w:uiPriority w:val="0"/>
    <w:rPr>
      <w:b/>
    </w:rPr>
  </w:style>
  <w:style w:type="character" w:styleId="39">
    <w:name w:val="page number"/>
    <w:basedOn w:val="36"/>
    <w:qFormat/>
    <w:uiPriority w:val="0"/>
    <w:rPr>
      <w:rFonts w:ascii="Times New Roman" w:hAnsi="Times New Roman" w:eastAsia="宋体" w:cs="Times New Roman"/>
      <w:lang w:bidi="ar-SA"/>
    </w:rPr>
  </w:style>
  <w:style w:type="character" w:styleId="40">
    <w:name w:val="Emphasis"/>
    <w:basedOn w:val="36"/>
    <w:qFormat/>
    <w:uiPriority w:val="0"/>
    <w:rPr>
      <w:color w:val="CC0000"/>
    </w:rPr>
  </w:style>
  <w:style w:type="character" w:styleId="41">
    <w:name w:val="Hyperlink"/>
    <w:qFormat/>
    <w:uiPriority w:val="99"/>
    <w:rPr>
      <w:color w:val="0563C1"/>
      <w:u w:val="single"/>
    </w:rPr>
  </w:style>
  <w:style w:type="paragraph" w:customStyle="1" w:styleId="4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3">
    <w:name w:val="索引 51"/>
    <w:basedOn w:val="1"/>
    <w:next w:val="1"/>
    <w:qFormat/>
    <w:uiPriority w:val="0"/>
    <w:pPr>
      <w:ind w:left="1680"/>
    </w:pPr>
  </w:style>
  <w:style w:type="paragraph" w:customStyle="1" w:styleId="44">
    <w:name w:val="正文首行缩进1"/>
    <w:basedOn w:val="14"/>
    <w:next w:val="45"/>
    <w:qFormat/>
    <w:uiPriority w:val="0"/>
    <w:pPr>
      <w:adjustRightInd w:val="0"/>
      <w:spacing w:line="275" w:lineRule="atLeast"/>
      <w:ind w:firstLine="420"/>
      <w:textAlignment w:val="baseline"/>
    </w:pPr>
    <w:rPr>
      <w:rFonts w:hAnsi="宋体" w:eastAsia="楷体_GB2312"/>
      <w:sz w:val="24"/>
      <w:szCs w:val="20"/>
    </w:rPr>
  </w:style>
  <w:style w:type="paragraph" w:customStyle="1" w:styleId="45">
    <w:name w:val="Date1"/>
    <w:basedOn w:val="1"/>
    <w:next w:val="1"/>
    <w:qFormat/>
    <w:uiPriority w:val="0"/>
    <w:pPr>
      <w:ind w:left="2500" w:leftChars="2500"/>
    </w:pPr>
  </w:style>
  <w:style w:type="paragraph" w:customStyle="1" w:styleId="46">
    <w:name w:val="样式 方正小标宋_GBK 二号 居中 行距: 固定值 30 磅"/>
    <w:basedOn w:val="3"/>
    <w:next w:val="22"/>
    <w:qFormat/>
    <w:uiPriority w:val="0"/>
    <w:pPr>
      <w:keepNext w:val="0"/>
      <w:widowControl w:val="0"/>
      <w:spacing w:after="0" w:afterLines="0" w:line="600" w:lineRule="exact"/>
      <w:jc w:val="center"/>
    </w:pPr>
    <w:rPr>
      <w:rFonts w:ascii="方正小标宋_GBK" w:hAnsi="方正小标宋_GBK" w:eastAsia="方正小标宋_GBK" w:cs="宋体"/>
      <w:spacing w:val="0"/>
      <w:kern w:val="2"/>
      <w:sz w:val="44"/>
      <w:lang w:eastAsia="zh-CN"/>
    </w:rPr>
  </w:style>
  <w:style w:type="paragraph" w:customStyle="1" w:styleId="47">
    <w:name w:val="Char"/>
    <w:basedOn w:val="1"/>
    <w:qFormat/>
    <w:uiPriority w:val="0"/>
    <w:pPr>
      <w:snapToGrid w:val="0"/>
      <w:spacing w:line="360" w:lineRule="auto"/>
      <w:ind w:firstLine="200" w:firstLineChars="200"/>
    </w:pPr>
    <w:rPr>
      <w:rFonts w:eastAsia="方正仿宋_GBK"/>
      <w:sz w:val="32"/>
      <w:szCs w:val="20"/>
    </w:rPr>
  </w:style>
  <w:style w:type="paragraph" w:customStyle="1" w:styleId="48">
    <w:name w:val="UserStyle_41"/>
    <w:next w:val="1"/>
    <w:qFormat/>
    <w:uiPriority w:val="0"/>
    <w:pPr>
      <w:widowControl w:val="0"/>
      <w:ind w:left="1680"/>
      <w:jc w:val="both"/>
    </w:pPr>
    <w:rPr>
      <w:rFonts w:ascii="Times New Roman" w:hAnsi="Times New Roman" w:eastAsia="方正仿宋_GBK" w:cs="Times New Roman"/>
      <w:kern w:val="2"/>
      <w:sz w:val="32"/>
      <w:lang w:val="en-US" w:eastAsia="zh-CN"/>
    </w:rPr>
  </w:style>
  <w:style w:type="paragraph" w:customStyle="1" w:styleId="49">
    <w:name w:val="默认"/>
    <w:qFormat/>
    <w:uiPriority w:val="0"/>
    <w:rPr>
      <w:rFonts w:ascii="Helvetica" w:hAnsi="Helvetica" w:eastAsia="Helvetica" w:cs="Helvetica"/>
      <w:color w:val="000000"/>
      <w:sz w:val="22"/>
      <w:szCs w:val="22"/>
      <w:lang w:val="en-US" w:eastAsia="zh-CN" w:bidi="ar-SA"/>
    </w:rPr>
  </w:style>
  <w:style w:type="paragraph" w:customStyle="1" w:styleId="50">
    <w:name w:val="Body Text First Indent1"/>
    <w:basedOn w:val="14"/>
    <w:qFormat/>
    <w:uiPriority w:val="0"/>
  </w:style>
  <w:style w:type="paragraph" w:customStyle="1" w:styleId="51">
    <w:name w:val="Plain Text1"/>
    <w:qFormat/>
    <w:uiPriority w:val="0"/>
    <w:pPr>
      <w:widowControl w:val="0"/>
      <w:jc w:val="both"/>
    </w:pPr>
    <w:rPr>
      <w:rFonts w:hint="eastAsia" w:ascii="宋体" w:hAnsi="Courier New" w:eastAsia="宋体" w:cs="宋体"/>
      <w:kern w:val="2"/>
      <w:sz w:val="21"/>
      <w:szCs w:val="21"/>
      <w:lang w:val="en-US" w:eastAsia="zh-CN" w:bidi="ar-SA"/>
    </w:rPr>
  </w:style>
  <w:style w:type="paragraph" w:customStyle="1" w:styleId="52">
    <w:name w:val="Heading1"/>
    <w:basedOn w:val="1"/>
    <w:next w:val="1"/>
    <w:qFormat/>
    <w:uiPriority w:val="0"/>
    <w:pPr>
      <w:keepNext/>
      <w:keepLines/>
      <w:spacing w:line="576" w:lineRule="auto"/>
      <w:jc w:val="left"/>
      <w:textAlignment w:val="baseline"/>
    </w:pPr>
    <w:rPr>
      <w:rFonts w:ascii="Times New Roman" w:hAnsi="Times New Roman" w:eastAsia="Times New Roman" w:cs="Times New Roman"/>
      <w:b/>
      <w:bCs/>
      <w:kern w:val="44"/>
      <w:sz w:val="44"/>
      <w:szCs w:val="44"/>
      <w:lang w:val="en-US" w:eastAsia="zh-CN" w:bidi="ar-SA"/>
    </w:rPr>
  </w:style>
  <w:style w:type="paragraph" w:customStyle="1" w:styleId="53">
    <w:name w:val="index 5"/>
    <w:next w:val="1"/>
    <w:qFormat/>
    <w:uiPriority w:val="0"/>
    <w:pPr>
      <w:widowControl w:val="0"/>
      <w:ind w:left="1680"/>
      <w:jc w:val="center"/>
    </w:pPr>
    <w:rPr>
      <w:rFonts w:ascii="方正楷体_GBK" w:hAnsi="Calibri" w:eastAsia="方正楷体_GBK" w:cs="Times New Roman"/>
      <w:b/>
      <w:bCs/>
      <w:kern w:val="2"/>
      <w:sz w:val="36"/>
      <w:szCs w:val="36"/>
      <w:lang w:val="en-US" w:eastAsia="zh-CN" w:bidi="ar-SA"/>
    </w:rPr>
  </w:style>
  <w:style w:type="paragraph" w:customStyle="1" w:styleId="54">
    <w:name w:val="Char1"/>
    <w:basedOn w:val="1"/>
    <w:qFormat/>
    <w:uiPriority w:val="0"/>
    <w:rPr>
      <w:rFonts w:ascii="Tahoma" w:hAnsi="Tahoma"/>
      <w:sz w:val="24"/>
    </w:rPr>
  </w:style>
  <w:style w:type="paragraph" w:customStyle="1" w:styleId="55">
    <w:name w:val="table of figures"/>
    <w:basedOn w:val="1"/>
    <w:next w:val="1"/>
    <w:qFormat/>
    <w:uiPriority w:val="0"/>
    <w:pPr>
      <w:ind w:left="200" w:leftChars="200" w:hanging="200" w:hangingChars="200"/>
    </w:pPr>
    <w:rPr>
      <w:rFonts w:ascii="Calibri" w:hAnsi="Calibri"/>
    </w:rPr>
  </w:style>
  <w:style w:type="paragraph" w:customStyle="1" w:styleId="56">
    <w:name w:val="Body Text 2"/>
    <w:basedOn w:val="1"/>
    <w:qFormat/>
    <w:uiPriority w:val="0"/>
    <w:pPr>
      <w:widowControl w:val="0"/>
      <w:spacing w:after="120" w:afterLines="0" w:line="480" w:lineRule="auto"/>
      <w:jc w:val="both"/>
    </w:pPr>
    <w:rPr>
      <w:rFonts w:ascii="Calibri" w:hAnsi="Calibri" w:eastAsia="宋体" w:cs="Times New Roman"/>
      <w:kern w:val="2"/>
      <w:sz w:val="21"/>
      <w:szCs w:val="24"/>
      <w:lang w:val="en-US" w:eastAsia="zh-CN"/>
    </w:rPr>
  </w:style>
  <w:style w:type="paragraph" w:customStyle="1" w:styleId="57">
    <w:name w:val=" Char1"/>
    <w:basedOn w:val="1"/>
    <w:qFormat/>
    <w:uiPriority w:val="0"/>
    <w:rPr>
      <w:rFonts w:ascii="Tahoma" w:hAnsi="Tahoma"/>
      <w:sz w:val="24"/>
      <w:szCs w:val="20"/>
    </w:rPr>
  </w:style>
  <w:style w:type="paragraph" w:customStyle="1" w:styleId="58">
    <w:name w:val="正文缩进1"/>
    <w:basedOn w:val="1"/>
    <w:next w:val="1"/>
    <w:qFormat/>
    <w:uiPriority w:val="0"/>
    <w:pPr>
      <w:ind w:firstLine="420" w:firstLineChars="200"/>
    </w:pPr>
  </w:style>
  <w:style w:type="paragraph" w:customStyle="1" w:styleId="59">
    <w:name w:val="Body Text First Indent 2"/>
    <w:basedOn w:val="15"/>
    <w:link w:val="61"/>
    <w:qFormat/>
    <w:uiPriority w:val="0"/>
    <w:pPr>
      <w:widowControl w:val="0"/>
      <w:spacing w:after="0" w:afterLines="0" w:line="420" w:lineRule="exact"/>
      <w:ind w:firstLine="200" w:firstLineChars="200"/>
      <w:jc w:val="both"/>
    </w:pPr>
    <w:rPr>
      <w:rFonts w:ascii="Times New Roman" w:hAnsi="Times New Roman" w:eastAsia="黑体" w:cs="Times New Roman"/>
      <w:color w:val="000000"/>
      <w:kern w:val="0"/>
      <w:sz w:val="32"/>
      <w:szCs w:val="20"/>
      <w:lang w:val="en-US" w:eastAsia="zh-CN"/>
    </w:rPr>
  </w:style>
  <w:style w:type="character" w:customStyle="1" w:styleId="60">
    <w:name w:val="page number"/>
    <w:basedOn w:val="36"/>
    <w:qFormat/>
    <w:uiPriority w:val="0"/>
  </w:style>
  <w:style w:type="character" w:customStyle="1" w:styleId="61">
    <w:name w:val="Body Text First Indent 2 Char Char"/>
    <w:basedOn w:val="62"/>
    <w:link w:val="59"/>
    <w:qFormat/>
    <w:uiPriority w:val="0"/>
    <w:rPr>
      <w:rFonts w:ascii="Times New Roman" w:hAnsi="Times New Roman" w:eastAsia="黑体" w:cs="Times New Roman"/>
      <w:color w:val="000000"/>
      <w:kern w:val="0"/>
      <w:sz w:val="32"/>
      <w:szCs w:val="20"/>
      <w:lang w:val="en-US" w:eastAsia="zh-CN"/>
    </w:rPr>
  </w:style>
  <w:style w:type="character" w:customStyle="1" w:styleId="62">
    <w:name w:val="Body Text Indent Char Char"/>
    <w:basedOn w:val="36"/>
    <w:link w:val="15"/>
    <w:qFormat/>
    <w:uiPriority w:val="0"/>
    <w:rPr>
      <w:rFonts w:ascii="Calibri" w:hAnsi="Calibri" w:eastAsia="仿宋" w:cs="Arial"/>
      <w:kern w:val="2"/>
      <w:sz w:val="32"/>
      <w:szCs w:val="24"/>
      <w:lang w:val="en-US" w:eastAsia="zh-CN"/>
    </w:rPr>
  </w:style>
  <w:style w:type="character" w:customStyle="1" w:styleId="63">
    <w:name w:val="font81"/>
    <w:basedOn w:val="36"/>
    <w:qFormat/>
    <w:uiPriority w:val="0"/>
    <w:rPr>
      <w:rFonts w:hint="eastAsia" w:ascii="方正黑体_GBK" w:hAnsi="方正黑体_GBK" w:eastAsia="方正黑体_GBK" w:cs="方正黑体_GBK"/>
      <w:b/>
      <w:color w:val="000000"/>
      <w:sz w:val="20"/>
      <w:szCs w:val="20"/>
      <w:u w:val="single"/>
    </w:rPr>
  </w:style>
  <w:style w:type="character" w:customStyle="1" w:styleId="64">
    <w:name w:val="NormalCharacter"/>
    <w:link w:val="65"/>
    <w:qFormat/>
    <w:uiPriority w:val="0"/>
  </w:style>
  <w:style w:type="paragraph" w:customStyle="1" w:styleId="65">
    <w:name w:val="UserStyle_6"/>
    <w:basedOn w:val="1"/>
    <w:link w:val="64"/>
    <w:qFormat/>
    <w:uiPriority w:val="0"/>
    <w:pPr>
      <w:jc w:val="both"/>
      <w:textAlignment w:val="baseline"/>
    </w:pPr>
  </w:style>
  <w:style w:type="character" w:customStyle="1" w:styleId="66">
    <w:name w:val="font11"/>
    <w:basedOn w:val="36"/>
    <w:qFormat/>
    <w:uiPriority w:val="0"/>
    <w:rPr>
      <w:rFonts w:hint="eastAsia" w:ascii="方正黑体_GBK" w:hAnsi="方正黑体_GBK" w:eastAsia="方正黑体_GBK" w:cs="方正黑体_GBK"/>
      <w:b/>
      <w:color w:val="000000"/>
      <w:sz w:val="20"/>
      <w:szCs w:val="20"/>
      <w:u w:val="none"/>
    </w:rPr>
  </w:style>
  <w:style w:type="paragraph" w:customStyle="1" w:styleId="67">
    <w:name w:val="List Paragraph1"/>
    <w:next w:val="9"/>
    <w:qFormat/>
    <w:uiPriority w:val="0"/>
    <w:pPr>
      <w:widowControl w:val="0"/>
      <w:ind w:firstLine="200" w:firstLineChars="200"/>
      <w:jc w:val="both"/>
    </w:pPr>
    <w:rPr>
      <w:rFonts w:ascii="Times New Roman" w:hAnsi="Times New Roman" w:eastAsia="宋体" w:cs="Times New Roman"/>
      <w:kern w:val="2"/>
      <w:sz w:val="21"/>
      <w:szCs w:val="24"/>
      <w:lang w:val="en-US" w:eastAsia="zh-CN" w:bidi="ar-SA"/>
    </w:rPr>
  </w:style>
  <w:style w:type="paragraph" w:styleId="68">
    <w:name w:val="List Paragraph"/>
    <w:basedOn w:val="1"/>
    <w:qFormat/>
    <w:uiPriority w:val="0"/>
    <w:pPr>
      <w:ind w:firstLine="420" w:firstLineChars="200"/>
    </w:pPr>
  </w:style>
  <w:style w:type="paragraph" w:customStyle="1" w:styleId="69">
    <w:name w:val="正文（缩进）"/>
    <w:basedOn w:val="1"/>
    <w:next w:val="1"/>
    <w:qFormat/>
    <w:uiPriority w:val="0"/>
    <w:pPr>
      <w:widowControl w:val="0"/>
      <w:spacing w:line="594" w:lineRule="exact"/>
      <w:ind w:firstLine="482"/>
      <w:jc w:val="both"/>
    </w:pPr>
    <w:rPr>
      <w:rFonts w:ascii="Times New Roman" w:hAnsi="Times New Roman" w:eastAsia="方正仿宋_GBK" w:cs="Times New Roman"/>
      <w:kern w:val="32"/>
      <w:sz w:val="32"/>
      <w:szCs w:val="24"/>
      <w:lang w:val="en-US" w:eastAsia="zh-CN"/>
    </w:rPr>
  </w:style>
  <w:style w:type="paragraph" w:customStyle="1" w:styleId="70">
    <w:name w:val="Plain Text"/>
    <w:basedOn w:val="1"/>
    <w:qFormat/>
    <w:uiPriority w:val="0"/>
    <w:rPr>
      <w:rFonts w:ascii="宋体" w:hAnsi="Courier New" w:eastAsia="宋体" w:cs="Courier New"/>
      <w:sz w:val="21"/>
      <w:szCs w:val="21"/>
    </w:rPr>
  </w:style>
  <w:style w:type="paragraph" w:customStyle="1" w:styleId="71">
    <w:name w:val="p0"/>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72">
    <w:name w:val="15"/>
    <w:basedOn w:val="36"/>
    <w:qFormat/>
    <w:uiPriority w:val="0"/>
    <w:rPr>
      <w:rFonts w:hint="default" w:ascii="Times New Roman" w:hAnsi="Times New Roman" w:cs="Times New Roman"/>
      <w:kern w:val="2"/>
      <w:sz w:val="21"/>
      <w:szCs w:val="21"/>
    </w:rPr>
  </w:style>
  <w:style w:type="paragraph" w:customStyle="1" w:styleId="73">
    <w:name w:val="Normal Indent_502cd10f-2a61-401d-82e9-46df9b7b9d05"/>
    <w:basedOn w:val="1"/>
    <w:qFormat/>
    <w:uiPriority w:val="0"/>
    <w:pPr>
      <w:widowControl w:val="0"/>
      <w:adjustRightInd/>
      <w:snapToGrid/>
      <w:spacing w:after="0" w:afterLines="0"/>
      <w:ind w:firstLine="567"/>
      <w:jc w:val="both"/>
    </w:pPr>
    <w:rPr>
      <w:rFonts w:ascii="Calibri" w:hAnsi="Calibri" w:eastAsia="宋体" w:cs="Times New Roman"/>
      <w:kern w:val="2"/>
      <w:sz w:val="21"/>
      <w:szCs w:val="24"/>
      <w:lang w:bidi="ar-SA"/>
    </w:rPr>
  </w:style>
  <w:style w:type="character" w:customStyle="1" w:styleId="74">
    <w:name w:val="font01"/>
    <w:basedOn w:val="36"/>
    <w:qFormat/>
    <w:uiPriority w:val="0"/>
    <w:rPr>
      <w:rFonts w:ascii="方正黑体_GBK" w:hAnsi="方正黑体_GBK" w:eastAsia="方正黑体_GBK" w:cs="方正黑体_GBK"/>
      <w:color w:val="000000"/>
      <w:sz w:val="24"/>
      <w:szCs w:val="24"/>
      <w:u w:val="none"/>
    </w:rPr>
  </w:style>
  <w:style w:type="character" w:customStyle="1" w:styleId="75">
    <w:name w:val="font41"/>
    <w:basedOn w:val="36"/>
    <w:qFormat/>
    <w:uiPriority w:val="0"/>
    <w:rPr>
      <w:rFonts w:hint="eastAsia" w:ascii="方正仿宋_GBK" w:hAnsi="方正仿宋_GBK" w:eastAsia="方正仿宋_GBK" w:cs="方正仿宋_GBK"/>
      <w:color w:val="000000"/>
      <w:sz w:val="28"/>
      <w:szCs w:val="28"/>
      <w:u w:val="none"/>
    </w:rPr>
  </w:style>
  <w:style w:type="character" w:customStyle="1" w:styleId="76">
    <w:name w:val="font21"/>
    <w:basedOn w:val="36"/>
    <w:qFormat/>
    <w:uiPriority w:val="0"/>
    <w:rPr>
      <w:rFonts w:hint="default" w:ascii="Times New Roman" w:hAnsi="Times New Roman" w:cs="Times New Roman"/>
      <w:color w:val="000000"/>
      <w:sz w:val="28"/>
      <w:szCs w:val="28"/>
      <w:u w:val="none"/>
    </w:rPr>
  </w:style>
  <w:style w:type="paragraph" w:customStyle="1" w:styleId="77">
    <w:name w:val="正文首行缩进 21"/>
    <w:basedOn w:val="15"/>
    <w:qFormat/>
    <w:uiPriority w:val="0"/>
    <w:pPr>
      <w:ind w:firstLine="200" w:firstLineChars="200"/>
    </w:pPr>
  </w:style>
  <w:style w:type="paragraph" w:customStyle="1" w:styleId="78">
    <w:name w:val="Body Text First Indent"/>
    <w:basedOn w:val="14"/>
    <w:qFormat/>
    <w:uiPriority w:val="0"/>
    <w:pPr>
      <w:adjustRightInd w:val="0"/>
      <w:spacing w:line="275" w:lineRule="atLeast"/>
      <w:ind w:firstLine="420"/>
      <w:textAlignment w:val="baseline"/>
    </w:pPr>
    <w:rPr>
      <w:rFonts w:ascii="宋体" w:eastAsia="楷体_GB2312"/>
      <w:sz w:val="24"/>
      <w:szCs w:val="20"/>
    </w:rPr>
  </w:style>
  <w:style w:type="paragraph" w:customStyle="1" w:styleId="79">
    <w:name w:val="我的正文"/>
    <w:basedOn w:val="1"/>
    <w:qFormat/>
    <w:uiPriority w:val="0"/>
    <w:pPr>
      <w:pBdr>
        <w:top w:val="none" w:color="auto" w:sz="0" w:space="0"/>
        <w:left w:val="none" w:color="auto" w:sz="0" w:space="0"/>
        <w:bottom w:val="none" w:color="auto" w:sz="0" w:space="0"/>
        <w:right w:val="none" w:color="auto" w:sz="0" w:space="0"/>
      </w:pBdr>
      <w:spacing w:line="594" w:lineRule="exact"/>
      <w:ind w:firstLine="643" w:firstLineChars="200"/>
    </w:pPr>
    <w:rPr>
      <w:rFonts w:hint="eastAsia" w:ascii="Times New Roman" w:hAnsi="Times New Roman" w:eastAsia="方正仿宋_GBK" w:cs="方正仿宋_GBK"/>
      <w:color w:val="000000"/>
      <w:kern w:val="0"/>
      <w:sz w:val="32"/>
      <w:szCs w:val="32"/>
      <w:shd w:val="clear" w:color="auto" w:fill="FFFFFF"/>
      <w:lang w:bidi="ar"/>
    </w:rPr>
  </w:style>
  <w:style w:type="paragraph" w:customStyle="1" w:styleId="80">
    <w:name w:val="列出段落1"/>
    <w:basedOn w:val="1"/>
    <w:qFormat/>
    <w:uiPriority w:val="34"/>
    <w:pPr>
      <w:ind w:firstLine="420" w:firstLineChars="200"/>
    </w:pPr>
    <w:rPr>
      <w:rFonts w:ascii="Times New Roman" w:hAnsi="Times New Roman" w:cs="Times New Roman"/>
      <w:sz w:val="24"/>
    </w:rPr>
  </w:style>
  <w:style w:type="paragraph" w:customStyle="1" w:styleId="81">
    <w:name w:val="UserStyle_0"/>
    <w:qFormat/>
    <w:uiPriority w:val="0"/>
    <w:pPr>
      <w:textAlignment w:val="baseline"/>
    </w:pPr>
    <w:rPr>
      <w:rFonts w:ascii="方正姚体" w:hAnsi="等线" w:eastAsia="方正姚体" w:cs="Times New Roman"/>
      <w:color w:val="000000"/>
      <w:sz w:val="24"/>
      <w:szCs w:val="24"/>
      <w:lang w:val="en-US" w:eastAsia="zh-CN" w:bidi="ar-SA"/>
    </w:rPr>
  </w:style>
  <w:style w:type="character" w:customStyle="1" w:styleId="82">
    <w:name w:val="font61"/>
    <w:qFormat/>
    <w:uiPriority w:val="0"/>
    <w:rPr>
      <w:rFonts w:ascii="方正仿宋_GBK" w:hAnsi="方正仿宋_GBK" w:eastAsia="方正仿宋_GBK" w:cs="方正仿宋_GBK"/>
      <w:color w:val="000000"/>
      <w:sz w:val="24"/>
      <w:szCs w:val="24"/>
      <w:u w:val="none"/>
    </w:rPr>
  </w:style>
  <w:style w:type="paragraph" w:customStyle="1" w:styleId="83">
    <w:name w:val="Body Text Indent 2"/>
    <w:next w:val="1"/>
    <w:qFormat/>
    <w:uiPriority w:val="0"/>
    <w:pPr>
      <w:widowControl w:val="0"/>
      <w:spacing w:after="120" w:afterLines="0"/>
      <w:ind w:left="480" w:leftChars="200" w:firstLine="560"/>
      <w:jc w:val="both"/>
    </w:pPr>
    <w:rPr>
      <w:rFonts w:ascii="Times New Roman" w:hAnsi="Times New Roman" w:eastAsia="方正仿宋_GBK" w:cs="Times New Roman"/>
      <w:kern w:val="2"/>
      <w:sz w:val="32"/>
      <w:szCs w:val="20"/>
      <w:lang w:val="en-US" w:eastAsia="zh-CN"/>
    </w:rPr>
  </w:style>
  <w:style w:type="table" w:customStyle="1" w:styleId="84">
    <w:name w:val="Table Normal"/>
    <w:unhideWhenUsed/>
    <w:qFormat/>
    <w:uiPriority w:val="0"/>
    <w:tblPr>
      <w:tblCellMar>
        <w:top w:w="0" w:type="dxa"/>
        <w:left w:w="0" w:type="dxa"/>
        <w:bottom w:w="0" w:type="dxa"/>
        <w:right w:w="0" w:type="dxa"/>
      </w:tblCellMar>
    </w:tblPr>
  </w:style>
  <w:style w:type="paragraph" w:customStyle="1" w:styleId="85">
    <w:name w:val="Body Text Indent"/>
    <w:basedOn w:val="1"/>
    <w:qFormat/>
    <w:uiPriority w:val="0"/>
    <w:pPr>
      <w:spacing w:line="560" w:lineRule="exact"/>
      <w:ind w:firstLine="645"/>
    </w:pPr>
    <w:rPr>
      <w:rFonts w:ascii="仿宋_GB2312" w:eastAsia="仿宋_GB2312"/>
      <w:color w:val="000000"/>
      <w:szCs w:val="32"/>
    </w:rPr>
  </w:style>
  <w:style w:type="character" w:customStyle="1" w:styleId="86">
    <w:name w:val="标题 4 Char"/>
    <w:link w:val="5"/>
    <w:qFormat/>
    <w:uiPriority w:val="0"/>
    <w:rPr>
      <w:rFonts w:ascii="Arial" w:hAnsi="Arial" w:eastAsia="方正仿宋_GBK"/>
      <w:sz w:val="32"/>
    </w:rPr>
  </w:style>
  <w:style w:type="character" w:customStyle="1" w:styleId="87">
    <w:name w:val="标题 3 Char Char"/>
    <w:link w:val="2"/>
    <w:qFormat/>
    <w:uiPriority w:val="0"/>
    <w:rPr>
      <w:b/>
      <w:sz w:val="32"/>
    </w:rPr>
  </w:style>
  <w:style w:type="character" w:customStyle="1" w:styleId="88">
    <w:name w:val="标题 4 Char Char"/>
    <w:link w:val="5"/>
    <w:qFormat/>
    <w:uiPriority w:val="0"/>
    <w:rPr>
      <w:rFonts w:ascii="Times New Roman" w:hAnsi="Times New Roman" w:eastAsia="方正仿宋_GBK"/>
      <w:b/>
      <w:kern w:val="2"/>
      <w:sz w:val="32"/>
      <w:szCs w:val="24"/>
      <w:lang w:val="en-US" w:eastAsia="zh-CN" w:bidi="ar-SA"/>
    </w:rPr>
  </w:style>
  <w:style w:type="character" w:customStyle="1" w:styleId="89">
    <w:name w:val="标题 2 Char Char"/>
    <w:link w:val="4"/>
    <w:qFormat/>
    <w:uiPriority w:val="0"/>
    <w:rPr>
      <w:rFonts w:hint="eastAsia" w:ascii="宋体" w:hAnsi="宋体" w:eastAsia="宋体" w:cs="宋体"/>
      <w:b/>
      <w:kern w:val="0"/>
      <w:sz w:val="36"/>
      <w:szCs w:val="36"/>
      <w:lang w:val="en-US" w:eastAsia="zh-CN" w:bidi="ar"/>
    </w:rPr>
  </w:style>
  <w:style w:type="paragraph" w:customStyle="1" w:styleId="90">
    <w:name w:val="正文-公1"/>
    <w:qFormat/>
    <w:uiPriority w:val="0"/>
    <w:pPr>
      <w:widowControl w:val="0"/>
      <w:ind w:firstLine="200" w:firstLineChars="200"/>
      <w:jc w:val="both"/>
    </w:pPr>
    <w:rPr>
      <w:rFonts w:ascii="Calibri" w:hAnsi="Calibri" w:eastAsia="宋体" w:cs="Times New Roman"/>
      <w:color w:val="000000"/>
      <w:kern w:val="2"/>
      <w:sz w:val="21"/>
      <w:szCs w:val="22"/>
      <w:lang w:val="en-US" w:eastAsia="zh-CN" w:bidi="ar-SA"/>
    </w:rPr>
  </w:style>
  <w:style w:type="character" w:customStyle="1" w:styleId="91">
    <w:name w:val="标题 1 Char Char"/>
    <w:link w:val="3"/>
    <w:qFormat/>
    <w:uiPriority w:val="0"/>
    <w:rPr>
      <w:rFonts w:ascii="宋体" w:hAnsi="宋体" w:eastAsia="方正小标宋_GBK" w:cs="宋体"/>
      <w:kern w:val="0"/>
      <w:sz w:val="44"/>
      <w:szCs w:val="32"/>
    </w:rPr>
  </w:style>
  <w:style w:type="paragraph" w:customStyle="1" w:styleId="92">
    <w:name w:val="BodyTextIndent"/>
    <w:qFormat/>
    <w:uiPriority w:val="0"/>
    <w:pPr>
      <w:widowControl w:val="0"/>
      <w:spacing w:line="570" w:lineRule="exact"/>
      <w:ind w:firstLine="616" w:firstLineChars="200"/>
      <w:jc w:val="both"/>
    </w:pPr>
    <w:rPr>
      <w:rFonts w:ascii="Times New Roman" w:hAnsi="Times New Roman" w:eastAsia="仿宋_GB2312" w:cs="Times New Roman"/>
      <w:spacing w:val="-6"/>
      <w:kern w:val="2"/>
      <w:sz w:val="32"/>
      <w:szCs w:val="24"/>
      <w:lang w:val="en-US" w:eastAsia="zh-CN" w:bidi="ar-SA"/>
    </w:rPr>
  </w:style>
  <w:style w:type="paragraph" w:customStyle="1" w:styleId="93">
    <w:name w:val="正文2"/>
    <w:basedOn w:val="1"/>
    <w:qFormat/>
    <w:uiPriority w:val="0"/>
    <w:pPr>
      <w:ind w:firstLine="640"/>
    </w:pPr>
    <w:rPr>
      <w:color w:val="0000FF"/>
    </w:rPr>
  </w:style>
  <w:style w:type="paragraph" w:customStyle="1" w:styleId="94">
    <w:name w:val="TOC 标题1"/>
    <w:basedOn w:val="3"/>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color w:val="376092" w:themeColor="accent1" w:themeShade="BF"/>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home\kylin\C:\home\user\D:\&#26472;&#38684;&#33673;\2021&#24180;&#25991;&#20214;\4&#65294;&#20415;&#31546;\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94</Pages>
  <Words>50435</Words>
  <Characters>52070</Characters>
  <Lines>0</Lines>
  <Paragraphs>0</Paragraphs>
  <TotalTime>1</TotalTime>
  <ScaleCrop>false</ScaleCrop>
  <LinksUpToDate>false</LinksUpToDate>
  <CharactersWithSpaces>52717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2019-07-04T07:26:00Z</dcterms:created>
  <dc:creator>HO98</dc:creator>
  <cp:lastModifiedBy>Administrator</cp:lastModifiedBy>
  <cp:lastPrinted>2026-03-14T01:14:00Z</cp:lastPrinted>
  <dcterms:modified xsi:type="dcterms:W3CDTF">2026-06-04T01:34:10Z</dcterms:modified>
  <dc:title>中国共产党重庆市大足区委员会</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6832849_embed</vt:lpwstr>
  </property>
  <property fmtid="{D5CDD505-2E9C-101B-9397-08002B2CF9AE}" pid="4" name="ICV">
    <vt:lpwstr>D48789FB3B31400BABC7E9EFB9893A87</vt:lpwstr>
  </property>
  <property fmtid="{D5CDD505-2E9C-101B-9397-08002B2CF9AE}" pid="5" name="KSOTemplateDocerSaveRecord">
    <vt:lpwstr>eyJoZGlkIjoiOGM3MDNmYmI2ZjcyZTU4MWQwYWNhNDQ0ZTc4NzMzODgiLCJ1c2VySWQiOiIxNTcwNDgzODczIn0=</vt:lpwstr>
  </property>
</Properties>
</file>