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 xml:space="preserve">2 </w:t>
      </w:r>
      <w:r>
        <w:rPr>
          <w:rFonts w:hint="eastAsia"/>
          <w:vertAlign w:val="baseli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vertAlign w:val="baseli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vertAlign w:val="baseline"/>
          <w:lang w:eastAsia="zh-CN"/>
        </w:rPr>
        <w:t>评选自查表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 w:bidi="ar-SA"/>
        </w:rPr>
        <w:t>企业名称：</w:t>
      </w:r>
    </w:p>
    <w:tbl>
      <w:tblPr>
        <w:tblStyle w:val="16"/>
        <w:tblW w:w="1007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892"/>
        <w:gridCol w:w="1640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5892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评选标准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是否存在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是否达标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89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近两年内在商务、市场监管、税务、应急、卫生、消协、银行等部门或机构没有被处罚记录或不良记录。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是□否□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89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近两年内企业及其法定代表人均无违法犯罪记录，无因债务纠纷做被告并败诉，无被消费者投诉的典型案例等条件。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是□否□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89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近两年内未发生一般及以上的安全责任事故、刑事案件、经济违法案件以及群访群诉等重大服务质量消费纠纷。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是□否□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89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222222"/>
                <w:sz w:val="30"/>
                <w:szCs w:val="30"/>
                <w:lang w:eastAsia="zh-CN"/>
              </w:rPr>
              <w:t>通过信用重庆官网对申报企业近</w:t>
            </w:r>
            <w:r>
              <w:rPr>
                <w:rFonts w:hint="default" w:ascii="Times New Roman" w:hAnsi="Times New Roman" w:eastAsia="方正仿宋_GBK" w:cs="Times New Roman"/>
                <w:color w:val="222222"/>
                <w:sz w:val="30"/>
                <w:szCs w:val="30"/>
              </w:rPr>
              <w:t>两年内</w:t>
            </w:r>
            <w:r>
              <w:rPr>
                <w:rFonts w:hint="default" w:ascii="Times New Roman" w:hAnsi="Times New Roman" w:eastAsia="方正仿宋_GBK" w:cs="Times New Roman"/>
                <w:color w:val="222222"/>
                <w:sz w:val="30"/>
                <w:szCs w:val="30"/>
                <w:lang w:eastAsia="zh-CN"/>
              </w:rPr>
              <w:t>对无</w:t>
            </w:r>
            <w:r>
              <w:rPr>
                <w:rFonts w:hint="default" w:ascii="Times New Roman" w:hAnsi="Times New Roman" w:eastAsia="方正仿宋_GBK" w:cs="Times New Roman"/>
                <w:color w:val="222222"/>
                <w:sz w:val="30"/>
                <w:szCs w:val="30"/>
              </w:rPr>
              <w:t>重大失信行为或失信行为</w:t>
            </w:r>
            <w:r>
              <w:rPr>
                <w:rFonts w:hint="default" w:ascii="Times New Roman" w:hAnsi="Times New Roman" w:eastAsia="方正仿宋_GBK" w:cs="Times New Roman"/>
                <w:color w:val="222222"/>
                <w:sz w:val="30"/>
                <w:szCs w:val="30"/>
                <w:lang w:eastAsia="zh-CN"/>
              </w:rPr>
              <w:t>和不良记录的企业进行查询，并商请征求属地镇街意见。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是□否□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89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对日常安全监管工作落实落地，安全培训到位，排查隐患较少，积极配合，整改到位，及时销号。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是□否□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5892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综合评价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是□否□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是□否□</w:t>
            </w:r>
          </w:p>
        </w:tc>
      </w:tr>
    </w:tbl>
    <w:p>
      <w:pPr>
        <w:pStyle w:val="2"/>
        <w:rPr>
          <w:rFonts w:hint="default" w:ascii="Calibri" w:hAnsi="Calibri" w:eastAsia="宋体" w:cs="Times New Roman"/>
          <w:kern w:val="2"/>
          <w:sz w:val="11"/>
          <w:szCs w:val="11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463" w:bottom="1440" w:left="1519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NGUzZmNjZjgxYjNhYzhkN2E2Yjk0MGNmYTlmZmQifQ=="/>
  </w:docVars>
  <w:rsids>
    <w:rsidRoot w:val="00000000"/>
    <w:rsid w:val="01FE707C"/>
    <w:rsid w:val="047A1220"/>
    <w:rsid w:val="04A4324F"/>
    <w:rsid w:val="04AB62A3"/>
    <w:rsid w:val="06612C32"/>
    <w:rsid w:val="0951254E"/>
    <w:rsid w:val="0A221181"/>
    <w:rsid w:val="0C61630F"/>
    <w:rsid w:val="0D971966"/>
    <w:rsid w:val="0FAF3CEB"/>
    <w:rsid w:val="11A6674F"/>
    <w:rsid w:val="13B0281C"/>
    <w:rsid w:val="1A82209E"/>
    <w:rsid w:val="1B412F08"/>
    <w:rsid w:val="1B4342F0"/>
    <w:rsid w:val="1CE9102C"/>
    <w:rsid w:val="22E94D1F"/>
    <w:rsid w:val="261C4DCD"/>
    <w:rsid w:val="28933DB6"/>
    <w:rsid w:val="29C826D2"/>
    <w:rsid w:val="2A057235"/>
    <w:rsid w:val="2CF77B13"/>
    <w:rsid w:val="2DC34431"/>
    <w:rsid w:val="30432222"/>
    <w:rsid w:val="32ED1B36"/>
    <w:rsid w:val="363F2EC8"/>
    <w:rsid w:val="3713179E"/>
    <w:rsid w:val="37853D36"/>
    <w:rsid w:val="38756D9F"/>
    <w:rsid w:val="38962E1E"/>
    <w:rsid w:val="3A9B296C"/>
    <w:rsid w:val="3B7F1604"/>
    <w:rsid w:val="3CBF6A63"/>
    <w:rsid w:val="3D5E79B7"/>
    <w:rsid w:val="3FBD8480"/>
    <w:rsid w:val="3FE437DF"/>
    <w:rsid w:val="40826485"/>
    <w:rsid w:val="40DC68A2"/>
    <w:rsid w:val="46CE0318"/>
    <w:rsid w:val="47D0146E"/>
    <w:rsid w:val="47F50E74"/>
    <w:rsid w:val="4C6D329C"/>
    <w:rsid w:val="54100D11"/>
    <w:rsid w:val="56492FE7"/>
    <w:rsid w:val="56984110"/>
    <w:rsid w:val="5C6D318E"/>
    <w:rsid w:val="5E5F77AE"/>
    <w:rsid w:val="5EDC254B"/>
    <w:rsid w:val="67A84E3B"/>
    <w:rsid w:val="69A842DD"/>
    <w:rsid w:val="6AFBBA18"/>
    <w:rsid w:val="6DFB21AE"/>
    <w:rsid w:val="76850527"/>
    <w:rsid w:val="76CB42DE"/>
    <w:rsid w:val="773F4C21"/>
    <w:rsid w:val="777F3E12"/>
    <w:rsid w:val="78251D2F"/>
    <w:rsid w:val="7FFFDC26"/>
    <w:rsid w:val="B7FC0CD0"/>
    <w:rsid w:val="BFE7F168"/>
    <w:rsid w:val="FDEFD350"/>
    <w:rsid w:val="FF598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autoSpaceDE w:val="0"/>
      <w:autoSpaceDN w:val="0"/>
      <w:spacing w:before="11"/>
      <w:ind w:left="1625" w:right="1804"/>
      <w:jc w:val="center"/>
      <w:outlineLvl w:val="0"/>
    </w:pPr>
    <w:rPr>
      <w:rFonts w:ascii="方正小标宋_GBK" w:eastAsia="方正小标宋_GBK" w:cs="方正小标宋_GBK"/>
      <w:sz w:val="36"/>
      <w:szCs w:val="36"/>
      <w:lang w:val="zh-CN" w:eastAsia="zh-CN" w:bidi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ody Text Indent"/>
    <w:basedOn w:val="1"/>
    <w:next w:val="6"/>
    <w:qFormat/>
    <w:uiPriority w:val="0"/>
    <w:pPr>
      <w:spacing w:line="560" w:lineRule="exact"/>
      <w:ind w:firstLine="200" w:firstLineChars="200"/>
    </w:pPr>
    <w:rPr>
      <w:rFonts w:ascii="宋体" w:eastAsia="宋体"/>
      <w:sz w:val="28"/>
      <w:szCs w:val="28"/>
    </w:rPr>
  </w:style>
  <w:style w:type="paragraph" w:customStyle="1" w:styleId="6">
    <w:name w:val="样式 方正小标宋_GBK 二号 居中 行距: 固定值 30 磅"/>
    <w:basedOn w:val="3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hAnsi="方正小标宋_GBK" w:eastAsia="方正小标宋_GBK" w:cs="宋体"/>
      <w:spacing w:val="0"/>
      <w:kern w:val="2"/>
      <w:sz w:val="44"/>
      <w:lang w:eastAsia="zh-CN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4"/>
    <w:basedOn w:val="1"/>
    <w:next w:val="1"/>
    <w:qFormat/>
    <w:uiPriority w:val="0"/>
    <w:pPr>
      <w:ind w:left="1260"/>
    </w:pPr>
  </w:style>
  <w:style w:type="paragraph" w:styleId="10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Arial" w:hAnsi="Arial" w:cs="Arial"/>
      <w:sz w:val="24"/>
      <w:szCs w:val="24"/>
      <w:lang w:bidi="ar-SA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3">
    <w:name w:val="Body Text First Indent"/>
    <w:basedOn w:val="4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hAnsi="宋体" w:eastAsia="楷体_GB2312"/>
      <w:sz w:val="24"/>
      <w:szCs w:val="20"/>
    </w:rPr>
  </w:style>
  <w:style w:type="paragraph" w:styleId="14">
    <w:name w:val="Body Text First Indent 2"/>
    <w:basedOn w:val="5"/>
    <w:qFormat/>
    <w:uiPriority w:val="0"/>
    <w:pPr>
      <w:spacing w:after="0"/>
      <w:ind w:firstLine="200" w:firstLineChars="200"/>
    </w:p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索引 51"/>
    <w:basedOn w:val="1"/>
    <w:next w:val="1"/>
    <w:qFormat/>
    <w:uiPriority w:val="0"/>
    <w:pPr>
      <w:ind w:left="1680"/>
    </w:pPr>
    <w:rPr>
      <w:rFonts w:ascii="Calibri" w:hAnsi="Calibri" w:eastAsia="宋体"/>
      <w:sz w:val="21"/>
      <w:szCs w:val="24"/>
    </w:rPr>
  </w:style>
  <w:style w:type="paragraph" w:customStyle="1" w:styleId="20">
    <w:name w:val="正文缩进2"/>
    <w:basedOn w:val="1"/>
    <w:qFormat/>
    <w:uiPriority w:val="0"/>
    <w:rPr>
      <w:kern w:val="0"/>
      <w:sz w:val="24"/>
    </w:rPr>
  </w:style>
  <w:style w:type="paragraph" w:customStyle="1" w:styleId="21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NormalCharacter"/>
    <w:semiHidden/>
    <w:qFormat/>
    <w:uiPriority w:val="0"/>
  </w:style>
  <w:style w:type="paragraph" w:customStyle="1" w:styleId="24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1549</Words>
  <Characters>1622</Characters>
  <Lines>0</Lines>
  <Paragraphs>0</Paragraphs>
  <TotalTime>6</TotalTime>
  <ScaleCrop>false</ScaleCrop>
  <LinksUpToDate>false</LinksUpToDate>
  <CharactersWithSpaces>1723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2022-01-25T09:41:00Z</dcterms:created>
  <dc:creator>ASUS</dc:creator>
  <cp:lastModifiedBy>WPS_1601995964</cp:lastModifiedBy>
  <cp:lastPrinted>2024-06-04T07:37:00Z</cp:lastPrinted>
  <dcterms:modified xsi:type="dcterms:W3CDTF">2024-06-05T10:07:38Z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30E2323BA49B48329FFCC3508DD6DD7B_13</vt:lpwstr>
  </property>
</Properties>
</file>