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项目名称：大足区濑溪河流域水环境综合治理项目地质勘查和测绘服务</w:t>
      </w:r>
    </w:p>
    <w:p>
      <w:pPr>
        <w:pStyle w:val="1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（新增部分）</w:t>
      </w:r>
    </w:p>
    <w:p>
      <w:pPr>
        <w:spacing w:line="360" w:lineRule="auto"/>
        <w:rPr>
          <w:rFonts w:ascii="宋体" w:hAnsi="宋体" w:cs="宋体"/>
          <w:color w:val="auto"/>
          <w:sz w:val="44"/>
          <w:szCs w:val="44"/>
          <w:highlight w:val="none"/>
        </w:rPr>
      </w:pPr>
    </w:p>
    <w:p>
      <w:pPr>
        <w:spacing w:line="360" w:lineRule="auto"/>
        <w:jc w:val="center"/>
        <w:rPr>
          <w:rFonts w:hint="eastAsia" w:ascii="宋体" w:hAnsi="宋体" w:cs="宋体"/>
          <w:color w:val="auto"/>
          <w:sz w:val="96"/>
          <w:szCs w:val="96"/>
          <w:highlight w:val="none"/>
        </w:rPr>
      </w:pPr>
    </w:p>
    <w:p>
      <w:pPr>
        <w:spacing w:line="360" w:lineRule="auto"/>
        <w:jc w:val="center"/>
        <w:rPr>
          <w:rFonts w:hint="eastAsia" w:ascii="宋体" w:hAnsi="宋体" w:cs="宋体"/>
          <w:color w:val="auto"/>
          <w:sz w:val="96"/>
          <w:szCs w:val="96"/>
          <w:highlight w:val="none"/>
        </w:rPr>
      </w:pPr>
    </w:p>
    <w:p>
      <w:pPr>
        <w:spacing w:line="360" w:lineRule="auto"/>
        <w:jc w:val="center"/>
        <w:rPr>
          <w:rFonts w:ascii="宋体" w:hAnsi="宋体" w:cs="宋体"/>
          <w:color w:val="auto"/>
          <w:sz w:val="96"/>
          <w:szCs w:val="96"/>
          <w:highlight w:val="none"/>
        </w:rPr>
      </w:pPr>
      <w:r>
        <w:rPr>
          <w:rFonts w:hint="eastAsia" w:ascii="宋体" w:hAnsi="宋体" w:cs="宋体"/>
          <w:color w:val="auto"/>
          <w:sz w:val="96"/>
          <w:szCs w:val="96"/>
          <w:highlight w:val="none"/>
        </w:rPr>
        <w:t>竞争性比选文件</w:t>
      </w:r>
    </w:p>
    <w:p>
      <w:pPr>
        <w:pStyle w:val="37"/>
        <w:spacing w:before="120" w:beforeLines="50" w:line="240" w:lineRule="auto"/>
        <w:rPr>
          <w:rFonts w:hint="eastAsia" w:ascii="宋体" w:eastAsia="宋体" w:cs="宋体"/>
          <w:b w:val="0"/>
          <w:sz w:val="48"/>
          <w:szCs w:val="48"/>
        </w:rPr>
      </w:pPr>
      <w:r>
        <w:rPr>
          <w:rFonts w:hint="eastAsia" w:ascii="宋体" w:eastAsia="宋体" w:cs="宋体"/>
          <w:b w:val="0"/>
          <w:sz w:val="48"/>
          <w:szCs w:val="48"/>
        </w:rPr>
        <w:t>（综合评分法）</w:t>
      </w:r>
    </w:p>
    <w:p>
      <w:pPr>
        <w:spacing w:line="360" w:lineRule="auto"/>
        <w:rPr>
          <w:rFonts w:ascii="宋体" w:hAnsi="宋体" w:cs="宋体"/>
          <w:color w:val="auto"/>
          <w:sz w:val="44"/>
          <w:szCs w:val="44"/>
          <w:highlight w:val="none"/>
        </w:rPr>
      </w:pPr>
    </w:p>
    <w:p>
      <w:pPr>
        <w:spacing w:line="360" w:lineRule="auto"/>
        <w:rPr>
          <w:rFonts w:ascii="宋体" w:hAnsi="宋体" w:cs="宋体"/>
          <w:color w:val="auto"/>
          <w:sz w:val="44"/>
          <w:szCs w:val="44"/>
          <w:highlight w:val="none"/>
        </w:rPr>
      </w:pPr>
    </w:p>
    <w:p>
      <w:pPr>
        <w:spacing w:line="360" w:lineRule="auto"/>
        <w:rPr>
          <w:rFonts w:ascii="宋体" w:hAnsi="宋体" w:cs="宋体"/>
          <w:color w:val="auto"/>
          <w:sz w:val="44"/>
          <w:szCs w:val="44"/>
          <w:highlight w:val="none"/>
        </w:rPr>
      </w:pPr>
    </w:p>
    <w:p>
      <w:pPr>
        <w:spacing w:line="360" w:lineRule="auto"/>
        <w:rPr>
          <w:rFonts w:ascii="宋体" w:hAnsi="宋体" w:cs="宋体"/>
          <w:color w:val="auto"/>
          <w:sz w:val="32"/>
          <w:szCs w:val="21"/>
          <w:highlight w:val="none"/>
        </w:rPr>
      </w:pPr>
    </w:p>
    <w:p>
      <w:pPr>
        <w:spacing w:line="360" w:lineRule="auto"/>
        <w:rPr>
          <w:rFonts w:ascii="宋体" w:hAnsi="宋体" w:cs="宋体"/>
          <w:color w:val="auto"/>
          <w:highlight w:val="none"/>
        </w:rPr>
      </w:pPr>
    </w:p>
    <w:p>
      <w:pP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  </w:t>
      </w:r>
    </w:p>
    <w:p>
      <w:pPr>
        <w:pStyle w:val="14"/>
        <w:spacing w:line="360" w:lineRule="auto"/>
        <w:ind w:left="0" w:leftChars="0" w:firstLine="0" w:firstLineChars="0"/>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 xml:space="preserve"> 采   购  人：</w:t>
      </w:r>
      <w:r>
        <w:rPr>
          <w:rFonts w:hint="eastAsia" w:ascii="宋体" w:hAnsi="宋体" w:cs="宋体"/>
          <w:color w:val="auto"/>
          <w:sz w:val="32"/>
          <w:szCs w:val="32"/>
          <w:highlight w:val="none"/>
          <w:lang w:eastAsia="zh-CN"/>
        </w:rPr>
        <w:t xml:space="preserve">重庆市大足区生态环境局 </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lang w:eastAsia="zh-CN"/>
        </w:rPr>
        <w:t xml:space="preserve">重庆两仪工程咨询有限公司大足分公司   </w:t>
      </w:r>
    </w:p>
    <w:p>
      <w:pPr>
        <w:spacing w:line="360" w:lineRule="auto"/>
        <w:ind w:firstLine="960" w:firstLineChars="300"/>
        <w:rPr>
          <w:rFonts w:hint="eastAsia" w:ascii="宋体" w:hAnsi="宋体" w:cs="宋体"/>
          <w:color w:val="auto"/>
          <w:sz w:val="32"/>
          <w:szCs w:val="32"/>
          <w:highlight w:val="none"/>
          <w:lang w:eastAsia="zh-CN"/>
        </w:rPr>
      </w:pPr>
    </w:p>
    <w:p>
      <w:pPr>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月</w:t>
      </w:r>
    </w:p>
    <w:p>
      <w:pPr>
        <w:spacing w:line="360" w:lineRule="auto"/>
        <w:rPr>
          <w:rFonts w:ascii="宋体" w:hAnsi="宋体" w:cs="宋体"/>
          <w:color w:val="auto"/>
          <w:sz w:val="24"/>
          <w:szCs w:val="18"/>
          <w:highlight w:val="none"/>
        </w:rPr>
        <w:sectPr>
          <w:footerReference r:id="rId3" w:type="first"/>
          <w:pgSz w:w="11906" w:h="16838"/>
          <w:pgMar w:top="1417" w:right="1134" w:bottom="1417" w:left="1134" w:header="851" w:footer="992" w:gutter="0"/>
          <w:cols w:space="425" w:num="1"/>
          <w:rtlGutter w:val="0"/>
          <w:docGrid w:type="lines" w:linePitch="312" w:charSpace="0"/>
        </w:sectPr>
      </w:pPr>
    </w:p>
    <w:sdt>
      <w:sdtPr>
        <w:rPr>
          <w:rFonts w:hint="eastAsia" w:ascii="宋体" w:hAnsi="宋体" w:cs="宋体"/>
          <w:b/>
          <w:color w:val="auto"/>
          <w:szCs w:val="24"/>
          <w:highlight w:val="none"/>
        </w:rPr>
        <w:id w:val="147456414"/>
        <w15:color w:val="DBDBDB"/>
        <w:docPartObj>
          <w:docPartGallery w:val="Table of Contents"/>
          <w:docPartUnique/>
        </w:docPartObj>
      </w:sdtPr>
      <w:sdtEndPr>
        <w:rPr>
          <w:rFonts w:hint="eastAsia" w:ascii="宋体" w:hAnsi="宋体" w:cs="宋体"/>
          <w:b/>
          <w:color w:val="auto"/>
          <w:sz w:val="32"/>
          <w:szCs w:val="24"/>
          <w:highlight w:val="none"/>
        </w:rPr>
      </w:sdtEndPr>
      <w:sdtContent>
        <w:p>
          <w:pPr>
            <w:spacing w:line="360" w:lineRule="auto"/>
            <w:jc w:val="center"/>
            <w:rPr>
              <w:rFonts w:ascii="宋体" w:hAnsi="宋体" w:cs="宋体"/>
              <w:color w:val="auto"/>
              <w:sz w:val="40"/>
              <w:szCs w:val="24"/>
              <w:highlight w:val="none"/>
            </w:rPr>
          </w:pPr>
          <w:r>
            <w:rPr>
              <w:rFonts w:hint="eastAsia" w:ascii="宋体" w:hAnsi="宋体" w:cs="宋体"/>
              <w:color w:val="auto"/>
              <w:szCs w:val="24"/>
              <w:highlight w:val="none"/>
            </w:rPr>
            <w:t>目  录</w:t>
          </w:r>
        </w:p>
        <w:p>
          <w:pPr>
            <w:pStyle w:val="16"/>
            <w:tabs>
              <w:tab w:val="right" w:leader="dot" w:pos="9355"/>
            </w:tabs>
            <w:spacing w:line="360" w:lineRule="auto"/>
            <w:rPr>
              <w:rFonts w:ascii="宋体" w:hAnsi="宋体" w:cs="宋体"/>
              <w:color w:val="auto"/>
              <w:highlight w:val="none"/>
            </w:rPr>
          </w:pPr>
          <w:r>
            <w:rPr>
              <w:rFonts w:hint="eastAsia" w:ascii="宋体" w:hAnsi="宋体" w:cs="宋体"/>
              <w:color w:val="auto"/>
              <w:sz w:val="28"/>
              <w:szCs w:val="18"/>
              <w:highlight w:val="none"/>
            </w:rPr>
            <w:fldChar w:fldCharType="begin"/>
          </w:r>
          <w:r>
            <w:rPr>
              <w:rFonts w:hint="eastAsia" w:ascii="宋体" w:hAnsi="宋体" w:cs="宋体"/>
              <w:color w:val="auto"/>
              <w:sz w:val="28"/>
              <w:szCs w:val="18"/>
              <w:highlight w:val="none"/>
            </w:rPr>
            <w:instrText xml:space="preserve">TOC \o "1-2" \h \u </w:instrText>
          </w:r>
          <w:r>
            <w:rPr>
              <w:rFonts w:hint="eastAsia" w:ascii="宋体" w:hAnsi="宋体" w:cs="宋体"/>
              <w:color w:val="auto"/>
              <w:sz w:val="28"/>
              <w:szCs w:val="18"/>
              <w:highlight w:val="none"/>
            </w:rPr>
            <w:fldChar w:fldCharType="separate"/>
          </w:r>
          <w:r>
            <w:rPr>
              <w:color w:val="auto"/>
              <w:highlight w:val="none"/>
            </w:rPr>
            <w:fldChar w:fldCharType="begin"/>
          </w:r>
          <w:r>
            <w:rPr>
              <w:color w:val="auto"/>
              <w:highlight w:val="none"/>
            </w:rPr>
            <w:instrText xml:space="preserve"> HYPERLINK \l "_Toc14013" </w:instrText>
          </w:r>
          <w:r>
            <w:rPr>
              <w:color w:val="auto"/>
              <w:highlight w:val="none"/>
            </w:rPr>
            <w:fldChar w:fldCharType="separate"/>
          </w:r>
          <w:r>
            <w:rPr>
              <w:rFonts w:hint="eastAsia" w:ascii="宋体" w:hAnsi="宋体" w:cs="宋体"/>
              <w:color w:val="auto"/>
              <w:szCs w:val="15"/>
              <w:highlight w:val="none"/>
            </w:rPr>
            <w:t>第一篇 采购邀请书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_Toc14013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355"/>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"_Toc1636" </w:instrText>
          </w:r>
          <w:r>
            <w:rPr>
              <w:color w:val="auto"/>
              <w:highlight w:val="none"/>
            </w:rPr>
            <w:fldChar w:fldCharType="separate"/>
          </w:r>
          <w:r>
            <w:rPr>
              <w:rFonts w:hint="eastAsia" w:ascii="宋体" w:hAnsi="宋体" w:cs="宋体"/>
              <w:color w:val="auto"/>
              <w:szCs w:val="15"/>
              <w:highlight w:val="none"/>
            </w:rPr>
            <w:t>第二篇  项目服务需求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_Toc1636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355"/>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"_Toc31623" </w:instrText>
          </w:r>
          <w:r>
            <w:rPr>
              <w:color w:val="auto"/>
              <w:highlight w:val="none"/>
            </w:rPr>
            <w:fldChar w:fldCharType="separate"/>
          </w:r>
          <w:r>
            <w:rPr>
              <w:rFonts w:hint="eastAsia" w:ascii="宋体" w:hAnsi="宋体" w:cs="宋体"/>
              <w:color w:val="auto"/>
              <w:szCs w:val="15"/>
              <w:highlight w:val="none"/>
            </w:rPr>
            <w:t>第三篇  项目商务需求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_Toc31623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355"/>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"_Toc17947" </w:instrText>
          </w:r>
          <w:r>
            <w:rPr>
              <w:color w:val="auto"/>
              <w:highlight w:val="none"/>
            </w:rPr>
            <w:fldChar w:fldCharType="separate"/>
          </w:r>
          <w:r>
            <w:rPr>
              <w:rFonts w:hint="eastAsia" w:ascii="宋体" w:hAnsi="宋体" w:cs="宋体"/>
              <w:color w:val="auto"/>
              <w:szCs w:val="15"/>
              <w:highlight w:val="none"/>
            </w:rPr>
            <w:t>第四篇  比选须知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_Toc17947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355"/>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"_Toc19095" </w:instrText>
          </w:r>
          <w:r>
            <w:rPr>
              <w:color w:val="auto"/>
              <w:highlight w:val="none"/>
            </w:rPr>
            <w:fldChar w:fldCharType="separate"/>
          </w:r>
          <w:r>
            <w:rPr>
              <w:rFonts w:hint="eastAsia" w:ascii="宋体" w:hAnsi="宋体" w:cs="宋体"/>
              <w:color w:val="auto"/>
              <w:szCs w:val="15"/>
              <w:highlight w:val="none"/>
            </w:rPr>
            <w:t>第五篇 评选方法、 评审标准、无效响应、采购终止</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_Toc19095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6"/>
            <w:tabs>
              <w:tab w:val="right" w:leader="dot" w:pos="9355"/>
            </w:tabs>
            <w:spacing w:line="360" w:lineRule="auto"/>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"_Toc6497" </w:instrText>
          </w:r>
          <w:r>
            <w:rPr>
              <w:color w:val="auto"/>
              <w:highlight w:val="none"/>
            </w:rPr>
            <w:fldChar w:fldCharType="separate"/>
          </w:r>
          <w:r>
            <w:rPr>
              <w:rFonts w:hint="eastAsia" w:ascii="宋体" w:hAnsi="宋体" w:cs="宋体"/>
              <w:color w:val="auto"/>
              <w:szCs w:val="15"/>
              <w:highlight w:val="none"/>
            </w:rPr>
            <w:t>第六篇 采购合同</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7</w:t>
          </w:r>
        </w:p>
        <w:p>
          <w:pPr>
            <w:pStyle w:val="16"/>
            <w:tabs>
              <w:tab w:val="right" w:leader="dot" w:pos="9355"/>
            </w:tabs>
            <w:spacing w:line="360" w:lineRule="auto"/>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"_Toc1779" </w:instrText>
          </w:r>
          <w:r>
            <w:rPr>
              <w:color w:val="auto"/>
              <w:highlight w:val="none"/>
            </w:rPr>
            <w:fldChar w:fldCharType="separate"/>
          </w:r>
          <w:r>
            <w:rPr>
              <w:rFonts w:hint="eastAsia" w:ascii="宋体" w:hAnsi="宋体" w:cs="宋体"/>
              <w:color w:val="auto"/>
              <w:szCs w:val="15"/>
              <w:highlight w:val="none"/>
            </w:rPr>
            <w:t>第七篇 响应文件格式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8</w:t>
          </w:r>
        </w:p>
        <w:p>
          <w:pPr>
            <w:pStyle w:val="17"/>
            <w:tabs>
              <w:tab w:val="right" w:leader="dot" w:pos="9355"/>
            </w:tabs>
            <w:spacing w:line="360" w:lineRule="auto"/>
            <w:ind w:left="0" w:leftChars="0" w:firstLine="0" w:firstLineChars="0"/>
            <w:rPr>
              <w:rFonts w:ascii="宋体" w:hAnsi="宋体" w:cs="宋体"/>
              <w:color w:val="auto"/>
              <w:highlight w:val="none"/>
            </w:rPr>
          </w:pPr>
        </w:p>
        <w:p>
          <w:pPr>
            <w:pStyle w:val="3"/>
            <w:spacing w:line="360" w:lineRule="auto"/>
            <w:jc w:val="center"/>
            <w:rPr>
              <w:rFonts w:hint="eastAsia" w:ascii="宋体" w:hAnsi="宋体" w:cs="宋体"/>
              <w:b/>
              <w:color w:val="auto"/>
              <w:sz w:val="32"/>
              <w:szCs w:val="24"/>
              <w:highlight w:val="none"/>
            </w:rPr>
          </w:pPr>
          <w:r>
            <w:rPr>
              <w:rFonts w:hint="eastAsia" w:ascii="宋体" w:hAnsi="宋体" w:eastAsia="宋体" w:cs="宋体"/>
              <w:color w:val="auto"/>
              <w:szCs w:val="18"/>
              <w:highlight w:val="none"/>
            </w:rPr>
            <w:fldChar w:fldCharType="end"/>
          </w:r>
        </w:p>
      </w:sdtContent>
    </w:sdt>
    <w:p>
      <w:pPr>
        <w:bidi w:val="0"/>
      </w:pPr>
    </w:p>
    <w:p>
      <w:pPr>
        <w:bidi w:val="0"/>
      </w:pPr>
    </w:p>
    <w:p>
      <w:pPr>
        <w:bidi w:val="0"/>
      </w:pPr>
    </w:p>
    <w:p>
      <w:pPr>
        <w:bidi w:val="0"/>
      </w:pPr>
    </w:p>
    <w:p>
      <w:pPr>
        <w:bidi w:val="0"/>
      </w:pPr>
    </w:p>
    <w:p>
      <w:pPr>
        <w:tabs>
          <w:tab w:val="left" w:pos="2721"/>
        </w:tabs>
        <w:bidi w:val="0"/>
        <w:jc w:val="left"/>
        <w:rPr>
          <w:rFonts w:hint="eastAsia" w:eastAsia="宋体"/>
          <w:lang w:eastAsia="zh-CN"/>
        </w:rPr>
        <w:sectPr>
          <w:footerReference r:id="rId4" w:type="default"/>
          <w:pgSz w:w="11906" w:h="16838"/>
          <w:pgMar w:top="1417" w:right="1134" w:bottom="1417" w:left="1134" w:header="851" w:footer="992" w:gutter="0"/>
          <w:pgNumType w:fmt="decimal" w:start="1"/>
          <w:cols w:space="425" w:num="1"/>
          <w:rtlGutter w:val="0"/>
          <w:docGrid w:type="lines" w:linePitch="312" w:charSpace="0"/>
        </w:sectPr>
      </w:pPr>
      <w:r>
        <w:rPr>
          <w:rFonts w:hint="eastAsia"/>
          <w:lang w:eastAsia="zh-CN"/>
        </w:rPr>
        <w:tab/>
      </w:r>
    </w:p>
    <w:p>
      <w:pPr>
        <w:pStyle w:val="2"/>
        <w:numPr>
          <w:ilvl w:val="0"/>
          <w:numId w:val="1"/>
        </w:numPr>
        <w:spacing w:line="360" w:lineRule="auto"/>
        <w:jc w:val="center"/>
        <w:rPr>
          <w:rFonts w:ascii="宋体" w:hAnsi="宋体" w:cs="宋体"/>
          <w:color w:val="auto"/>
          <w:sz w:val="32"/>
          <w:szCs w:val="15"/>
          <w:highlight w:val="none"/>
        </w:rPr>
      </w:pPr>
      <w:r>
        <w:rPr>
          <w:rFonts w:hint="eastAsia" w:ascii="宋体" w:hAnsi="宋体" w:cs="宋体"/>
          <w:color w:val="auto"/>
          <w:sz w:val="32"/>
          <w:szCs w:val="15"/>
          <w:highlight w:val="none"/>
        </w:rPr>
        <w:t xml:space="preserve"> </w:t>
      </w:r>
      <w:bookmarkStart w:id="0" w:name="_Toc14013"/>
      <w:r>
        <w:rPr>
          <w:rFonts w:hint="eastAsia" w:ascii="宋体" w:hAnsi="宋体" w:cs="宋体"/>
          <w:color w:val="auto"/>
          <w:sz w:val="32"/>
          <w:szCs w:val="15"/>
          <w:highlight w:val="none"/>
        </w:rPr>
        <w:t>采购邀请书</w:t>
      </w:r>
      <w:bookmarkEnd w:id="0"/>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重庆两仪工程咨询有限公司大足分公司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 xml:space="preserve"> 重庆市大足区生态环境局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大足区濑溪河流域水环境综合治理项目地质勘查和测绘服务（新增部分）</w:t>
      </w:r>
      <w:r>
        <w:rPr>
          <w:rFonts w:hint="eastAsia" w:ascii="宋体" w:hAnsi="宋体" w:cs="宋体"/>
          <w:color w:val="auto"/>
          <w:sz w:val="24"/>
          <w:szCs w:val="24"/>
          <w:highlight w:val="none"/>
        </w:rPr>
        <w:t>进行竞争性比选。欢迎有资格的供应商前来参与。</w:t>
      </w:r>
    </w:p>
    <w:p>
      <w:pPr>
        <w:spacing w:line="360" w:lineRule="auto"/>
        <w:ind w:firstLine="281" w:firstLineChars="100"/>
        <w:outlineLvl w:val="1"/>
        <w:rPr>
          <w:rFonts w:ascii="宋体" w:hAnsi="宋体" w:cs="宋体"/>
          <w:b/>
          <w:bCs/>
          <w:color w:val="auto"/>
          <w:szCs w:val="28"/>
          <w:highlight w:val="none"/>
        </w:rPr>
      </w:pPr>
      <w:bookmarkStart w:id="1" w:name="_Toc12875"/>
      <w:bookmarkStart w:id="2" w:name="_Toc12306_WPSOffice_Level2"/>
      <w:bookmarkStart w:id="3" w:name="_Toc4270_WPSOffice_Level2"/>
      <w:bookmarkStart w:id="4" w:name="_Toc13254_WPSOffice_Level2"/>
      <w:bookmarkStart w:id="5" w:name="_Toc29980"/>
      <w:bookmarkStart w:id="6" w:name="_Toc28089_WPSOffice_Level2"/>
      <w:bookmarkStart w:id="7" w:name="_Toc17865"/>
      <w:bookmarkStart w:id="8" w:name="_Toc31876_WPSOffice_Level2"/>
      <w:bookmarkStart w:id="9" w:name="_Toc12376_WPSOffice_Level2"/>
      <w:bookmarkStart w:id="10" w:name="_Toc15554_WPSOffice_Level2"/>
      <w:bookmarkStart w:id="11" w:name="_Toc611"/>
      <w:bookmarkStart w:id="12" w:name="_Toc21857"/>
      <w:r>
        <w:rPr>
          <w:rFonts w:hint="eastAsia" w:ascii="宋体" w:hAnsi="宋体" w:cs="宋体"/>
          <w:b/>
          <w:bCs/>
          <w:color w:val="auto"/>
          <w:szCs w:val="28"/>
          <w:highlight w:val="none"/>
        </w:rPr>
        <w:t>一、比选内容</w:t>
      </w:r>
      <w:bookmarkEnd w:id="1"/>
    </w:p>
    <w:tbl>
      <w:tblPr>
        <w:tblStyle w:val="22"/>
        <w:tblpPr w:leftFromText="180" w:rightFromText="180" w:vertAnchor="text" w:horzAnchor="page" w:tblpX="1312" w:tblpY="150"/>
        <w:tblOverlap w:val="never"/>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1740"/>
        <w:gridCol w:w="183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4833" w:type="dxa"/>
            <w:vAlign w:val="center"/>
          </w:tcPr>
          <w:p>
            <w:pPr>
              <w:widowControl/>
              <w:spacing w:line="360" w:lineRule="auto"/>
              <w:jc w:val="center"/>
              <w:rPr>
                <w:rFonts w:ascii="宋体" w:hAnsi="宋体" w:cs="宋体"/>
                <w:b/>
                <w:bCs/>
                <w:color w:val="auto"/>
                <w:kern w:val="0"/>
                <w:sz w:val="24"/>
                <w:szCs w:val="24"/>
                <w:highlight w:val="none"/>
              </w:rPr>
            </w:pPr>
            <w:bookmarkStart w:id="13" w:name="_Toc1790"/>
            <w:bookmarkStart w:id="14" w:name="_Toc19437"/>
            <w:bookmarkStart w:id="15" w:name="_Toc25190"/>
            <w:bookmarkStart w:id="16" w:name="_Toc15727"/>
            <w:bookmarkStart w:id="17" w:name="_Toc6462"/>
            <w:bookmarkStart w:id="18" w:name="_Toc15576"/>
            <w:bookmarkStart w:id="19" w:name="_Toc22399"/>
            <w:bookmarkStart w:id="20" w:name="_Toc317775178"/>
            <w:bookmarkStart w:id="21" w:name="_Toc373860293"/>
            <w:r>
              <w:rPr>
                <w:rFonts w:hint="eastAsia" w:ascii="宋体" w:hAnsi="宋体" w:cs="宋体"/>
                <w:b/>
                <w:bCs/>
                <w:color w:val="auto"/>
                <w:kern w:val="0"/>
                <w:sz w:val="24"/>
                <w:szCs w:val="24"/>
                <w:highlight w:val="none"/>
              </w:rPr>
              <w:t>项目名称</w:t>
            </w:r>
          </w:p>
        </w:tc>
        <w:tc>
          <w:tcPr>
            <w:tcW w:w="1740" w:type="dxa"/>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采购预算</w:t>
            </w:r>
          </w:p>
          <w:p>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（万元）</w:t>
            </w:r>
          </w:p>
        </w:tc>
        <w:tc>
          <w:tcPr>
            <w:tcW w:w="1830" w:type="dxa"/>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成交供应商（名）</w:t>
            </w:r>
          </w:p>
        </w:tc>
        <w:tc>
          <w:tcPr>
            <w:tcW w:w="1837" w:type="dxa"/>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4833" w:type="dxa"/>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大足区濑溪河流域水环境综合治理项目地质勘查和测绘服务（新增部分）</w:t>
            </w:r>
          </w:p>
        </w:tc>
        <w:tc>
          <w:tcPr>
            <w:tcW w:w="1740" w:type="dxa"/>
            <w:vAlign w:val="center"/>
          </w:tcPr>
          <w:p>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FF0000"/>
                <w:sz w:val="24"/>
                <w:szCs w:val="24"/>
                <w:highlight w:val="none"/>
                <w:lang w:val="en-US" w:eastAsia="zh-CN"/>
              </w:rPr>
              <w:t>32</w:t>
            </w:r>
          </w:p>
        </w:tc>
        <w:tc>
          <w:tcPr>
            <w:tcW w:w="1830" w:type="dxa"/>
            <w:vAlign w:val="center"/>
          </w:tcPr>
          <w:p>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1 </w:t>
            </w:r>
          </w:p>
        </w:tc>
        <w:tc>
          <w:tcPr>
            <w:tcW w:w="1837" w:type="dxa"/>
            <w:vAlign w:val="center"/>
          </w:tcPr>
          <w:p>
            <w:pPr>
              <w:spacing w:line="360" w:lineRule="auto"/>
              <w:rPr>
                <w:rFonts w:hint="default" w:ascii="宋体" w:hAnsi="宋体" w:eastAsia="宋体" w:cs="宋体"/>
                <w:color w:val="auto"/>
                <w:sz w:val="24"/>
                <w:szCs w:val="24"/>
                <w:highlight w:val="none"/>
                <w:lang w:val="en-US" w:eastAsia="zh-CN"/>
              </w:rPr>
            </w:pPr>
          </w:p>
        </w:tc>
      </w:tr>
    </w:tbl>
    <w:p>
      <w:pPr>
        <w:spacing w:line="360" w:lineRule="auto"/>
        <w:ind w:firstLine="281" w:firstLineChars="100"/>
        <w:outlineLvl w:val="1"/>
        <w:rPr>
          <w:rFonts w:ascii="宋体" w:hAnsi="宋体" w:cs="宋体"/>
          <w:b/>
          <w:bCs/>
          <w:color w:val="auto"/>
          <w:szCs w:val="28"/>
          <w:highlight w:val="none"/>
        </w:rPr>
      </w:pPr>
      <w:bookmarkStart w:id="22" w:name="_Toc20513"/>
      <w:r>
        <w:rPr>
          <w:rFonts w:hint="eastAsia" w:ascii="宋体" w:hAnsi="宋体" w:cs="宋体"/>
          <w:b/>
          <w:bCs/>
          <w:color w:val="auto"/>
          <w:szCs w:val="28"/>
          <w:highlight w:val="none"/>
        </w:rPr>
        <w:t>二、供应商资格</w:t>
      </w:r>
      <w:bookmarkEnd w:id="13"/>
      <w:bookmarkEnd w:id="14"/>
      <w:bookmarkEnd w:id="15"/>
      <w:bookmarkEnd w:id="16"/>
      <w:bookmarkEnd w:id="17"/>
      <w:bookmarkEnd w:id="18"/>
      <w:bookmarkEnd w:id="19"/>
      <w:bookmarkEnd w:id="22"/>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（一）一般资质条件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（二）特定资格条件</w:t>
      </w:r>
      <w:bookmarkEnd w:id="20"/>
      <w:bookmarkEnd w:id="21"/>
    </w:p>
    <w:p>
      <w:pPr>
        <w:wordWrap w:val="0"/>
        <w:spacing w:line="360" w:lineRule="auto"/>
        <w:ind w:firstLine="480" w:firstLineChars="200"/>
        <w:rPr>
          <w:rFonts w:hint="eastAsia" w:ascii="宋体" w:hAnsi="宋体" w:eastAsia="宋体" w:cs="仿宋"/>
          <w:color w:val="auto"/>
          <w:sz w:val="24"/>
          <w:szCs w:val="24"/>
          <w:highlight w:val="none"/>
          <w:lang w:eastAsia="zh-CN"/>
        </w:rPr>
      </w:pPr>
      <w:r>
        <w:rPr>
          <w:rFonts w:hint="eastAsia" w:ascii="宋体" w:hAnsi="宋体" w:cs="宋体"/>
          <w:color w:val="FF0000"/>
          <w:sz w:val="24"/>
          <w:szCs w:val="24"/>
          <w:highlight w:val="none"/>
        </w:rPr>
        <w:t>1.具有行政主管部门颁发的工程勘察专业类</w:t>
      </w:r>
      <w:r>
        <w:rPr>
          <w:rFonts w:hint="eastAsia" w:ascii="宋体" w:hAnsi="宋体" w:eastAsia="宋体" w:cs="仿宋"/>
          <w:color w:val="FF0000"/>
          <w:sz w:val="24"/>
          <w:szCs w:val="24"/>
          <w:highlight w:val="none"/>
          <w:lang w:val="en-US" w:eastAsia="zh-CN"/>
        </w:rPr>
        <w:t>(岩土工程)乙级</w:t>
      </w:r>
      <w:r>
        <w:rPr>
          <w:rFonts w:hint="eastAsia" w:ascii="宋体" w:hAnsi="宋体" w:cs="仿宋"/>
          <w:color w:val="FF0000"/>
          <w:sz w:val="24"/>
          <w:szCs w:val="24"/>
          <w:highlight w:val="none"/>
          <w:lang w:val="en-US" w:eastAsia="zh-CN"/>
        </w:rPr>
        <w:t>或</w:t>
      </w:r>
      <w:r>
        <w:rPr>
          <w:rFonts w:hint="eastAsia" w:ascii="宋体" w:hAnsi="宋体" w:eastAsia="宋体" w:cs="仿宋"/>
          <w:color w:val="FF0000"/>
          <w:sz w:val="24"/>
          <w:szCs w:val="24"/>
          <w:highlight w:val="none"/>
          <w:lang w:val="en-US" w:eastAsia="zh-CN"/>
        </w:rPr>
        <w:t>测绘乙级及以上</w:t>
      </w:r>
      <w:r>
        <w:rPr>
          <w:rFonts w:hint="eastAsia" w:ascii="宋体" w:hAnsi="宋体" w:eastAsia="宋体" w:cs="仿宋"/>
          <w:color w:val="FF0000"/>
          <w:sz w:val="24"/>
          <w:szCs w:val="24"/>
          <w:highlight w:val="none"/>
        </w:rPr>
        <w:t>资质</w:t>
      </w:r>
      <w:r>
        <w:rPr>
          <w:rFonts w:hint="eastAsia" w:ascii="宋体" w:hAnsi="宋体" w:eastAsia="宋体" w:cs="仿宋"/>
          <w:color w:val="auto"/>
          <w:sz w:val="24"/>
          <w:szCs w:val="24"/>
          <w:highlight w:val="none"/>
          <w:lang w:eastAsia="zh-CN"/>
        </w:rPr>
        <w:t>。</w:t>
      </w:r>
    </w:p>
    <w:p>
      <w:pPr>
        <w:spacing w:line="360" w:lineRule="auto"/>
        <w:ind w:firstLine="281" w:firstLineChars="100"/>
        <w:outlineLvl w:val="1"/>
        <w:rPr>
          <w:rFonts w:ascii="宋体" w:hAnsi="宋体" w:cs="宋体"/>
          <w:b/>
          <w:bCs/>
          <w:color w:val="auto"/>
          <w:szCs w:val="28"/>
          <w:highlight w:val="none"/>
        </w:rPr>
      </w:pPr>
      <w:bookmarkStart w:id="23" w:name="_Toc333"/>
      <w:r>
        <w:rPr>
          <w:rFonts w:hint="eastAsia" w:ascii="宋体" w:hAnsi="宋体" w:cs="宋体"/>
          <w:b/>
          <w:bCs/>
          <w:color w:val="auto"/>
          <w:szCs w:val="28"/>
          <w:highlight w:val="none"/>
        </w:rPr>
        <w:t>三、比选有关说明</w:t>
      </w:r>
      <w:bookmarkEnd w:id="23"/>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（一）本次公告在行采家（www.gec123.com/）上发布，凡有意参加</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者，请自行在行采家（www.gec123.com/）上下载本项目的比选文件、图纸等资料。无论供应商下载与否，均视同供应商已知晓本项目所有内容。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重庆两仪工程咨询有限公司大足分公司</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重庆市大足区龙岗街道翠屏社区联盟路65号</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报名和采购文件获取期限</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12:00（北京时间）</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）报名费：人民币</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00元/份（售后不退）。</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1.招标文件购买方式</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报名方式：现场</w:t>
      </w:r>
      <w:r>
        <w:rPr>
          <w:rFonts w:hint="eastAsia" w:ascii="宋体" w:hAnsi="宋体" w:cs="宋体"/>
          <w:color w:val="auto"/>
          <w:sz w:val="24"/>
          <w:szCs w:val="24"/>
          <w:highlight w:val="none"/>
          <w:lang w:eastAsia="zh-CN"/>
        </w:rPr>
        <w:t>报名</w:t>
      </w:r>
    </w:p>
    <w:p>
      <w:pPr>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drawing>
          <wp:anchor distT="0" distB="0" distL="114300" distR="114300" simplePos="0" relativeHeight="251659264" behindDoc="0" locked="0" layoutInCell="1" allowOverlap="1">
            <wp:simplePos x="0" y="0"/>
            <wp:positionH relativeFrom="column">
              <wp:posOffset>4864100</wp:posOffset>
            </wp:positionH>
            <wp:positionV relativeFrom="paragraph">
              <wp:posOffset>874395</wp:posOffset>
            </wp:positionV>
            <wp:extent cx="1375410" cy="1347470"/>
            <wp:effectExtent l="0" t="0" r="15240" b="5080"/>
            <wp:wrapSquare wrapText="bothSides"/>
            <wp:docPr id="11" name="图片 1" descr="176248385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1762483859810"/>
                    <pic:cNvPicPr>
                      <a:picLocks noChangeAspect="1"/>
                    </pic:cNvPicPr>
                  </pic:nvPicPr>
                  <pic:blipFill>
                    <a:blip r:embed="rId18"/>
                    <a:stretch>
                      <a:fillRect/>
                    </a:stretch>
                  </pic:blipFill>
                  <pic:spPr>
                    <a:xfrm>
                      <a:off x="0" y="0"/>
                      <a:ext cx="1375410" cy="1347470"/>
                    </a:xfrm>
                    <a:prstGeom prst="rect">
                      <a:avLst/>
                    </a:prstGeom>
                    <a:noFill/>
                    <a:ln>
                      <a:noFill/>
                    </a:ln>
                  </pic:spPr>
                </pic:pic>
              </a:graphicData>
            </a:graphic>
          </wp:anchor>
        </w:drawing>
      </w:r>
      <w:r>
        <w:rPr>
          <w:rFonts w:hint="eastAsia" w:ascii="宋体" w:hAnsi="宋体" w:cs="宋体"/>
          <w:color w:val="auto"/>
          <w:sz w:val="24"/>
          <w:szCs w:val="24"/>
          <w:highlight w:val="none"/>
        </w:rPr>
        <w:t>在报名期内，供应商到</w:t>
      </w:r>
      <w:r>
        <w:rPr>
          <w:rFonts w:hint="eastAsia" w:ascii="宋体" w:hAnsi="宋体" w:cs="宋体"/>
          <w:color w:val="auto"/>
          <w:sz w:val="24"/>
          <w:szCs w:val="24"/>
          <w:highlight w:val="none"/>
          <w:lang w:eastAsia="zh-CN"/>
        </w:rPr>
        <w:t>重庆两仪工程咨询有限公司大足分公司</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重庆市大足区龙岗街道翠屏社区联盟路65号</w:t>
      </w:r>
      <w:r>
        <w:rPr>
          <w:rFonts w:hint="eastAsia" w:ascii="宋体" w:hAnsi="宋体" w:cs="宋体"/>
          <w:color w:val="auto"/>
          <w:sz w:val="24"/>
          <w:szCs w:val="24"/>
          <w:highlight w:val="none"/>
        </w:rPr>
        <w:t>），登记递交了《</w:t>
      </w:r>
      <w:r>
        <w:rPr>
          <w:rFonts w:hint="eastAsia" w:ascii="宋体" w:hAnsi="宋体" w:cs="宋体"/>
          <w:color w:val="auto"/>
          <w:sz w:val="24"/>
          <w:szCs w:val="24"/>
          <w:highlight w:val="none"/>
          <w:lang w:eastAsia="zh-CN"/>
        </w:rPr>
        <w:t>重庆两仪工程咨询有限公司大足分公司</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文件发售登记表，格式详见附件》并缴纳报名费，其报名才被接收。</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微信转账报名</w:t>
      </w:r>
    </w:p>
    <w:p>
      <w:pPr>
        <w:spacing w:line="360" w:lineRule="auto"/>
        <w:ind w:left="7438" w:leftChars="85" w:hanging="7200" w:hangingChars="30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在报名期内，供应商将报名费用转至右侧微信账户内进行报名。</w:t>
      </w:r>
      <w:r>
        <w:rPr>
          <w:rFonts w:hint="eastAsia" w:ascii="宋体" w:hAnsi="宋体" w:cs="宋体"/>
          <w:color w:val="auto"/>
          <w:sz w:val="24"/>
          <w:szCs w:val="24"/>
          <w:highlight w:val="none"/>
          <w:lang w:val="en-US" w:eastAsia="zh-CN"/>
        </w:rPr>
        <w:t xml:space="preserve">       </w:t>
      </w:r>
    </w:p>
    <w:p>
      <w:pPr>
        <w:spacing w:line="360" w:lineRule="auto"/>
        <w:ind w:firstLine="240" w:firstLineChars="1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通过微信转账方式报名的，转账时需注明“公司简称—</w:t>
      </w:r>
      <w:r>
        <w:rPr>
          <w:rFonts w:hint="eastAsia" w:ascii="宋体" w:hAnsi="宋体" w:cs="宋体"/>
          <w:color w:val="auto"/>
          <w:sz w:val="24"/>
          <w:szCs w:val="24"/>
          <w:highlight w:val="none"/>
          <w:lang w:val="en-US" w:eastAsia="zh-CN"/>
        </w:rPr>
        <w:t>濑溪河地勘</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不按要求填写备注而影响对其报名认定的，由供应商自行承担。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并将报名转账凭证和《</w:t>
      </w:r>
      <w:r>
        <w:rPr>
          <w:rFonts w:hint="eastAsia" w:ascii="宋体" w:hAnsi="宋体" w:cs="宋体"/>
          <w:color w:val="auto"/>
          <w:sz w:val="24"/>
          <w:szCs w:val="24"/>
          <w:highlight w:val="none"/>
          <w:lang w:eastAsia="zh-CN"/>
        </w:rPr>
        <w:t>重庆两仪工程咨询有限公司大足分公司</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文件发售登记表》（加盖供应商公章）扫描后发送邮箱</w:t>
      </w:r>
      <w:r>
        <w:rPr>
          <w:rFonts w:hint="eastAsia" w:ascii="宋体" w:hAnsi="宋体" w:cs="宋体"/>
          <w:color w:val="auto"/>
          <w:sz w:val="24"/>
          <w:szCs w:val="24"/>
          <w:highlight w:val="none"/>
          <w:lang w:val="en-US" w:eastAsia="zh-CN"/>
        </w:rPr>
        <w:t>306237621</w:t>
      </w:r>
      <w:r>
        <w:rPr>
          <w:rFonts w:hint="eastAsia" w:ascii="宋体" w:hAnsi="宋体" w:cs="宋体"/>
          <w:color w:val="auto"/>
          <w:sz w:val="24"/>
          <w:szCs w:val="24"/>
          <w:highlight w:val="none"/>
        </w:rPr>
        <w:t>@qq.com。</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在报名期内成功报名的供应商，其投标文件才被接收。</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（五）线上报价</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1.线上报价时间：从报名时间起至报名结束。</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线上报价要求：按本项目规定的时间在行采家-电子竞采中心进行网上报价及上传盖章后的响应文件电子文档一份（电子文档内容应与纸质文件正本一致，如不一致以线下纸质文件正本为准），未在规定时间内报价及上传电子响应文件的供应商将失去成交供应商资格。</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（六）线下投标</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1、响应文件线下递交时间：2026年5月  日14:00至14:30(北京时间）</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2、线下比选开始时间：2026年5月  日14:30(北京时间）</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3、线下比选地点：重庆市大足区龙岗街道翠屏社区联盟路65号。</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（七）供应商须满足以下三种要件，其响应文件才被接受：</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1.按时在行采家网上报名并上传了响应文件电子档；</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2.在采购文件发售期内，按时间要求报名；</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3.按时在线下比选地点递交了纸质版响应文件，纸质文件可快递送达，签收时间必须在开标截止时间之前。</w:t>
      </w:r>
    </w:p>
    <w:p>
      <w:pPr>
        <w:pStyle w:val="1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注：未按以上要求递交相关资料的供应商，将无法成为成交供应商。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）开标时间：同响应文件递交截止时间。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）无论竞价结果如何，供应商参与本项目的所有费用均由自行承担。</w:t>
      </w:r>
    </w:p>
    <w:p>
      <w:pPr>
        <w:spacing w:line="360" w:lineRule="auto"/>
        <w:ind w:firstLine="281" w:firstLineChars="100"/>
        <w:outlineLvl w:val="1"/>
        <w:rPr>
          <w:rFonts w:ascii="宋体" w:hAnsi="宋体" w:cs="宋体"/>
          <w:b/>
          <w:bCs/>
          <w:color w:val="auto"/>
          <w:szCs w:val="28"/>
          <w:highlight w:val="none"/>
        </w:rPr>
      </w:pPr>
      <w:bookmarkStart w:id="24" w:name="_Toc22835"/>
      <w:r>
        <w:rPr>
          <w:rFonts w:hint="eastAsia" w:ascii="宋体" w:hAnsi="宋体" w:cs="宋体"/>
          <w:b/>
          <w:bCs/>
          <w:color w:val="auto"/>
          <w:szCs w:val="28"/>
          <w:highlight w:val="none"/>
        </w:rPr>
        <w:t>四、</w:t>
      </w:r>
      <w:bookmarkStart w:id="25" w:name="_Toc469"/>
      <w:bookmarkStart w:id="26" w:name="_Toc480466699"/>
      <w:bookmarkStart w:id="27" w:name="_Toc32098"/>
      <w:r>
        <w:rPr>
          <w:rFonts w:hint="eastAsia" w:ascii="宋体" w:hAnsi="宋体" w:cs="宋体"/>
          <w:b/>
          <w:bCs/>
          <w:color w:val="auto"/>
          <w:szCs w:val="28"/>
          <w:highlight w:val="none"/>
        </w:rPr>
        <w:t>其它有关规定</w:t>
      </w:r>
      <w:bookmarkEnd w:id="24"/>
      <w:bookmarkEnd w:id="25"/>
      <w:bookmarkEnd w:id="26"/>
      <w:bookmarkEnd w:id="27"/>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（三）本项目的澄清文件（如果有）一律在行采家（www.gec123.com/）上发布，请各供应商注意下载；无论供应商下载与否，均视同供应商已知晓本项目澄清文件（如果有）的内容。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（六）本项目不接受联合体参与竞选。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281" w:firstLineChars="100"/>
        <w:outlineLvl w:val="1"/>
        <w:rPr>
          <w:rFonts w:ascii="宋体" w:hAnsi="宋体" w:cs="宋体"/>
          <w:b/>
          <w:bCs/>
          <w:color w:val="auto"/>
          <w:szCs w:val="28"/>
          <w:highlight w:val="none"/>
        </w:rPr>
      </w:pPr>
      <w:bookmarkStart w:id="28" w:name="_Toc11503"/>
      <w:bookmarkStart w:id="29" w:name="_Toc29951"/>
      <w:r>
        <w:rPr>
          <w:rFonts w:hint="eastAsia" w:ascii="宋体" w:hAnsi="宋体" w:cs="宋体"/>
          <w:b/>
          <w:bCs/>
          <w:color w:val="auto"/>
          <w:szCs w:val="28"/>
          <w:highlight w:val="none"/>
        </w:rPr>
        <w:t>五、联系方式</w:t>
      </w:r>
      <w:bookmarkEnd w:id="28"/>
      <w:bookmarkEnd w:id="29"/>
    </w:p>
    <w:p>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 xml:space="preserve">重庆市大足区生态环境局 </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15923360501</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重庆市大足区棠香街道办事处五星大道</w:t>
      </w:r>
      <w:r>
        <w:rPr>
          <w:rFonts w:hint="eastAsia" w:ascii="宋体" w:hAnsi="宋体" w:cs="宋体"/>
          <w:color w:val="auto"/>
          <w:sz w:val="24"/>
          <w:szCs w:val="24"/>
          <w:highlight w:val="none"/>
          <w:lang w:val="en-US" w:eastAsia="zh-CN"/>
        </w:rPr>
        <w:t>283</w:t>
      </w:r>
      <w:r>
        <w:rPr>
          <w:rFonts w:hint="eastAsia" w:ascii="宋体" w:hAnsi="宋体" w:cs="宋体"/>
          <w:color w:val="auto"/>
          <w:sz w:val="24"/>
          <w:szCs w:val="24"/>
          <w:highlight w:val="none"/>
          <w:lang w:eastAsia="zh-CN"/>
        </w:rPr>
        <w:t>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eastAsia="zh-CN"/>
        </w:rPr>
        <w:t xml:space="preserve">重庆两仪工程咨询有限公司大足分公司   </w:t>
      </w:r>
      <w:r>
        <w:rPr>
          <w:rFonts w:hint="eastAsia" w:ascii="宋体" w:hAnsi="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15123194420</w:t>
      </w:r>
    </w:p>
    <w:p>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sz w:val="24"/>
          <w:lang w:eastAsia="zh-CN"/>
        </w:rPr>
        <w:t>重庆市大足区龙岗街道翠屏社区联盟路65号</w:t>
      </w:r>
    </w:p>
    <w:p>
      <w:pPr>
        <w:pStyle w:val="5"/>
        <w:spacing w:line="360" w:lineRule="auto"/>
        <w:rPr>
          <w:rFonts w:ascii="宋体" w:hAnsi="宋体" w:cs="宋体"/>
          <w:color w:val="auto"/>
          <w:highlight w:val="none"/>
        </w:rPr>
        <w:sectPr>
          <w:footerReference r:id="rId5" w:type="default"/>
          <w:pgSz w:w="11906" w:h="16838"/>
          <w:pgMar w:top="1417" w:right="1134" w:bottom="1417" w:left="1134" w:header="851" w:footer="992" w:gutter="0"/>
          <w:pgNumType w:fmt="decimal" w:start="1"/>
          <w:cols w:space="425" w:num="1"/>
          <w:rtlGutter w:val="0"/>
          <w:docGrid w:type="lines" w:linePitch="312" w:charSpace="0"/>
        </w:sectPr>
      </w:pPr>
    </w:p>
    <w:p>
      <w:pPr>
        <w:pStyle w:val="2"/>
        <w:spacing w:line="360" w:lineRule="auto"/>
        <w:jc w:val="center"/>
        <w:rPr>
          <w:rFonts w:ascii="宋体" w:hAnsi="宋体" w:cs="宋体"/>
          <w:color w:val="auto"/>
          <w:sz w:val="32"/>
          <w:szCs w:val="15"/>
          <w:highlight w:val="none"/>
        </w:rPr>
      </w:pPr>
      <w:bookmarkStart w:id="30" w:name="_Toc1636"/>
      <w:r>
        <w:rPr>
          <w:rFonts w:hint="eastAsia" w:ascii="宋体" w:hAnsi="宋体" w:cs="宋体"/>
          <w:color w:val="auto"/>
          <w:sz w:val="32"/>
          <w:szCs w:val="15"/>
          <w:highlight w:val="none"/>
        </w:rPr>
        <w:t>第二篇  项目服务需求</w:t>
      </w:r>
      <w:bookmarkEnd w:id="30"/>
    </w:p>
    <w:p>
      <w:pPr>
        <w:spacing w:line="360" w:lineRule="auto"/>
        <w:ind w:firstLine="241" w:firstLineChars="100"/>
        <w:outlineLvl w:val="1"/>
        <w:rPr>
          <w:rFonts w:ascii="宋体" w:hAnsi="宋体" w:cs="宋体"/>
          <w:b/>
          <w:bCs/>
          <w:color w:val="auto"/>
          <w:sz w:val="24"/>
          <w:szCs w:val="24"/>
          <w:highlight w:val="none"/>
        </w:rPr>
      </w:pPr>
      <w:bookmarkStart w:id="31" w:name="_Toc1850"/>
      <w:r>
        <w:rPr>
          <w:rFonts w:hint="eastAsia" w:ascii="宋体" w:hAnsi="宋体" w:cs="宋体"/>
          <w:b/>
          <w:bCs/>
          <w:color w:val="auto"/>
          <w:sz w:val="24"/>
          <w:szCs w:val="24"/>
          <w:highlight w:val="none"/>
        </w:rPr>
        <w:t>一、服务范围、要求及标准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1、项目名称</w:t>
      </w:r>
    </w:p>
    <w:p>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大足区濑溪河流域水环境综合治理项目地质勘查和测绘服务（新增部分）</w:t>
      </w:r>
    </w:p>
    <w:p>
      <w:pPr>
        <w:numPr>
          <w:ilvl w:val="0"/>
          <w:numId w:val="2"/>
        </w:numPr>
        <w:snapToGrid w:val="0"/>
        <w:spacing w:line="360" w:lineRule="auto"/>
        <w:ind w:firstLine="480" w:firstLineChars="200"/>
        <w:rPr>
          <w:rFonts w:hint="default" w:ascii="宋体" w:hAnsi="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服务范围：1、完成棠香街道：吕家院子，谢家湾，肖家湾，和平新村，龙岗街道：明德小学至倒马坎，毛家院子，明星社区办公室至西门悼念厅智凤街道：新店社区，智凤街道农贸市场，珠溪镇：珠溪小学至下头桥，中敖镇：中敖镇街道地形图测绘工作；2、完成大足区濑溪河流域水环境综合治理项目污水管网新建、智凤人行桥、永定河西池嘉莲人行桥、中敖人行桥、珠溪栈道等勘察工作，此范围内工作包干价。</w:t>
      </w:r>
      <w:bookmarkStart w:id="121" w:name="_GoBack"/>
      <w:bookmarkEnd w:id="121"/>
    </w:p>
    <w:p>
      <w:pPr>
        <w:numPr>
          <w:ilvl w:val="0"/>
          <w:numId w:val="0"/>
        </w:num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服务要求及标准</w:t>
      </w:r>
    </w:p>
    <w:p>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）服务要求：完成本项目</w:t>
      </w:r>
      <w:r>
        <w:rPr>
          <w:rFonts w:hint="eastAsia" w:ascii="宋体" w:hAnsi="宋体" w:cs="宋体"/>
          <w:color w:val="auto"/>
          <w:sz w:val="24"/>
          <w:szCs w:val="24"/>
          <w:highlight w:val="none"/>
          <w:lang w:eastAsia="zh-CN"/>
        </w:rPr>
        <w:t>新增部分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测绘及</w:t>
      </w:r>
      <w:r>
        <w:rPr>
          <w:rFonts w:hint="eastAsia" w:ascii="宋体" w:hAnsi="宋体" w:cs="宋体"/>
          <w:color w:val="auto"/>
          <w:sz w:val="24"/>
          <w:szCs w:val="24"/>
          <w:highlight w:val="none"/>
        </w:rPr>
        <w:t>地质勘察(详勘)工作，勘察</w:t>
      </w:r>
      <w:r>
        <w:rPr>
          <w:rFonts w:hint="eastAsia" w:ascii="宋体" w:hAnsi="宋体" w:cs="宋体"/>
          <w:color w:val="auto"/>
          <w:sz w:val="24"/>
          <w:szCs w:val="24"/>
          <w:highlight w:val="none"/>
          <w:lang w:eastAsia="zh-CN"/>
        </w:rPr>
        <w:t>测绘</w:t>
      </w:r>
      <w:r>
        <w:rPr>
          <w:rFonts w:hint="eastAsia" w:ascii="宋体" w:hAnsi="宋体" w:cs="宋体"/>
          <w:color w:val="auto"/>
          <w:sz w:val="24"/>
          <w:szCs w:val="24"/>
          <w:highlight w:val="none"/>
        </w:rPr>
        <w:t>报告编制、</w:t>
      </w:r>
      <w:r>
        <w:rPr>
          <w:rFonts w:hint="eastAsia" w:ascii="宋体" w:hAnsi="宋体" w:cs="宋体"/>
          <w:color w:val="auto"/>
          <w:sz w:val="24"/>
          <w:szCs w:val="24"/>
          <w:highlight w:val="none"/>
          <w:lang w:eastAsia="zh-CN"/>
        </w:rPr>
        <w:t>协助</w:t>
      </w:r>
      <w:r>
        <w:rPr>
          <w:rFonts w:hint="eastAsia" w:ascii="宋体" w:hAnsi="宋体" w:cs="宋体"/>
          <w:color w:val="auto"/>
          <w:sz w:val="24"/>
          <w:szCs w:val="24"/>
          <w:highlight w:val="none"/>
        </w:rPr>
        <w:t>办理地质勘察审查、建设期的服务等工作。</w:t>
      </w:r>
    </w:p>
    <w:p>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）服务标准：工程勘察严格执行工程建设强制性质量标准，达到国家及行业颁发的现行有关技术标准和规范。</w:t>
      </w:r>
    </w:p>
    <w:p>
      <w:pPr>
        <w:spacing w:line="360" w:lineRule="auto"/>
        <w:ind w:firstLine="241" w:firstLineChars="10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二、采购项目服务及质量需求</w:t>
      </w:r>
      <w:bookmarkEnd w:id="31"/>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主要完成地质勘察工作(详勘)</w:t>
      </w:r>
      <w:r>
        <w:rPr>
          <w:rFonts w:hint="eastAsia" w:ascii="宋体" w:hAnsi="宋体" w:cs="宋体"/>
          <w:color w:val="auto"/>
          <w:sz w:val="24"/>
          <w:szCs w:val="24"/>
          <w:highlight w:val="none"/>
          <w:lang w:eastAsia="zh-CN"/>
        </w:rPr>
        <w:t>和测绘服务</w:t>
      </w:r>
      <w:r>
        <w:rPr>
          <w:rFonts w:hint="eastAsia" w:ascii="宋体" w:hAnsi="宋体" w:cs="宋体"/>
          <w:color w:val="auto"/>
          <w:sz w:val="24"/>
          <w:szCs w:val="24"/>
          <w:highlight w:val="none"/>
        </w:rPr>
        <w:t>，根据采购人提供的区域地形图完成本勘察报告编制、</w:t>
      </w:r>
      <w:r>
        <w:rPr>
          <w:rFonts w:hint="eastAsia" w:ascii="宋体" w:hAnsi="宋体" w:cs="宋体"/>
          <w:color w:val="auto"/>
          <w:sz w:val="24"/>
          <w:szCs w:val="24"/>
          <w:highlight w:val="none"/>
          <w:lang w:eastAsia="zh-CN"/>
        </w:rPr>
        <w:t>协助</w:t>
      </w:r>
      <w:r>
        <w:rPr>
          <w:rFonts w:hint="eastAsia" w:ascii="宋体" w:hAnsi="宋体" w:cs="宋体"/>
          <w:color w:val="auto"/>
          <w:sz w:val="24"/>
          <w:szCs w:val="24"/>
          <w:highlight w:val="none"/>
        </w:rPr>
        <w:t>办理地质勘察审查、建设期的服务等</w:t>
      </w:r>
      <w:r>
        <w:rPr>
          <w:rFonts w:hint="eastAsia" w:ascii="宋体" w:hAnsi="宋体" w:cs="宋体"/>
          <w:color w:val="auto"/>
          <w:sz w:val="24"/>
          <w:szCs w:val="24"/>
          <w:highlight w:val="none"/>
          <w:lang w:eastAsia="zh-CN"/>
        </w:rPr>
        <w:t>工作</w:t>
      </w:r>
      <w:r>
        <w:rPr>
          <w:rFonts w:hint="eastAsia" w:ascii="宋体" w:hAnsi="宋体" w:cs="宋体"/>
          <w:color w:val="auto"/>
          <w:sz w:val="24"/>
          <w:szCs w:val="24"/>
          <w:highlight w:val="none"/>
          <w:lang w:val="en-US" w:eastAsia="zh-CN"/>
        </w:rPr>
        <w:t>。</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三、其他</w:t>
      </w:r>
    </w:p>
    <w:p>
      <w:pPr>
        <w:spacing w:line="360" w:lineRule="auto"/>
        <w:ind w:firstLine="480" w:firstLineChars="200"/>
        <w:rPr>
          <w:rFonts w:ascii="宋体" w:hAnsi="宋体" w:cs="宋体"/>
          <w:color w:val="auto"/>
          <w:sz w:val="24"/>
          <w:szCs w:val="24"/>
          <w:highlight w:val="none"/>
        </w:rPr>
      </w:pPr>
      <w:bookmarkStart w:id="32" w:name="_Toc31623"/>
      <w:r>
        <w:rPr>
          <w:rFonts w:hint="eastAsia" w:ascii="宋体" w:hAnsi="宋体" w:cs="宋体"/>
          <w:color w:val="auto"/>
          <w:sz w:val="24"/>
          <w:szCs w:val="24"/>
          <w:highlight w:val="none"/>
        </w:rPr>
        <w:t>1、现场踏勘：自行踏勘现场，供应商自身应对踏勘中获取的现场资料负责；不管供应商是否踏勘过现场，均被认为在递交响应文件之前已踏勘过现场，对本合同项目的风险和义务十分了解，并在其响应文件中充分考虑了现场和环境条件；供应商应承担现场踏勘的全部费用、责任和风险。</w:t>
      </w:r>
    </w:p>
    <w:p>
      <w:pPr>
        <w:spacing w:line="360" w:lineRule="auto"/>
        <w:ind w:firstLine="480" w:firstLineChars="200"/>
        <w:rPr>
          <w:rFonts w:ascii="宋体" w:hAnsi="宋体" w:cs="宋体"/>
          <w:b/>
          <w:color w:val="auto"/>
          <w:sz w:val="32"/>
          <w:szCs w:val="15"/>
          <w:highlight w:val="none"/>
        </w:rPr>
      </w:pPr>
      <w:r>
        <w:rPr>
          <w:rFonts w:hint="eastAsia" w:ascii="宋体" w:hAnsi="宋体" w:cs="宋体"/>
          <w:color w:val="auto"/>
          <w:sz w:val="24"/>
          <w:szCs w:val="24"/>
          <w:highlight w:val="none"/>
        </w:rPr>
        <w:t>2、成交供应商严格执行符合重庆市相关法律法规、规范、规定、规程、标准、规划和要求进行项目活动，不允许成交供应商以任何形式分包和外包采购内容，如有违反，采购方有权提前终止合同。</w:t>
      </w:r>
    </w:p>
    <w:p>
      <w:pPr>
        <w:pStyle w:val="2"/>
        <w:spacing w:line="360" w:lineRule="auto"/>
        <w:jc w:val="center"/>
        <w:rPr>
          <w:rFonts w:ascii="宋体" w:hAnsi="宋体" w:cs="宋体"/>
          <w:color w:val="auto"/>
          <w:sz w:val="32"/>
          <w:szCs w:val="15"/>
          <w:highlight w:val="none"/>
        </w:rPr>
        <w:sectPr>
          <w:pgSz w:w="11906" w:h="16838"/>
          <w:pgMar w:top="1417" w:right="1134" w:bottom="1417" w:left="1134" w:header="851" w:footer="992" w:gutter="0"/>
          <w:pgNumType w:fmt="decimal"/>
          <w:cols w:space="425" w:num="1"/>
          <w:rtlGutter w:val="0"/>
          <w:docGrid w:type="lines" w:linePitch="312" w:charSpace="0"/>
        </w:sectPr>
      </w:pPr>
    </w:p>
    <w:p>
      <w:pPr>
        <w:pStyle w:val="2"/>
        <w:spacing w:line="360" w:lineRule="auto"/>
        <w:jc w:val="center"/>
        <w:rPr>
          <w:rFonts w:ascii="宋体" w:hAnsi="宋体" w:cs="宋体"/>
          <w:color w:val="auto"/>
          <w:sz w:val="32"/>
          <w:szCs w:val="15"/>
          <w:highlight w:val="none"/>
        </w:rPr>
      </w:pPr>
      <w:r>
        <w:rPr>
          <w:rFonts w:hint="eastAsia" w:ascii="宋体" w:hAnsi="宋体" w:cs="宋体"/>
          <w:color w:val="auto"/>
          <w:sz w:val="32"/>
          <w:szCs w:val="15"/>
          <w:highlight w:val="none"/>
        </w:rPr>
        <w:t>第三篇  项目商务需求</w:t>
      </w:r>
      <w:bookmarkEnd w:id="32"/>
    </w:p>
    <w:p>
      <w:pPr>
        <w:spacing w:line="360" w:lineRule="auto"/>
        <w:ind w:firstLine="281" w:firstLineChars="100"/>
        <w:outlineLvl w:val="1"/>
        <w:rPr>
          <w:rFonts w:ascii="宋体" w:hAnsi="宋体" w:cs="宋体"/>
          <w:b/>
          <w:bCs/>
          <w:color w:val="auto"/>
          <w:szCs w:val="28"/>
          <w:highlight w:val="none"/>
        </w:rPr>
      </w:pPr>
      <w:bookmarkStart w:id="33" w:name="_Toc7900"/>
      <w:r>
        <w:rPr>
          <w:rFonts w:hint="eastAsia" w:ascii="宋体" w:hAnsi="宋体" w:cs="宋体"/>
          <w:b/>
          <w:bCs/>
          <w:color w:val="auto"/>
          <w:szCs w:val="28"/>
          <w:highlight w:val="none"/>
        </w:rPr>
        <w:t>一、采购项目商务需求</w:t>
      </w:r>
      <w:bookmarkEnd w:id="33"/>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（一）服务期、地点及验收方式</w:t>
      </w:r>
    </w:p>
    <w:p>
      <w:pPr>
        <w:spacing w:line="360" w:lineRule="auto"/>
        <w:ind w:left="25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1、服务期：采购人提交完所有资料后20个日历天内中标人需完成现场调查工作，并出具相关成果（具体以合同签订时间为准）。</w:t>
      </w:r>
    </w:p>
    <w:p>
      <w:pPr>
        <w:spacing w:line="360" w:lineRule="auto"/>
        <w:ind w:left="25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2、服务地点：</w:t>
      </w:r>
      <w:r>
        <w:rPr>
          <w:rFonts w:hint="eastAsia" w:ascii="宋体" w:hAnsi="宋体" w:cs="宋体"/>
          <w:color w:val="auto"/>
          <w:sz w:val="24"/>
          <w:szCs w:val="24"/>
          <w:highlight w:val="none"/>
          <w:lang w:val="en-US" w:eastAsia="zh-CN"/>
        </w:rPr>
        <w:t>采购人指定地点</w:t>
      </w:r>
      <w:r>
        <w:rPr>
          <w:rFonts w:hint="eastAsia" w:ascii="宋体" w:hAnsi="宋体" w:cs="宋体"/>
          <w:color w:val="auto"/>
          <w:sz w:val="24"/>
          <w:szCs w:val="24"/>
          <w:highlight w:val="none"/>
        </w:rPr>
        <w:t>。</w:t>
      </w: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3、验收方式：通过第三方审查机构审查合格，以审查合格书为准。</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（二）报价要求</w:t>
      </w:r>
    </w:p>
    <w:p>
      <w:pPr>
        <w:spacing w:line="360" w:lineRule="auto"/>
        <w:ind w:left="25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w:t>
      </w:r>
      <w:r>
        <w:rPr>
          <w:rFonts w:hint="eastAsia" w:ascii="宋体" w:hAnsi="宋体" w:cs="宋体"/>
          <w:color w:val="auto"/>
          <w:sz w:val="24"/>
          <w:szCs w:val="24"/>
          <w:highlight w:val="none"/>
          <w:lang w:eastAsia="zh-CN"/>
        </w:rPr>
        <w:t>全费用</w:t>
      </w:r>
      <w:r>
        <w:rPr>
          <w:rFonts w:hint="eastAsia" w:ascii="宋体" w:hAnsi="宋体" w:cs="宋体"/>
          <w:color w:val="auto"/>
          <w:sz w:val="24"/>
          <w:szCs w:val="24"/>
          <w:highlight w:val="none"/>
        </w:rPr>
        <w:t>总价包干报价，</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人根据本竞比文件的要求，结合自身实力和市场行情自主确定投标报价。超过限价报价为</w:t>
      </w:r>
      <w:r>
        <w:rPr>
          <w:rFonts w:hint="eastAsia" w:ascii="宋体" w:hAnsi="宋体" w:cs="宋体"/>
          <w:color w:val="auto"/>
          <w:sz w:val="24"/>
          <w:szCs w:val="24"/>
          <w:highlight w:val="none"/>
          <w:lang w:eastAsia="zh-CN"/>
        </w:rPr>
        <w:t>无效投标</w:t>
      </w:r>
      <w:r>
        <w:rPr>
          <w:rFonts w:hint="eastAsia" w:ascii="宋体" w:hAnsi="宋体" w:cs="宋体"/>
          <w:color w:val="auto"/>
          <w:sz w:val="24"/>
          <w:szCs w:val="24"/>
          <w:highlight w:val="none"/>
        </w:rPr>
        <w:t>。</w:t>
      </w:r>
    </w:p>
    <w:p>
      <w:pPr>
        <w:spacing w:line="360" w:lineRule="auto"/>
        <w:ind w:left="25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报价包括完成本项目所需的服务人员和相关工作人员的人工成本、劳保、医疗、福利、津贴、保险、差旅费、资料费以及服务单位的管理费、税金、利润等一切可预见和不可预见费用。因成交供应商自身原因造成漏报、少报皆由其自行承担责任，采购人不再补偿。</w:t>
      </w:r>
    </w:p>
    <w:p>
      <w:pPr>
        <w:spacing w:line="360" w:lineRule="auto"/>
        <w:ind w:left="251"/>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p>
    <w:bookmarkEnd w:id="2"/>
    <w:bookmarkEnd w:id="3"/>
    <w:bookmarkEnd w:id="4"/>
    <w:p>
      <w:pPr>
        <w:spacing w:line="360" w:lineRule="auto"/>
        <w:ind w:left="251" w:firstLine="480" w:firstLineChars="200"/>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rPr>
        <w:t>1、</w:t>
      </w:r>
      <w:r>
        <w:rPr>
          <w:rFonts w:hint="eastAsia" w:ascii="宋体" w:hAnsi="宋体" w:cs="宋体"/>
          <w:color w:val="FF0000"/>
          <w:sz w:val="24"/>
          <w:szCs w:val="24"/>
          <w:highlight w:val="none"/>
          <w:lang w:val="en-US" w:eastAsia="zh-CN"/>
        </w:rPr>
        <w:t>甲乙双方签订合同后，预付合同金额的10%；</w:t>
      </w:r>
    </w:p>
    <w:p>
      <w:pPr>
        <w:spacing w:line="360" w:lineRule="auto"/>
        <w:ind w:left="251" w:firstLine="480" w:firstLineChars="200"/>
        <w:rPr>
          <w:rFonts w:hint="eastAsia" w:ascii="宋体" w:hAnsi="宋体" w:cs="宋体"/>
          <w:color w:val="FF0000"/>
          <w:sz w:val="24"/>
          <w:szCs w:val="24"/>
          <w:highlight w:val="none"/>
          <w:lang w:eastAsia="zh-CN"/>
        </w:rPr>
      </w:pPr>
      <w:r>
        <w:rPr>
          <w:rFonts w:hint="eastAsia" w:ascii="宋体" w:hAnsi="宋体" w:cs="宋体"/>
          <w:color w:val="FF0000"/>
          <w:sz w:val="24"/>
          <w:szCs w:val="24"/>
          <w:highlight w:val="none"/>
          <w:lang w:val="en-US" w:eastAsia="zh-CN"/>
        </w:rPr>
        <w:t>2、乙方</w:t>
      </w:r>
      <w:r>
        <w:rPr>
          <w:rFonts w:hint="eastAsia" w:ascii="宋体" w:hAnsi="宋体" w:cs="宋体"/>
          <w:color w:val="FF0000"/>
          <w:sz w:val="24"/>
          <w:szCs w:val="24"/>
          <w:highlight w:val="none"/>
        </w:rPr>
        <w:t>提供合格的地质勘察</w:t>
      </w:r>
      <w:r>
        <w:rPr>
          <w:rFonts w:hint="eastAsia" w:ascii="宋体" w:hAnsi="宋体" w:cs="宋体"/>
          <w:color w:val="FF0000"/>
          <w:sz w:val="24"/>
          <w:szCs w:val="24"/>
          <w:highlight w:val="none"/>
          <w:lang w:eastAsia="zh-CN"/>
        </w:rPr>
        <w:t>和测绘</w:t>
      </w:r>
      <w:r>
        <w:rPr>
          <w:rFonts w:hint="eastAsia" w:ascii="宋体" w:hAnsi="宋体" w:cs="宋体"/>
          <w:color w:val="FF0000"/>
          <w:sz w:val="24"/>
          <w:szCs w:val="24"/>
          <w:highlight w:val="none"/>
          <w:lang w:val="en-US" w:eastAsia="zh-CN"/>
        </w:rPr>
        <w:t>成果</w:t>
      </w:r>
      <w:r>
        <w:rPr>
          <w:rFonts w:hint="eastAsia" w:ascii="宋体" w:hAnsi="宋体" w:cs="宋体"/>
          <w:color w:val="FF0000"/>
          <w:sz w:val="24"/>
          <w:szCs w:val="24"/>
          <w:highlight w:val="none"/>
        </w:rPr>
        <w:t>报告</w:t>
      </w:r>
      <w:r>
        <w:rPr>
          <w:rFonts w:hint="eastAsia" w:ascii="宋体" w:hAnsi="宋体" w:cs="宋体"/>
          <w:color w:val="FF0000"/>
          <w:sz w:val="24"/>
          <w:szCs w:val="24"/>
          <w:highlight w:val="none"/>
          <w:lang w:val="en-US" w:eastAsia="zh-CN"/>
        </w:rPr>
        <w:t>并经甲方确认后支付至合同金额的95%；剩余5%待质保期满后（质保期1年）一次性支付</w:t>
      </w:r>
      <w:r>
        <w:rPr>
          <w:rFonts w:hint="eastAsia" w:ascii="宋体" w:hAnsi="宋体" w:cs="宋体"/>
          <w:color w:val="FF0000"/>
          <w:sz w:val="24"/>
          <w:szCs w:val="24"/>
          <w:highlight w:val="none"/>
          <w:lang w:eastAsia="zh-CN"/>
        </w:rPr>
        <w:t>。</w:t>
      </w:r>
    </w:p>
    <w:p>
      <w:pPr>
        <w:spacing w:line="360" w:lineRule="auto"/>
        <w:ind w:left="251" w:firstLine="480" w:firstLineChars="200"/>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注：</w:t>
      </w:r>
      <w:r>
        <w:rPr>
          <w:rFonts w:hint="eastAsia" w:ascii="宋体" w:hAnsi="宋体" w:cs="宋体"/>
          <w:color w:val="FF0000"/>
          <w:sz w:val="24"/>
          <w:szCs w:val="24"/>
          <w:highlight w:val="none"/>
        </w:rPr>
        <w:t>甲方付款前，乙方应向甲方开具并交付符合甲方要求的合法发票，否则甲方有权顺延支付合同款项，由此造成的一切损失由乙方自行承担。</w:t>
      </w:r>
    </w:p>
    <w:p>
      <w:pPr>
        <w:pStyle w:val="2"/>
        <w:spacing w:line="360" w:lineRule="auto"/>
        <w:jc w:val="center"/>
        <w:rPr>
          <w:rFonts w:ascii="宋体" w:hAnsi="宋体" w:cs="宋体"/>
          <w:color w:val="auto"/>
          <w:sz w:val="32"/>
          <w:szCs w:val="15"/>
          <w:highlight w:val="none"/>
        </w:rPr>
        <w:sectPr>
          <w:pgSz w:w="11906" w:h="16838"/>
          <w:pgMar w:top="1417" w:right="1134" w:bottom="1417" w:left="1134" w:header="851" w:footer="992" w:gutter="0"/>
          <w:pgNumType w:fmt="decimal"/>
          <w:cols w:space="425" w:num="1"/>
          <w:rtlGutter w:val="0"/>
          <w:docGrid w:type="lines" w:linePitch="312" w:charSpace="0"/>
        </w:sectPr>
      </w:pPr>
    </w:p>
    <w:p>
      <w:pPr>
        <w:pStyle w:val="2"/>
        <w:spacing w:line="360" w:lineRule="auto"/>
        <w:jc w:val="center"/>
        <w:rPr>
          <w:rFonts w:ascii="宋体" w:hAnsi="宋体" w:cs="宋体"/>
          <w:color w:val="auto"/>
          <w:sz w:val="32"/>
          <w:szCs w:val="15"/>
          <w:highlight w:val="none"/>
        </w:rPr>
      </w:pPr>
      <w:bookmarkStart w:id="34" w:name="_Toc17947"/>
      <w:r>
        <w:rPr>
          <w:rFonts w:hint="eastAsia" w:ascii="宋体" w:hAnsi="宋体" w:cs="宋体"/>
          <w:color w:val="auto"/>
          <w:sz w:val="32"/>
          <w:szCs w:val="15"/>
          <w:highlight w:val="none"/>
        </w:rPr>
        <w:t>第四篇  比选须知</w:t>
      </w:r>
      <w:bookmarkEnd w:id="34"/>
    </w:p>
    <w:bookmarkEnd w:id="5"/>
    <w:bookmarkEnd w:id="6"/>
    <w:bookmarkEnd w:id="7"/>
    <w:bookmarkEnd w:id="8"/>
    <w:bookmarkEnd w:id="9"/>
    <w:bookmarkEnd w:id="10"/>
    <w:bookmarkEnd w:id="11"/>
    <w:p>
      <w:pPr>
        <w:spacing w:line="360" w:lineRule="auto"/>
        <w:ind w:firstLine="281" w:firstLineChars="100"/>
        <w:outlineLvl w:val="1"/>
        <w:rPr>
          <w:rFonts w:ascii="宋体" w:hAnsi="宋体" w:cs="宋体"/>
          <w:b/>
          <w:bCs/>
          <w:color w:val="auto"/>
          <w:szCs w:val="28"/>
          <w:highlight w:val="none"/>
        </w:rPr>
      </w:pPr>
      <w:bookmarkStart w:id="35" w:name="_Toc5831"/>
      <w:bookmarkStart w:id="36" w:name="_Toc9944"/>
      <w:bookmarkStart w:id="37" w:name="_Toc342913389"/>
      <w:bookmarkStart w:id="38" w:name="_Toc17119"/>
      <w:bookmarkStart w:id="39" w:name="_Toc25555_WPSOffice_Level2"/>
      <w:bookmarkStart w:id="40" w:name="_Toc15376_WPSOffice_Level2"/>
      <w:bookmarkStart w:id="41" w:name="_Toc20059"/>
      <w:bookmarkStart w:id="42" w:name="_Toc14450_WPSOffice_Level2"/>
      <w:bookmarkStart w:id="43" w:name="_Toc7302_WPSOffice_Level2"/>
      <w:bookmarkStart w:id="44" w:name="_Toc2038"/>
      <w:r>
        <w:rPr>
          <w:rFonts w:hint="eastAsia" w:ascii="宋体" w:hAnsi="宋体" w:cs="宋体"/>
          <w:b/>
          <w:bCs/>
          <w:color w:val="auto"/>
          <w:szCs w:val="28"/>
          <w:highlight w:val="none"/>
        </w:rPr>
        <w:t>一、比选费用</w:t>
      </w:r>
      <w:bookmarkEnd w:id="35"/>
      <w:bookmarkEnd w:id="36"/>
      <w:bookmarkEnd w:id="37"/>
      <w:bookmarkEnd w:id="38"/>
    </w:p>
    <w:p>
      <w:pPr>
        <w:pStyle w:val="3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参与比选的供应商应承担其编制响应文件与递交响应文件所涉及的一切费用，不论比选结果如何，采购人和采购代理机构在任何情况下无义务也无责任承担这些费用。</w:t>
      </w:r>
    </w:p>
    <w:p>
      <w:pPr>
        <w:spacing w:line="360" w:lineRule="auto"/>
        <w:ind w:firstLine="281" w:firstLineChars="100"/>
        <w:outlineLvl w:val="1"/>
        <w:rPr>
          <w:rFonts w:ascii="宋体" w:hAnsi="宋体" w:cs="宋体"/>
          <w:b/>
          <w:bCs/>
          <w:color w:val="auto"/>
          <w:szCs w:val="28"/>
          <w:highlight w:val="none"/>
        </w:rPr>
      </w:pPr>
      <w:bookmarkStart w:id="45" w:name="_Toc15266"/>
      <w:bookmarkStart w:id="46" w:name="_Toc342913391"/>
      <w:bookmarkStart w:id="47" w:name="_Toc15658"/>
      <w:bookmarkStart w:id="48" w:name="_Toc8867"/>
      <w:r>
        <w:rPr>
          <w:rFonts w:hint="eastAsia" w:ascii="宋体" w:hAnsi="宋体" w:cs="宋体"/>
          <w:b/>
          <w:bCs/>
          <w:color w:val="auto"/>
          <w:szCs w:val="28"/>
          <w:highlight w:val="none"/>
        </w:rPr>
        <w:t>二、</w:t>
      </w:r>
      <w:bookmarkEnd w:id="45"/>
      <w:bookmarkEnd w:id="46"/>
      <w:bookmarkEnd w:id="47"/>
      <w:r>
        <w:rPr>
          <w:rFonts w:hint="eastAsia" w:ascii="宋体" w:hAnsi="宋体" w:cs="宋体"/>
          <w:b/>
          <w:bCs/>
          <w:color w:val="auto"/>
          <w:szCs w:val="28"/>
          <w:highlight w:val="none"/>
        </w:rPr>
        <w:t>竞争性比选文件</w:t>
      </w:r>
      <w:bookmarkEnd w:id="48"/>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（一）竞争性比选文件由采购邀请书、项目服务需求、项目商务需求、资格审查及评标办法、供应商须知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（二）采购人（或采购代理机构）所作的一切有效的书面通知、修改及补充，都是竞争性竞争性比选文件不可分割的部分。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（三）竞争性比选文件的解释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比选文件有疑问，必须以书面形式在提交响应文件截止时间2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49" w:name="_Toc318166429"/>
      <w:bookmarkStart w:id="50" w:name="_Toc318159160"/>
      <w:bookmarkStart w:id="51" w:name="_Toc318159349"/>
      <w:bookmarkStart w:id="52" w:name="_Toc318159780"/>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（四）本竞争性比选文件中，比选小组根据与供应商进行比选可能实质性变动的内容为竞争性竞争性比选文件第二、三、四篇全部内容。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（五）评审的依据为竞争性比选文件和响应文件（含有效的书面承诺）。比选小组判断响应文件对竞争性比选文件的响应，仅基于响应文件本身而不靠外部证据。</w:t>
      </w:r>
    </w:p>
    <w:bookmarkEnd w:id="49"/>
    <w:bookmarkEnd w:id="50"/>
    <w:bookmarkEnd w:id="51"/>
    <w:bookmarkEnd w:id="52"/>
    <w:p>
      <w:pPr>
        <w:spacing w:line="360" w:lineRule="auto"/>
        <w:ind w:firstLine="281" w:firstLineChars="100"/>
        <w:outlineLvl w:val="1"/>
        <w:rPr>
          <w:rFonts w:ascii="宋体" w:hAnsi="宋体" w:cs="宋体"/>
          <w:b/>
          <w:bCs/>
          <w:color w:val="auto"/>
          <w:szCs w:val="28"/>
          <w:highlight w:val="none"/>
        </w:rPr>
      </w:pPr>
      <w:bookmarkStart w:id="53" w:name="_Toc12521"/>
      <w:bookmarkStart w:id="54" w:name="_Toc342913392"/>
      <w:bookmarkStart w:id="55" w:name="_Toc179714297"/>
      <w:bookmarkStart w:id="56" w:name="_Toc102227318"/>
      <w:bookmarkStart w:id="57" w:name="_Toc14567"/>
      <w:bookmarkStart w:id="58" w:name="_Toc2215"/>
      <w:r>
        <w:rPr>
          <w:rFonts w:hint="eastAsia" w:ascii="宋体" w:hAnsi="宋体" w:cs="宋体"/>
          <w:b/>
          <w:bCs/>
          <w:color w:val="auto"/>
          <w:szCs w:val="28"/>
          <w:highlight w:val="none"/>
        </w:rPr>
        <w:t>三、比选要求</w:t>
      </w:r>
      <w:bookmarkEnd w:id="53"/>
      <w:bookmarkEnd w:id="54"/>
      <w:bookmarkEnd w:id="55"/>
      <w:bookmarkEnd w:id="56"/>
      <w:bookmarkEnd w:id="57"/>
      <w:bookmarkEnd w:id="58"/>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1.供应商应当按照竞争性比选文件的要求编制响应文件，并对竞争性比选文件提出的要求和条件作出实质性响应，同时应编制完整的页码、目录。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本项目不接受联合体参与比选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（三）比选有效期：响应文件及有关承诺文件有效期为提交响应文件截止时间起90天。</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1.若供应商所递交的响应文件报价中的价格出现大写金额和小写金额不一致的错误，以大写金额修正为准。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2.比选小组按上述修正错误的原则及方法修正供应商的报价，供应商同意并签字确认后，修正后的报价对供应商具有约束作用。如果供应商不接受修正后的价格，将失去成为成交供应商的资格。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（五）响应文件装订及要求</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响应文件应按照第七篇“响应文件编制要求”规定的目录顺序组织编写和装订，同时应编制完整的目录、页码。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（六）提交响应文件的份数和签署</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1.响应文件一式三份，其中</w:t>
      </w:r>
      <w:r>
        <w:rPr>
          <w:rFonts w:hint="eastAsia" w:ascii="宋体" w:hAnsi="宋体" w:cs="宋体"/>
          <w:b/>
          <w:bCs/>
          <w:color w:val="auto"/>
          <w:sz w:val="24"/>
          <w:szCs w:val="24"/>
          <w:highlight w:val="none"/>
        </w:rPr>
        <w:t>正本一份，副本一份</w:t>
      </w:r>
      <w:r>
        <w:rPr>
          <w:rFonts w:hint="eastAsia" w:ascii="宋体" w:hAnsi="宋体" w:cs="宋体"/>
          <w:color w:val="auto"/>
          <w:sz w:val="24"/>
          <w:szCs w:val="24"/>
          <w:highlight w:val="none"/>
        </w:rPr>
        <w:t>；响应文件须在封面清楚地标明“正本”、“副本”，副本</w:t>
      </w:r>
      <w:r>
        <w:rPr>
          <w:rFonts w:hint="eastAsia" w:ascii="宋体" w:hAnsi="宋体" w:cs="宋体"/>
          <w:color w:val="auto"/>
          <w:sz w:val="24"/>
          <w:szCs w:val="24"/>
          <w:highlight w:val="none"/>
          <w:lang w:eastAsia="zh-CN"/>
        </w:rPr>
        <w:t>可</w:t>
      </w:r>
      <w:r>
        <w:rPr>
          <w:rFonts w:hint="eastAsia" w:ascii="宋体" w:hAnsi="宋体" w:cs="宋体"/>
          <w:color w:val="auto"/>
          <w:sz w:val="24"/>
          <w:szCs w:val="24"/>
          <w:highlight w:val="none"/>
        </w:rPr>
        <w:t>为正本的完整复印件，副本与正本不一致时以正本为准。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2.在响应文件正本中，比选文件第七篇“响应文件编制要求”格式中规定签字、盖章的地方必须按其规定签字、盖章。</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3.若供应商对响应文件的错处作必要修改，则应在修改处加盖供应商公章或由法定代表人或法定代表人授权代表签字确认。</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4.电报、电话、传真形式的</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文件概不接受。</w:t>
      </w:r>
    </w:p>
    <w:p>
      <w:pPr>
        <w:pStyle w:val="12"/>
        <w:spacing w:line="360" w:lineRule="auto"/>
        <w:ind w:firstLine="480" w:firstLineChars="200"/>
        <w:rPr>
          <w:rFonts w:hAnsi="宋体" w:cs="宋体"/>
          <w:bCs/>
          <w:color w:val="auto"/>
          <w:sz w:val="24"/>
          <w:szCs w:val="24"/>
          <w:highlight w:val="none"/>
        </w:rPr>
      </w:pPr>
      <w:bookmarkStart w:id="59" w:name="_Toc2994"/>
      <w:bookmarkStart w:id="60" w:name="_Toc16602"/>
      <w:r>
        <w:rPr>
          <w:rFonts w:hint="eastAsia" w:hAnsi="宋体" w:cs="宋体"/>
          <w:bCs/>
          <w:color w:val="auto"/>
          <w:sz w:val="24"/>
          <w:szCs w:val="24"/>
          <w:highlight w:val="none"/>
        </w:rPr>
        <w:t>（七）响应文件的递交</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响应文件</w:t>
      </w:r>
      <w:r>
        <w:rPr>
          <w:rFonts w:hint="eastAsia" w:hAnsi="宋体" w:cs="宋体"/>
          <w:color w:val="auto"/>
          <w:sz w:val="24"/>
          <w:szCs w:val="24"/>
          <w:highlight w:val="none"/>
        </w:rPr>
        <w:t>的密封与标记</w:t>
      </w:r>
    </w:p>
    <w:p>
      <w:pPr>
        <w:pStyle w:val="12"/>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rPr>
        <w:t>响应文件</w:t>
      </w:r>
      <w:r>
        <w:rPr>
          <w:rFonts w:hint="eastAsia" w:hAnsi="宋体" w:cs="宋体"/>
          <w:color w:val="auto"/>
          <w:sz w:val="24"/>
          <w:szCs w:val="24"/>
          <w:highlight w:val="none"/>
        </w:rPr>
        <w:t>的正本、副本均应密封送达</w:t>
      </w:r>
      <w:r>
        <w:rPr>
          <w:rFonts w:hint="eastAsia" w:hAnsi="宋体" w:cs="宋体"/>
          <w:color w:val="auto"/>
          <w:sz w:val="24"/>
          <w:szCs w:val="24"/>
          <w:highlight w:val="none"/>
          <w:lang w:eastAsia="zh-CN"/>
        </w:rPr>
        <w:t>投标</w:t>
      </w:r>
      <w:r>
        <w:rPr>
          <w:rFonts w:hint="eastAsia" w:hAnsi="宋体" w:cs="宋体"/>
          <w:color w:val="auto"/>
          <w:sz w:val="24"/>
          <w:szCs w:val="24"/>
          <w:highlight w:val="none"/>
        </w:rPr>
        <w:t>地点，应在封套上注明项目名称、供应商名称。若正本、副本分别进行密封的，还应在封套上注明“正本”、“副本”字样。</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2.如果</w:t>
      </w:r>
      <w:r>
        <w:rPr>
          <w:rFonts w:hint="eastAsia" w:hAnsi="宋体" w:cs="宋体"/>
          <w:bCs/>
          <w:color w:val="auto"/>
          <w:sz w:val="24"/>
          <w:szCs w:val="24"/>
          <w:highlight w:val="none"/>
        </w:rPr>
        <w:t>响应文件</w:t>
      </w:r>
      <w:r>
        <w:rPr>
          <w:rFonts w:hint="eastAsia" w:hAnsi="宋体" w:cs="宋体"/>
          <w:color w:val="auto"/>
          <w:sz w:val="24"/>
          <w:szCs w:val="24"/>
          <w:highlight w:val="none"/>
        </w:rPr>
        <w:t>通过邮寄递交，供应商应将</w:t>
      </w:r>
      <w:r>
        <w:rPr>
          <w:rFonts w:hint="eastAsia" w:hAnsi="宋体" w:cs="宋体"/>
          <w:bCs/>
          <w:color w:val="auto"/>
          <w:sz w:val="24"/>
          <w:szCs w:val="24"/>
          <w:highlight w:val="none"/>
        </w:rPr>
        <w:t>响应文件</w:t>
      </w:r>
      <w:r>
        <w:rPr>
          <w:rFonts w:hint="eastAsia" w:hAnsi="宋体" w:cs="宋体"/>
          <w:color w:val="auto"/>
          <w:sz w:val="24"/>
          <w:szCs w:val="24"/>
          <w:highlight w:val="none"/>
        </w:rPr>
        <w:t>用内、外两层封套密封。</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3.如果未按上述规定进行密封和标记，比选代理机构对</w:t>
      </w:r>
      <w:r>
        <w:rPr>
          <w:rFonts w:hint="eastAsia" w:hAnsi="宋体" w:cs="宋体"/>
          <w:bCs/>
          <w:color w:val="auto"/>
          <w:sz w:val="24"/>
          <w:szCs w:val="24"/>
          <w:highlight w:val="none"/>
        </w:rPr>
        <w:t>响应文件</w:t>
      </w:r>
      <w:r>
        <w:rPr>
          <w:rFonts w:hint="eastAsia" w:hAnsi="宋体" w:cs="宋体"/>
          <w:color w:val="auto"/>
          <w:sz w:val="24"/>
          <w:szCs w:val="24"/>
          <w:highlight w:val="none"/>
        </w:rPr>
        <w:t>误投、丢失或提前拆封不负责任。</w:t>
      </w:r>
    </w:p>
    <w:p>
      <w:pPr>
        <w:spacing w:line="360" w:lineRule="auto"/>
        <w:ind w:firstLine="281" w:firstLineChars="100"/>
        <w:outlineLvl w:val="1"/>
        <w:rPr>
          <w:rFonts w:ascii="宋体" w:hAnsi="宋体" w:cs="宋体"/>
          <w:b/>
          <w:bCs/>
          <w:color w:val="auto"/>
          <w:szCs w:val="28"/>
          <w:highlight w:val="none"/>
        </w:rPr>
      </w:pPr>
      <w:bookmarkStart w:id="61" w:name="_Toc11796"/>
      <w:bookmarkStart w:id="62" w:name="_Toc6215"/>
      <w:bookmarkStart w:id="63" w:name="_Toc27379"/>
      <w:bookmarkStart w:id="64" w:name="_Toc31706"/>
      <w:r>
        <w:rPr>
          <w:rFonts w:hint="eastAsia" w:ascii="宋体" w:hAnsi="宋体" w:cs="宋体"/>
          <w:b/>
          <w:bCs/>
          <w:color w:val="auto"/>
          <w:szCs w:val="28"/>
          <w:highlight w:val="none"/>
        </w:rPr>
        <w:t>四、开标</w:t>
      </w:r>
      <w:bookmarkEnd w:id="61"/>
      <w:bookmarkEnd w:id="62"/>
      <w:bookmarkEnd w:id="63"/>
      <w:bookmarkEnd w:id="64"/>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（一）开标应当在比选文件确定的时间和地点公开进行。</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（二）比选代理机构可视比选具体情况，延长</w:t>
      </w:r>
      <w:r>
        <w:rPr>
          <w:rFonts w:hint="eastAsia" w:hAnsi="宋体" w:cs="宋体"/>
          <w:color w:val="auto"/>
          <w:sz w:val="24"/>
          <w:szCs w:val="24"/>
          <w:highlight w:val="none"/>
          <w:lang w:eastAsia="zh-CN"/>
        </w:rPr>
        <w:t>投标</w:t>
      </w:r>
      <w:r>
        <w:rPr>
          <w:rFonts w:hint="eastAsia" w:hAnsi="宋体" w:cs="宋体"/>
          <w:color w:val="auto"/>
          <w:sz w:val="24"/>
          <w:szCs w:val="24"/>
          <w:highlight w:val="none"/>
        </w:rPr>
        <w:t>截止时间和开标时间，但至少在比选文件要求提交响应文件的截止时间三日前，将变更时间书面通知所有比选文件收受人。</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（三）开标由比选人或比选代理机构主持，邀请供应商和比选人监察审计部门代表参加，监察审计部门应当对现场全程监督。</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（四）开标时，由供应商或者其推选的代表检查响应文件的密封情况，未密封的响应文件视为无效</w:t>
      </w:r>
      <w:r>
        <w:rPr>
          <w:rFonts w:hint="eastAsia" w:hAnsi="宋体" w:cs="宋体"/>
          <w:color w:val="auto"/>
          <w:sz w:val="24"/>
          <w:szCs w:val="24"/>
          <w:highlight w:val="none"/>
          <w:lang w:eastAsia="zh-CN"/>
        </w:rPr>
        <w:t>投标</w:t>
      </w:r>
      <w:r>
        <w:rPr>
          <w:rFonts w:hint="eastAsia" w:hAnsi="宋体" w:cs="宋体"/>
          <w:color w:val="auto"/>
          <w:sz w:val="24"/>
          <w:szCs w:val="24"/>
          <w:highlight w:val="none"/>
        </w:rPr>
        <w:t>；经确认无误后，由比选人或者比选代理机构工作人员当众拆封，宣布供应商名称、</w:t>
      </w:r>
      <w:r>
        <w:rPr>
          <w:rFonts w:hint="eastAsia" w:hAnsi="宋体" w:cs="宋体"/>
          <w:color w:val="auto"/>
          <w:sz w:val="24"/>
          <w:szCs w:val="24"/>
          <w:highlight w:val="none"/>
          <w:lang w:eastAsia="zh-CN"/>
        </w:rPr>
        <w:t>投标</w:t>
      </w:r>
      <w:r>
        <w:rPr>
          <w:rFonts w:hint="eastAsia" w:hAnsi="宋体" w:cs="宋体"/>
          <w:color w:val="auto"/>
          <w:sz w:val="24"/>
          <w:szCs w:val="24"/>
          <w:highlight w:val="none"/>
        </w:rPr>
        <w:t>价格等其他内容。</w:t>
      </w:r>
      <w:r>
        <w:rPr>
          <w:rFonts w:hint="eastAsia" w:hAnsi="宋体" w:cs="宋体"/>
          <w:color w:val="auto"/>
          <w:sz w:val="24"/>
          <w:szCs w:val="24"/>
          <w:highlight w:val="none"/>
          <w:lang w:eastAsia="zh-CN"/>
        </w:rPr>
        <w:t>投标</w:t>
      </w:r>
      <w:r>
        <w:rPr>
          <w:rFonts w:hint="eastAsia" w:hAnsi="宋体" w:cs="宋体"/>
          <w:color w:val="auto"/>
          <w:sz w:val="24"/>
          <w:szCs w:val="24"/>
          <w:highlight w:val="none"/>
        </w:rPr>
        <w:t>人不足三家的，不得开标。</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（五）未宣读的</w:t>
      </w:r>
      <w:r>
        <w:rPr>
          <w:rFonts w:hint="eastAsia" w:hAnsi="宋体" w:cs="宋体"/>
          <w:color w:val="auto"/>
          <w:sz w:val="24"/>
          <w:szCs w:val="24"/>
          <w:highlight w:val="none"/>
          <w:lang w:eastAsia="zh-CN"/>
        </w:rPr>
        <w:t>投标</w:t>
      </w:r>
      <w:r>
        <w:rPr>
          <w:rFonts w:hint="eastAsia" w:hAnsi="宋体" w:cs="宋体"/>
          <w:color w:val="auto"/>
          <w:sz w:val="24"/>
          <w:szCs w:val="24"/>
          <w:highlight w:val="none"/>
        </w:rPr>
        <w:t>价格、价格折扣等实质性内容，评标时不予承认。</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（六）开标过程应由比选人或比选代理机构指定专人负责记录，并存档备查。供应商代表、比选人代表、监督人、代理机构代表、记录人等有关人员在开标记录上签字确认；</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（七）供应商未参加开标的，视同认可开标结果。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（八）开标结束。</w:t>
      </w:r>
    </w:p>
    <w:p>
      <w:pPr>
        <w:spacing w:line="360" w:lineRule="auto"/>
        <w:ind w:firstLine="281" w:firstLineChars="100"/>
        <w:outlineLvl w:val="1"/>
        <w:rPr>
          <w:rFonts w:ascii="宋体" w:hAnsi="宋体" w:cs="宋体"/>
          <w:b/>
          <w:bCs/>
          <w:color w:val="auto"/>
          <w:szCs w:val="28"/>
          <w:highlight w:val="none"/>
        </w:rPr>
      </w:pPr>
      <w:bookmarkStart w:id="65" w:name="_Toc21710"/>
      <w:bookmarkStart w:id="66" w:name="_Toc17291"/>
      <w:bookmarkStart w:id="67" w:name="_Toc1523"/>
      <w:bookmarkStart w:id="68" w:name="_Toc30670"/>
      <w:r>
        <w:rPr>
          <w:rFonts w:hint="eastAsia" w:ascii="宋体" w:hAnsi="宋体" w:cs="宋体"/>
          <w:b/>
          <w:bCs/>
          <w:color w:val="auto"/>
          <w:szCs w:val="28"/>
          <w:highlight w:val="none"/>
        </w:rPr>
        <w:t>五、评标</w:t>
      </w:r>
      <w:bookmarkEnd w:id="65"/>
      <w:bookmarkEnd w:id="66"/>
      <w:bookmarkEnd w:id="67"/>
      <w:bookmarkEnd w:id="68"/>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见第五篇相关内容。</w:t>
      </w:r>
    </w:p>
    <w:p>
      <w:pPr>
        <w:spacing w:line="360" w:lineRule="auto"/>
        <w:ind w:firstLine="281" w:firstLineChars="100"/>
        <w:outlineLvl w:val="1"/>
        <w:rPr>
          <w:rFonts w:ascii="宋体" w:hAnsi="宋体" w:cs="宋体"/>
          <w:b/>
          <w:bCs/>
          <w:color w:val="auto"/>
          <w:szCs w:val="28"/>
          <w:highlight w:val="none"/>
        </w:rPr>
      </w:pPr>
      <w:bookmarkStart w:id="69" w:name="_Toc27490"/>
      <w:r>
        <w:rPr>
          <w:rFonts w:hint="eastAsia" w:ascii="宋体" w:hAnsi="宋体" w:cs="宋体"/>
          <w:b/>
          <w:bCs/>
          <w:color w:val="auto"/>
          <w:szCs w:val="28"/>
          <w:highlight w:val="none"/>
        </w:rPr>
        <w:t>六、成交供应商的确认和变更</w:t>
      </w:r>
      <w:bookmarkEnd w:id="59"/>
      <w:bookmarkEnd w:id="60"/>
      <w:bookmarkEnd w:id="69"/>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pPr>
        <w:spacing w:line="360" w:lineRule="auto"/>
        <w:ind w:firstLine="281" w:firstLineChars="100"/>
        <w:outlineLvl w:val="1"/>
        <w:rPr>
          <w:rFonts w:ascii="宋体" w:hAnsi="宋体" w:cs="宋体"/>
          <w:b/>
          <w:bCs/>
          <w:color w:val="auto"/>
          <w:szCs w:val="28"/>
          <w:highlight w:val="none"/>
        </w:rPr>
      </w:pPr>
      <w:bookmarkStart w:id="70" w:name="_Toc10989"/>
      <w:bookmarkStart w:id="71" w:name="_Toc18749"/>
      <w:bookmarkStart w:id="72" w:name="_Toc8466"/>
      <w:bookmarkStart w:id="73" w:name="_Toc102227321"/>
      <w:bookmarkStart w:id="74" w:name="_Toc342913395"/>
      <w:r>
        <w:rPr>
          <w:rFonts w:hint="eastAsia" w:ascii="宋体" w:hAnsi="宋体" w:cs="宋体"/>
          <w:b/>
          <w:bCs/>
          <w:color w:val="auto"/>
          <w:szCs w:val="28"/>
          <w:highlight w:val="none"/>
        </w:rPr>
        <w:t>七、成交通知</w:t>
      </w:r>
      <w:bookmarkEnd w:id="70"/>
      <w:bookmarkEnd w:id="71"/>
      <w:bookmarkEnd w:id="72"/>
      <w:bookmarkEnd w:id="73"/>
      <w:bookmarkEnd w:id="74"/>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（一）成交供应商确定后，采购代理机构将在行采家（www.gec123.com/）上发布成交结果公告。</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（二）结果公告发出同时，采购代理机构将以书面形式发出《成交通知书》。《成交通知书》一经发出即发生法律效力。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（三）《成交通知书》将作为签订合同的依据。</w:t>
      </w:r>
    </w:p>
    <w:p>
      <w:pPr>
        <w:spacing w:line="360" w:lineRule="auto"/>
        <w:ind w:firstLine="281" w:firstLineChars="100"/>
        <w:outlineLvl w:val="1"/>
        <w:rPr>
          <w:rFonts w:ascii="宋体" w:hAnsi="宋体" w:cs="宋体"/>
          <w:b/>
          <w:bCs/>
          <w:color w:val="auto"/>
          <w:szCs w:val="28"/>
          <w:highlight w:val="none"/>
        </w:rPr>
      </w:pPr>
      <w:bookmarkStart w:id="75" w:name="_Toc1706"/>
      <w:bookmarkStart w:id="76" w:name="_Toc9056"/>
      <w:bookmarkStart w:id="77" w:name="_Toc5895"/>
      <w:r>
        <w:rPr>
          <w:rFonts w:hint="eastAsia" w:ascii="宋体" w:hAnsi="宋体" w:cs="宋体"/>
          <w:b/>
          <w:bCs/>
          <w:color w:val="auto"/>
          <w:szCs w:val="28"/>
          <w:highlight w:val="none"/>
        </w:rPr>
        <w:t>八、代理服务费</w:t>
      </w:r>
      <w:bookmarkEnd w:id="75"/>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由代理机构委托实施，代理服务费为</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000.00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（大写：叁仟元整）</w:t>
      </w:r>
      <w:r>
        <w:rPr>
          <w:rFonts w:hint="eastAsia" w:ascii="宋体" w:hAnsi="宋体" w:cs="宋体"/>
          <w:color w:val="auto"/>
          <w:sz w:val="24"/>
          <w:szCs w:val="24"/>
          <w:highlight w:val="none"/>
        </w:rPr>
        <w:t>，由中标供应商在领取中标通知书时一次性向代理机构缴纳。</w:t>
      </w:r>
    </w:p>
    <w:p>
      <w:pPr>
        <w:spacing w:line="360" w:lineRule="auto"/>
        <w:ind w:firstLine="281" w:firstLineChars="100"/>
        <w:outlineLvl w:val="1"/>
        <w:rPr>
          <w:rFonts w:ascii="宋体" w:hAnsi="宋体" w:cs="宋体"/>
          <w:b/>
          <w:bCs/>
          <w:color w:val="auto"/>
          <w:szCs w:val="28"/>
          <w:highlight w:val="none"/>
        </w:rPr>
      </w:pPr>
      <w:bookmarkStart w:id="78" w:name="_Toc23065"/>
      <w:r>
        <w:rPr>
          <w:rFonts w:hint="eastAsia" w:ascii="宋体" w:hAnsi="宋体" w:cs="宋体"/>
          <w:b/>
          <w:bCs/>
          <w:color w:val="auto"/>
          <w:szCs w:val="28"/>
          <w:highlight w:val="none"/>
        </w:rPr>
        <w:t>九、</w:t>
      </w:r>
      <w:bookmarkEnd w:id="76"/>
      <w:bookmarkEnd w:id="77"/>
      <w:bookmarkStart w:id="79" w:name="_Toc102227322"/>
      <w:bookmarkStart w:id="80" w:name="_Toc9208"/>
      <w:bookmarkStart w:id="81" w:name="_Toc342913396"/>
      <w:bookmarkStart w:id="82" w:name="_Toc2545"/>
      <w:r>
        <w:rPr>
          <w:rFonts w:hint="eastAsia" w:ascii="宋体" w:hAnsi="宋体" w:cs="宋体"/>
          <w:b/>
          <w:bCs/>
          <w:color w:val="auto"/>
          <w:szCs w:val="28"/>
          <w:highlight w:val="none"/>
        </w:rPr>
        <w:t>签订</w:t>
      </w:r>
      <w:bookmarkEnd w:id="79"/>
      <w:r>
        <w:rPr>
          <w:rFonts w:hint="eastAsia" w:ascii="宋体" w:hAnsi="宋体" w:cs="宋体"/>
          <w:b/>
          <w:bCs/>
          <w:color w:val="auto"/>
          <w:szCs w:val="28"/>
          <w:highlight w:val="none"/>
        </w:rPr>
        <w:t>合同</w:t>
      </w:r>
      <w:bookmarkEnd w:id="78"/>
      <w:bookmarkEnd w:id="80"/>
      <w:bookmarkEnd w:id="81"/>
      <w:bookmarkEnd w:id="82"/>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十日内，按照竞争性比选文件和成交供应商响应文件的约定，与成交供应商签订书面合同。所签订的合同不得对竞争性比选文件和供应商的响应文件作实质性修改。</w:t>
      </w:r>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（二）竞争性比选文件、供应商的响应文件及澄清文件等，均为签订政府采购合同的依据。</w:t>
      </w:r>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（四）合同原则上应按照合同范本签订，相关单位要求适用合同通用格式版本的，应按其要求另行签订其他合同。</w:t>
      </w:r>
    </w:p>
    <w:bookmarkEnd w:id="12"/>
    <w:bookmarkEnd w:id="39"/>
    <w:bookmarkEnd w:id="40"/>
    <w:bookmarkEnd w:id="41"/>
    <w:bookmarkEnd w:id="42"/>
    <w:bookmarkEnd w:id="43"/>
    <w:bookmarkEnd w:id="44"/>
    <w:p>
      <w:pPr>
        <w:pStyle w:val="2"/>
        <w:spacing w:line="360" w:lineRule="auto"/>
        <w:jc w:val="center"/>
        <w:rPr>
          <w:rFonts w:ascii="宋体" w:hAnsi="宋体" w:cs="宋体"/>
          <w:color w:val="auto"/>
          <w:sz w:val="32"/>
          <w:szCs w:val="15"/>
          <w:highlight w:val="none"/>
        </w:rPr>
        <w:sectPr>
          <w:pgSz w:w="11906" w:h="16838"/>
          <w:pgMar w:top="1417" w:right="1134" w:bottom="1417" w:left="1134" w:header="851" w:footer="992" w:gutter="0"/>
          <w:pgNumType w:fmt="decimal"/>
          <w:cols w:space="425" w:num="1"/>
          <w:rtlGutter w:val="0"/>
          <w:docGrid w:type="lines" w:linePitch="312" w:charSpace="0"/>
        </w:sectPr>
      </w:pPr>
      <w:bookmarkStart w:id="83" w:name="_Toc16987"/>
      <w:bookmarkStart w:id="84" w:name="_Toc19098"/>
    </w:p>
    <w:p>
      <w:pPr>
        <w:pStyle w:val="2"/>
        <w:spacing w:line="360" w:lineRule="auto"/>
        <w:jc w:val="center"/>
        <w:rPr>
          <w:rFonts w:ascii="宋体" w:hAnsi="宋体" w:cs="宋体"/>
          <w:color w:val="auto"/>
          <w:sz w:val="32"/>
          <w:szCs w:val="15"/>
          <w:highlight w:val="none"/>
        </w:rPr>
      </w:pPr>
      <w:bookmarkStart w:id="85" w:name="_Toc19095"/>
      <w:r>
        <w:rPr>
          <w:rFonts w:hint="eastAsia" w:ascii="宋体" w:hAnsi="宋体" w:cs="宋体"/>
          <w:color w:val="auto"/>
          <w:sz w:val="32"/>
          <w:szCs w:val="15"/>
          <w:highlight w:val="none"/>
        </w:rPr>
        <w:t>第五篇 评选方法、 评审标准、无效响应、采购终止</w:t>
      </w:r>
      <w:bookmarkEnd w:id="85"/>
    </w:p>
    <w:p>
      <w:pPr>
        <w:spacing w:line="360" w:lineRule="auto"/>
        <w:ind w:firstLine="281" w:firstLineChars="100"/>
        <w:outlineLvl w:val="1"/>
        <w:rPr>
          <w:rFonts w:ascii="宋体" w:hAnsi="宋体" w:cs="宋体"/>
          <w:b/>
          <w:bCs/>
          <w:color w:val="auto"/>
          <w:szCs w:val="28"/>
          <w:highlight w:val="none"/>
        </w:rPr>
      </w:pPr>
      <w:bookmarkStart w:id="86" w:name="_Toc4718"/>
      <w:r>
        <w:rPr>
          <w:rFonts w:hint="eastAsia" w:ascii="宋体" w:hAnsi="宋体" w:cs="宋体"/>
          <w:b/>
          <w:bCs/>
          <w:color w:val="auto"/>
          <w:szCs w:val="28"/>
          <w:highlight w:val="none"/>
        </w:rPr>
        <w:t>一、评选方法及标准</w:t>
      </w:r>
      <w:bookmarkEnd w:id="83"/>
      <w:bookmarkEnd w:id="84"/>
      <w:bookmarkEnd w:id="86"/>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综合评分法。采购人对各供应商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供应商总得分为比选报价、服务部分、商务部分等评定因素分别按照相应权重值计算分项得分后相加，满分为100分（详见评审标准）若供应商的评审得分相同的，按照比选报价由低到高的顺序排列推荐。评审得分且比选报价相同的，按照服务指标优劣顺序排列推荐。</w:t>
      </w:r>
    </w:p>
    <w:p>
      <w:pPr>
        <w:wordWrap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资格性和符合性审查的内容如下：</w:t>
      </w:r>
    </w:p>
    <w:p>
      <w:pPr>
        <w:snapToGrid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1、资格性审查。依据法律法规和比选文件的规定，对响应文件中的资格证明等进行审查，以确定供应商是否具备</w:t>
      </w:r>
      <w:r>
        <w:rPr>
          <w:rFonts w:hint="eastAsia" w:ascii="宋体" w:hAnsi="宋体" w:cs="宋体"/>
          <w:color w:val="auto"/>
          <w:sz w:val="24"/>
          <w:szCs w:val="24"/>
          <w:highlight w:val="none"/>
        </w:rPr>
        <w:t>比选</w:t>
      </w:r>
      <w:r>
        <w:rPr>
          <w:rFonts w:hint="eastAsia" w:ascii="宋体" w:hAnsi="宋体" w:cs="宋体"/>
          <w:color w:val="auto"/>
          <w:kern w:val="0"/>
          <w:sz w:val="24"/>
          <w:szCs w:val="24"/>
          <w:highlight w:val="none"/>
        </w:rPr>
        <w:t>资格。资格性审查资料表如下：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879"/>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676"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588" w:type="dxa"/>
            <w:gridSpan w:val="2"/>
            <w:vAlign w:val="center"/>
          </w:tcPr>
          <w:p>
            <w:pPr>
              <w:spacing w:line="360" w:lineRule="auto"/>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检查因素</w:t>
            </w:r>
          </w:p>
        </w:tc>
        <w:tc>
          <w:tcPr>
            <w:tcW w:w="5364" w:type="dxa"/>
            <w:vAlign w:val="center"/>
          </w:tcPr>
          <w:p>
            <w:pPr>
              <w:spacing w:line="360" w:lineRule="auto"/>
              <w:ind w:firstLine="1560" w:firstLineChars="650"/>
              <w:rPr>
                <w:rFonts w:ascii="宋体" w:hAnsi="宋体" w:cs="宋体"/>
                <w:color w:val="auto"/>
                <w:sz w:val="24"/>
                <w:szCs w:val="24"/>
                <w:highlight w:val="none"/>
              </w:rPr>
            </w:pPr>
            <w:r>
              <w:rPr>
                <w:rFonts w:hint="eastAsia" w:ascii="宋体" w:hAnsi="宋体" w:cs="宋体"/>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76" w:type="dxa"/>
            <w:vMerge w:val="restart"/>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供应商应符合的基本资格条件</w:t>
            </w: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536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tc>
        <w:tc>
          <w:tcPr>
            <w:tcW w:w="53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tc>
        <w:tc>
          <w:tcPr>
            <w:tcW w:w="5364" w:type="dxa"/>
            <w:vMerge w:val="continue"/>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（4）有依法缴纳税收和社会保障金的良好记录</w:t>
            </w:r>
          </w:p>
        </w:tc>
        <w:tc>
          <w:tcPr>
            <w:tcW w:w="5364" w:type="dxa"/>
            <w:vMerge w:val="continue"/>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tc>
        <w:tc>
          <w:tcPr>
            <w:tcW w:w="5364" w:type="dxa"/>
            <w:vMerge w:val="continue"/>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5364" w:type="dxa"/>
            <w:vMerge w:val="continue"/>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vMerge w:val="continue"/>
            <w:vAlign w:val="center"/>
          </w:tcPr>
          <w:p>
            <w:pPr>
              <w:spacing w:line="360" w:lineRule="auto"/>
              <w:ind w:firstLine="440"/>
              <w:jc w:val="center"/>
              <w:rPr>
                <w:rFonts w:ascii="宋体" w:hAnsi="宋体" w:cs="宋体"/>
                <w:color w:val="auto"/>
                <w:sz w:val="24"/>
                <w:szCs w:val="24"/>
                <w:highlight w:val="none"/>
              </w:rPr>
            </w:pPr>
          </w:p>
        </w:tc>
        <w:tc>
          <w:tcPr>
            <w:tcW w:w="709" w:type="dxa"/>
            <w:vMerge w:val="continue"/>
            <w:vAlign w:val="center"/>
          </w:tcPr>
          <w:p>
            <w:pPr>
              <w:spacing w:line="360" w:lineRule="auto"/>
              <w:ind w:firstLine="440"/>
              <w:rPr>
                <w:rFonts w:ascii="宋体" w:hAnsi="宋体" w:cs="宋体"/>
                <w:color w:val="auto"/>
                <w:sz w:val="24"/>
                <w:szCs w:val="24"/>
                <w:highlight w:val="none"/>
              </w:rPr>
            </w:pPr>
          </w:p>
        </w:tc>
        <w:tc>
          <w:tcPr>
            <w:tcW w:w="287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5364" w:type="dxa"/>
            <w:vAlign w:val="center"/>
          </w:tcPr>
          <w:p>
            <w:pPr>
              <w:spacing w:line="360" w:lineRule="auto"/>
              <w:ind w:firstLine="480" w:firstLineChars="200"/>
              <w:rPr>
                <w:rFonts w:ascii="宋体" w:hAnsi="宋体" w:cs="宋体"/>
                <w:color w:val="auto"/>
                <w:sz w:val="24"/>
                <w:szCs w:val="24"/>
                <w:highlight w:val="none"/>
              </w:rPr>
            </w:pPr>
          </w:p>
        </w:tc>
      </w:tr>
    </w:tbl>
    <w:p>
      <w:pPr>
        <w:snapToGrid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pPr>
        <w:snapToGrid w:val="0"/>
        <w:spacing w:line="360" w:lineRule="auto"/>
        <w:ind w:firstLine="480" w:firstLineChars="200"/>
        <w:rPr>
          <w:rFonts w:ascii="宋体" w:hAnsi="宋体" w:cs="宋体"/>
          <w:color w:val="auto"/>
          <w:kern w:val="0"/>
          <w:sz w:val="24"/>
          <w:szCs w:val="24"/>
          <w:highlight w:val="none"/>
        </w:rPr>
      </w:pPr>
      <w:r>
        <w:rPr>
          <w:rStyle w:val="23"/>
          <w:rFonts w:hint="eastAsia" w:ascii="宋体" w:hAnsi="宋体" w:cs="宋体"/>
          <w:color w:val="auto"/>
          <w:kern w:val="0"/>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pPr>
        <w:snapToGrid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2、符合性审查。依据比选文件的规定，从响应文件的有效性、完整性和对比选文件的响应程度进行审查，以确定是否对比选文件的实质性要求作出响应。符合性审查资料表如下：</w:t>
      </w:r>
    </w:p>
    <w:tbl>
      <w:tblPr>
        <w:tblStyle w:val="22"/>
        <w:tblpPr w:leftFromText="180" w:rightFromText="180" w:vertAnchor="text" w:horzAnchor="page" w:tblpX="1389" w:tblpY="293"/>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11"/>
        <w:gridCol w:w="2192"/>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63" w:type="dxa"/>
            <w:vAlign w:val="center"/>
          </w:tcPr>
          <w:p>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03" w:type="dxa"/>
            <w:gridSpan w:val="2"/>
            <w:vAlign w:val="center"/>
          </w:tcPr>
          <w:p>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262" w:type="dxa"/>
            <w:vAlign w:val="center"/>
          </w:tcPr>
          <w:p>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863" w:type="dxa"/>
            <w:vMerge w:val="restart"/>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311" w:type="dxa"/>
            <w:vMerge w:val="restart"/>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219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w:t>
            </w:r>
          </w:p>
        </w:tc>
        <w:tc>
          <w:tcPr>
            <w:tcW w:w="526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63" w:type="dxa"/>
            <w:vMerge w:val="continue"/>
            <w:vAlign w:val="center"/>
          </w:tcPr>
          <w:p>
            <w:pPr>
              <w:spacing w:line="360" w:lineRule="auto"/>
              <w:jc w:val="center"/>
              <w:rPr>
                <w:rFonts w:ascii="宋体" w:hAnsi="宋体" w:cs="宋体"/>
                <w:color w:val="auto"/>
                <w:kern w:val="0"/>
                <w:sz w:val="24"/>
                <w:szCs w:val="24"/>
                <w:highlight w:val="none"/>
              </w:rPr>
            </w:pPr>
          </w:p>
        </w:tc>
        <w:tc>
          <w:tcPr>
            <w:tcW w:w="1311" w:type="dxa"/>
            <w:vMerge w:val="continue"/>
            <w:vAlign w:val="center"/>
          </w:tcPr>
          <w:p>
            <w:pPr>
              <w:spacing w:line="360" w:lineRule="auto"/>
              <w:rPr>
                <w:rFonts w:ascii="宋体" w:hAnsi="宋体" w:cs="宋体"/>
                <w:color w:val="auto"/>
                <w:kern w:val="0"/>
                <w:sz w:val="24"/>
                <w:szCs w:val="24"/>
                <w:highlight w:val="none"/>
              </w:rPr>
            </w:pPr>
          </w:p>
        </w:tc>
        <w:tc>
          <w:tcPr>
            <w:tcW w:w="2192"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262"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863" w:type="dxa"/>
            <w:vMerge w:val="continue"/>
            <w:vAlign w:val="center"/>
          </w:tcPr>
          <w:p>
            <w:pPr>
              <w:spacing w:line="360" w:lineRule="auto"/>
              <w:jc w:val="center"/>
              <w:rPr>
                <w:rFonts w:ascii="宋体" w:hAnsi="宋体" w:cs="宋体"/>
                <w:color w:val="auto"/>
                <w:kern w:val="0"/>
                <w:sz w:val="24"/>
                <w:szCs w:val="24"/>
                <w:highlight w:val="none"/>
              </w:rPr>
            </w:pPr>
          </w:p>
        </w:tc>
        <w:tc>
          <w:tcPr>
            <w:tcW w:w="1311" w:type="dxa"/>
            <w:vMerge w:val="continue"/>
            <w:vAlign w:val="center"/>
          </w:tcPr>
          <w:p>
            <w:pPr>
              <w:spacing w:line="360" w:lineRule="auto"/>
              <w:rPr>
                <w:rFonts w:ascii="宋体" w:hAnsi="宋体" w:cs="宋体"/>
                <w:color w:val="auto"/>
                <w:kern w:val="0"/>
                <w:sz w:val="24"/>
                <w:szCs w:val="24"/>
                <w:highlight w:val="none"/>
              </w:rPr>
            </w:pPr>
          </w:p>
        </w:tc>
        <w:tc>
          <w:tcPr>
            <w:tcW w:w="2192" w:type="dxa"/>
            <w:vAlign w:val="center"/>
          </w:tcPr>
          <w:p>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26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63" w:type="dxa"/>
            <w:vMerge w:val="continue"/>
            <w:vAlign w:val="center"/>
          </w:tcPr>
          <w:p>
            <w:pPr>
              <w:spacing w:line="360" w:lineRule="auto"/>
              <w:jc w:val="center"/>
              <w:rPr>
                <w:rFonts w:ascii="宋体" w:hAnsi="宋体" w:cs="宋体"/>
                <w:color w:val="auto"/>
                <w:kern w:val="0"/>
                <w:sz w:val="24"/>
                <w:szCs w:val="24"/>
                <w:highlight w:val="none"/>
              </w:rPr>
            </w:pPr>
          </w:p>
        </w:tc>
        <w:tc>
          <w:tcPr>
            <w:tcW w:w="1311" w:type="dxa"/>
            <w:vMerge w:val="continue"/>
            <w:vAlign w:val="center"/>
          </w:tcPr>
          <w:p>
            <w:pPr>
              <w:spacing w:line="360" w:lineRule="auto"/>
              <w:rPr>
                <w:rFonts w:ascii="宋体" w:hAnsi="宋体" w:cs="宋体"/>
                <w:color w:val="auto"/>
                <w:kern w:val="0"/>
                <w:sz w:val="24"/>
                <w:szCs w:val="24"/>
                <w:highlight w:val="none"/>
              </w:rPr>
            </w:pPr>
          </w:p>
        </w:tc>
        <w:tc>
          <w:tcPr>
            <w:tcW w:w="2192" w:type="dxa"/>
            <w:vAlign w:val="center"/>
          </w:tcPr>
          <w:p>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26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63" w:type="dxa"/>
            <w:vMerge w:val="restart"/>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311" w:type="dxa"/>
            <w:vMerge w:val="restart"/>
            <w:vAlign w:val="center"/>
          </w:tcPr>
          <w:p>
            <w:pPr>
              <w:spacing w:line="360" w:lineRule="auto"/>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比选文件的响应程度审查</w:t>
            </w:r>
          </w:p>
        </w:tc>
        <w:tc>
          <w:tcPr>
            <w:tcW w:w="219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响应文件内容</w:t>
            </w:r>
          </w:p>
        </w:tc>
        <w:tc>
          <w:tcPr>
            <w:tcW w:w="526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对采购文件“</w:t>
            </w:r>
            <w:r>
              <w:rPr>
                <w:rFonts w:hint="eastAsia" w:ascii="宋体" w:hAnsi="宋体" w:cs="宋体"/>
                <w:color w:val="auto"/>
                <w:sz w:val="24"/>
                <w:szCs w:val="24"/>
                <w:highlight w:val="none"/>
              </w:rPr>
              <w:t>第二篇 项目服务需求</w:t>
            </w:r>
            <w:r>
              <w:rPr>
                <w:rFonts w:hint="eastAsia" w:ascii="宋体" w:hAnsi="宋体" w:cs="宋体"/>
                <w:color w:val="auto"/>
                <w:sz w:val="24"/>
                <w:szCs w:val="24"/>
                <w:highlight w:val="none"/>
                <w:lang w:val="zh-CN"/>
              </w:rPr>
              <w:t>”和“</w:t>
            </w:r>
            <w:r>
              <w:rPr>
                <w:rFonts w:hint="eastAsia" w:ascii="宋体" w:hAnsi="宋体" w:cs="宋体"/>
                <w:color w:val="auto"/>
                <w:sz w:val="24"/>
                <w:szCs w:val="24"/>
                <w:highlight w:val="none"/>
              </w:rPr>
              <w:t>第三篇项目商务需求</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中的</w:t>
            </w:r>
            <w:r>
              <w:rPr>
                <w:rFonts w:hint="eastAsia" w:ascii="宋体" w:hAnsi="宋体" w:cs="宋体"/>
                <w:color w:val="auto"/>
                <w:sz w:val="24"/>
                <w:szCs w:val="24"/>
                <w:highlight w:val="none"/>
                <w:lang w:val="zh-CN"/>
              </w:rPr>
              <w:t>内容进行</w:t>
            </w:r>
            <w:r>
              <w:rPr>
                <w:rFonts w:hint="eastAsia" w:ascii="宋体" w:hAnsi="宋体" w:cs="宋体"/>
                <w:color w:val="auto"/>
                <w:sz w:val="24"/>
                <w:szCs w:val="24"/>
                <w:highlight w:val="none"/>
              </w:rPr>
              <w:t>实质</w:t>
            </w:r>
            <w:r>
              <w:rPr>
                <w:rFonts w:hint="eastAsia" w:ascii="宋体" w:hAnsi="宋体" w:cs="宋体"/>
                <w:color w:val="auto"/>
                <w:sz w:val="24"/>
                <w:szCs w:val="24"/>
                <w:highlight w:val="none"/>
                <w:lang w:val="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63" w:type="dxa"/>
            <w:vMerge w:val="continue"/>
            <w:vAlign w:val="center"/>
          </w:tcPr>
          <w:p>
            <w:pPr>
              <w:spacing w:line="360" w:lineRule="auto"/>
              <w:jc w:val="center"/>
              <w:rPr>
                <w:rFonts w:ascii="宋体" w:hAnsi="宋体" w:cs="宋体"/>
                <w:color w:val="auto"/>
                <w:kern w:val="0"/>
                <w:sz w:val="24"/>
                <w:szCs w:val="24"/>
                <w:highlight w:val="none"/>
              </w:rPr>
            </w:pPr>
          </w:p>
        </w:tc>
        <w:tc>
          <w:tcPr>
            <w:tcW w:w="1311" w:type="dxa"/>
            <w:vMerge w:val="continue"/>
            <w:vAlign w:val="center"/>
          </w:tcPr>
          <w:p>
            <w:pPr>
              <w:spacing w:line="360" w:lineRule="auto"/>
              <w:rPr>
                <w:rFonts w:ascii="宋体" w:hAnsi="宋体" w:cs="宋体"/>
                <w:color w:val="auto"/>
                <w:sz w:val="24"/>
                <w:szCs w:val="24"/>
                <w:highlight w:val="none"/>
                <w:lang w:val="zh-CN"/>
              </w:rPr>
            </w:pPr>
          </w:p>
        </w:tc>
        <w:tc>
          <w:tcPr>
            <w:tcW w:w="219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比选有效期</w:t>
            </w:r>
          </w:p>
        </w:tc>
        <w:tc>
          <w:tcPr>
            <w:tcW w:w="5262" w:type="dxa"/>
            <w:vAlign w:val="center"/>
          </w:tcPr>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满足比选文件</w:t>
            </w:r>
            <w:r>
              <w:rPr>
                <w:rFonts w:hint="eastAsia" w:ascii="宋体" w:hAnsi="宋体" w:cs="宋体"/>
                <w:color w:val="auto"/>
                <w:sz w:val="24"/>
                <w:szCs w:val="24"/>
                <w:highlight w:val="none"/>
                <w:lang w:val="zh-CN"/>
              </w:rPr>
              <w:t>规定。</w:t>
            </w:r>
          </w:p>
        </w:tc>
      </w:tr>
    </w:tbl>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2、比较与评价。按竞争性比选文件中规定的评标方法和标准，对资格审查和符合性审查合格的响应文件进行商务和技术评估。</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各成员独立对每个有效供应商（通过资格审查、符合性审查的供应商）的响应文件进行评价、打分，然后由评标委员会对各成员打分情况进行核查及复核，复核后，评标委员会汇总每个供应商每项评分因素的得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3、推荐中标候选人名单。</w:t>
      </w:r>
    </w:p>
    <w:p>
      <w:pPr>
        <w:snapToGrid w:val="0"/>
        <w:spacing w:line="360" w:lineRule="auto"/>
        <w:ind w:firstLine="480" w:firstLineChars="200"/>
        <w:rPr>
          <w:rFonts w:hint="eastAsia" w:ascii="宋体" w:hAnsi="宋体" w:eastAsia="宋体" w:cs="宋体"/>
          <w:b/>
          <w:bCs/>
          <w:color w:val="auto"/>
          <w:szCs w:val="28"/>
          <w:highlight w:val="none"/>
          <w:lang w:eastAsia="zh-CN"/>
        </w:rPr>
        <w:sectPr>
          <w:pgSz w:w="11906" w:h="16838"/>
          <w:pgMar w:top="1417" w:right="1134" w:bottom="1417" w:left="1134" w:header="851" w:footer="992" w:gutter="0"/>
          <w:pgNumType w:fmt="decimal"/>
          <w:cols w:space="425" w:num="1"/>
          <w:rtlGutter w:val="0"/>
          <w:docGrid w:type="lines" w:linePitch="312" w:charSpace="0"/>
        </w:sectPr>
      </w:pPr>
      <w:r>
        <w:rPr>
          <w:rFonts w:hint="eastAsia" w:ascii="宋体" w:hAnsi="宋体" w:cs="宋体"/>
          <w:color w:val="auto"/>
          <w:sz w:val="24"/>
          <w:szCs w:val="24"/>
          <w:highlight w:val="none"/>
        </w:rPr>
        <w:t>按评审后得分由高到低的排列顺序推荐综合得分排名前三的供应商为本包（项目）中标候选人，排名第一的为第一中标候选人</w:t>
      </w:r>
      <w:r>
        <w:rPr>
          <w:rFonts w:hint="eastAsia" w:ascii="宋体" w:hAnsi="宋体" w:cs="宋体"/>
          <w:color w:val="auto"/>
          <w:sz w:val="24"/>
          <w:szCs w:val="24"/>
          <w:highlight w:val="none"/>
          <w:lang w:eastAsia="zh-CN"/>
        </w:rPr>
        <w:t>。</w:t>
      </w:r>
    </w:p>
    <w:p>
      <w:pPr>
        <w:spacing w:line="240" w:lineRule="auto"/>
        <w:outlineLvl w:val="1"/>
        <w:rPr>
          <w:rFonts w:ascii="宋体" w:hAnsi="宋体" w:cs="宋体"/>
          <w:b/>
          <w:bCs/>
          <w:color w:val="auto"/>
          <w:sz w:val="32"/>
          <w:szCs w:val="32"/>
          <w:highlight w:val="none"/>
        </w:rPr>
      </w:pPr>
      <w:bookmarkStart w:id="87" w:name="_Toc8681"/>
      <w:r>
        <w:rPr>
          <w:rFonts w:hint="eastAsia" w:ascii="宋体" w:hAnsi="宋体" w:cs="宋体"/>
          <w:b/>
          <w:bCs/>
          <w:color w:val="auto"/>
          <w:szCs w:val="28"/>
          <w:highlight w:val="none"/>
        </w:rPr>
        <w:t>二、评审标准</w:t>
      </w:r>
      <w:bookmarkEnd w:id="87"/>
    </w:p>
    <w:tbl>
      <w:tblPr>
        <w:tblStyle w:val="22"/>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91"/>
        <w:gridCol w:w="931"/>
        <w:gridCol w:w="4737"/>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768" w:type="dxa"/>
            <w:vAlign w:val="center"/>
          </w:tcPr>
          <w:p>
            <w:pPr>
              <w:spacing w:line="360" w:lineRule="auto"/>
              <w:ind w:firstLine="28"/>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291" w:type="dxa"/>
            <w:vAlign w:val="center"/>
          </w:tcPr>
          <w:p>
            <w:pPr>
              <w:spacing w:line="360" w:lineRule="auto"/>
              <w:ind w:firstLine="28"/>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评分因素</w:t>
            </w:r>
          </w:p>
          <w:p>
            <w:pPr>
              <w:spacing w:line="360" w:lineRule="auto"/>
              <w:ind w:firstLine="28"/>
              <w:jc w:val="center"/>
              <w:rPr>
                <w:rFonts w:ascii="宋体" w:hAnsi="宋体" w:cs="宋体"/>
                <w:b/>
                <w:color w:val="auto"/>
                <w:sz w:val="22"/>
                <w:szCs w:val="22"/>
                <w:highlight w:val="none"/>
              </w:rPr>
            </w:pPr>
            <w:r>
              <w:rPr>
                <w:rFonts w:hint="eastAsia" w:ascii="宋体" w:hAnsi="宋体" w:cs="宋体"/>
                <w:b/>
                <w:color w:val="auto"/>
                <w:sz w:val="22"/>
                <w:szCs w:val="22"/>
                <w:highlight w:val="none"/>
              </w:rPr>
              <w:t>及权值</w:t>
            </w:r>
          </w:p>
        </w:tc>
        <w:tc>
          <w:tcPr>
            <w:tcW w:w="931" w:type="dxa"/>
            <w:vAlign w:val="center"/>
          </w:tcPr>
          <w:p>
            <w:pPr>
              <w:spacing w:line="360" w:lineRule="auto"/>
              <w:ind w:firstLine="28"/>
              <w:jc w:val="center"/>
              <w:rPr>
                <w:rFonts w:ascii="宋体" w:hAnsi="宋体" w:cs="宋体"/>
                <w:b/>
                <w:color w:val="auto"/>
                <w:sz w:val="22"/>
                <w:szCs w:val="22"/>
                <w:highlight w:val="none"/>
              </w:rPr>
            </w:pPr>
            <w:r>
              <w:rPr>
                <w:rFonts w:hint="eastAsia" w:ascii="宋体" w:hAnsi="宋体" w:cs="宋体"/>
                <w:b/>
                <w:color w:val="auto"/>
                <w:sz w:val="22"/>
                <w:szCs w:val="22"/>
                <w:highlight w:val="none"/>
              </w:rPr>
              <w:t>分值</w:t>
            </w:r>
          </w:p>
        </w:tc>
        <w:tc>
          <w:tcPr>
            <w:tcW w:w="4737" w:type="dxa"/>
            <w:vAlign w:val="center"/>
          </w:tcPr>
          <w:p>
            <w:pPr>
              <w:spacing w:line="360" w:lineRule="auto"/>
              <w:ind w:firstLine="28"/>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评分标准</w:t>
            </w:r>
          </w:p>
        </w:tc>
        <w:tc>
          <w:tcPr>
            <w:tcW w:w="2351" w:type="dxa"/>
            <w:vAlign w:val="center"/>
          </w:tcPr>
          <w:p>
            <w:pPr>
              <w:pStyle w:val="34"/>
              <w:spacing w:before="0" w:after="0" w:line="360" w:lineRule="auto"/>
              <w:ind w:left="1540" w:hanging="42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trPr>
        <w:tc>
          <w:tcPr>
            <w:tcW w:w="768" w:type="dxa"/>
            <w:vAlign w:val="center"/>
          </w:tcPr>
          <w:p>
            <w:pPr>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91" w:type="dxa"/>
            <w:vAlign w:val="center"/>
          </w:tcPr>
          <w:p>
            <w:pPr>
              <w:widowControl/>
              <w:spacing w:line="360" w:lineRule="auto"/>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投标报价</w:t>
            </w:r>
          </w:p>
          <w:p>
            <w:pPr>
              <w:widowControl/>
              <w:spacing w:line="360" w:lineRule="auto"/>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w:t>
            </w:r>
          </w:p>
        </w:tc>
        <w:tc>
          <w:tcPr>
            <w:tcW w:w="931" w:type="dxa"/>
            <w:vAlign w:val="center"/>
          </w:tcPr>
          <w:p>
            <w:pPr>
              <w:widowControl/>
              <w:spacing w:line="36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p>
        </w:tc>
        <w:tc>
          <w:tcPr>
            <w:tcW w:w="4737" w:type="dxa"/>
            <w:vAlign w:val="center"/>
          </w:tcPr>
          <w:p>
            <w:pPr>
              <w:widowControl/>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有效的投标报价中的最低价为评标基准价，按照下列公式计算每个投标人的投标价格得分。</w:t>
            </w:r>
          </w:p>
          <w:p>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投标报价得分＝（评标基准价/投标报价）×价格权重×100。</w:t>
            </w:r>
          </w:p>
        </w:tc>
        <w:tc>
          <w:tcPr>
            <w:tcW w:w="2351" w:type="dxa"/>
            <w:vAlign w:val="center"/>
          </w:tcPr>
          <w:p>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高于预算价为无效报价，</w:t>
            </w:r>
            <w:r>
              <w:rPr>
                <w:rFonts w:hint="eastAsia" w:ascii="宋体" w:hAnsi="宋体" w:eastAsia="宋体" w:cs="宋体"/>
                <w:color w:val="auto"/>
                <w:sz w:val="21"/>
                <w:szCs w:val="21"/>
                <w:highlight w:val="none"/>
              </w:rPr>
              <w:t>计算结果四舍五入，保留两位小数。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0" w:hRule="atLeast"/>
        </w:trPr>
        <w:tc>
          <w:tcPr>
            <w:tcW w:w="768" w:type="dxa"/>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p>
            <w:pPr>
              <w:spacing w:line="360" w:lineRule="auto"/>
              <w:rPr>
                <w:rFonts w:ascii="宋体" w:hAnsi="宋体" w:cs="宋体"/>
                <w:color w:val="auto"/>
                <w:sz w:val="21"/>
                <w:szCs w:val="21"/>
                <w:highlight w:val="none"/>
              </w:rPr>
            </w:pPr>
          </w:p>
        </w:tc>
        <w:tc>
          <w:tcPr>
            <w:tcW w:w="1291" w:type="dxa"/>
            <w:vAlign w:val="center"/>
          </w:tcPr>
          <w:p>
            <w:pPr>
              <w:widowControl/>
              <w:spacing w:line="360" w:lineRule="auto"/>
              <w:jc w:val="center"/>
              <w:rPr>
                <w:rFonts w:ascii="宋体" w:hAnsi="宋体" w:cs="宋体"/>
                <w:color w:val="auto"/>
                <w:highlight w:val="none"/>
              </w:rPr>
            </w:pPr>
            <w:r>
              <w:rPr>
                <w:rFonts w:hint="eastAsia" w:ascii="宋体" w:hAnsi="宋体" w:cs="宋体"/>
                <w:color w:val="auto"/>
                <w:kern w:val="0"/>
                <w:sz w:val="21"/>
                <w:szCs w:val="21"/>
                <w:highlight w:val="none"/>
              </w:rPr>
              <w:t>服务部分（</w:t>
            </w:r>
            <w:r>
              <w:rPr>
                <w:rFonts w:hint="eastAsia" w:ascii="宋体" w:hAnsi="宋体" w:cs="宋体"/>
                <w:color w:val="auto"/>
                <w:kern w:val="0"/>
                <w:sz w:val="21"/>
                <w:szCs w:val="21"/>
                <w:highlight w:val="none"/>
                <w:lang w:val="en-US" w:eastAsia="zh-CN"/>
              </w:rPr>
              <w:t>65</w:t>
            </w:r>
            <w:r>
              <w:rPr>
                <w:rFonts w:hint="eastAsia" w:ascii="宋体" w:hAnsi="宋体" w:cs="宋体"/>
                <w:color w:val="auto"/>
                <w:kern w:val="0"/>
                <w:sz w:val="21"/>
                <w:szCs w:val="21"/>
                <w:highlight w:val="none"/>
              </w:rPr>
              <w:t>%）</w:t>
            </w:r>
          </w:p>
        </w:tc>
        <w:tc>
          <w:tcPr>
            <w:tcW w:w="931" w:type="dxa"/>
            <w:tcBorders>
              <w:bottom w:val="single" w:color="auto" w:sz="4" w:space="0"/>
            </w:tcBorders>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65</w:t>
            </w:r>
            <w:r>
              <w:rPr>
                <w:rFonts w:hint="eastAsia" w:ascii="宋体" w:hAnsi="宋体" w:cs="宋体"/>
                <w:color w:val="auto"/>
                <w:sz w:val="21"/>
                <w:szCs w:val="21"/>
                <w:highlight w:val="none"/>
              </w:rPr>
              <w:t>分</w:t>
            </w:r>
          </w:p>
        </w:tc>
        <w:tc>
          <w:tcPr>
            <w:tcW w:w="4737" w:type="dxa"/>
            <w:vAlign w:val="center"/>
          </w:tcPr>
          <w:p>
            <w:pPr>
              <w:widowControl/>
              <w:numPr>
                <w:ilvl w:val="0"/>
                <w:numId w:val="3"/>
              </w:numPr>
              <w:snapToGrid w:val="0"/>
              <w:spacing w:line="360" w:lineRule="auto"/>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lang w:eastAsia="zh-CN"/>
              </w:rPr>
              <w:t>对项目的理解及总体思路、方案（</w:t>
            </w:r>
            <w:r>
              <w:rPr>
                <w:rFonts w:hint="eastAsia" w:ascii="宋体" w:hAnsi="宋体" w:cs="宋体"/>
                <w:b/>
                <w:bCs/>
                <w:color w:val="auto"/>
                <w:sz w:val="21"/>
                <w:szCs w:val="21"/>
                <w:highlight w:val="none"/>
                <w:lang w:val="en-US" w:eastAsia="zh-CN"/>
              </w:rPr>
              <w:t>15分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w:t>
            </w:r>
          </w:p>
          <w:p>
            <w:pPr>
              <w:widowControl/>
              <w:numPr>
                <w:ilvl w:val="0"/>
                <w:numId w:val="0"/>
              </w:numPr>
              <w:snapToGrid w:val="0"/>
              <w:spacing w:line="360" w:lineRule="auto"/>
              <w:ind w:firstLine="210" w:firstLineChars="100"/>
              <w:jc w:val="left"/>
              <w:rPr>
                <w:rFonts w:ascii="宋体" w:hAnsi="宋体" w:cs="宋体"/>
                <w:color w:val="auto"/>
                <w:sz w:val="21"/>
                <w:szCs w:val="21"/>
                <w:highlight w:val="none"/>
              </w:rPr>
            </w:pPr>
            <w:r>
              <w:rPr>
                <w:rFonts w:hint="eastAsia"/>
                <w:color w:val="auto"/>
                <w:sz w:val="21"/>
                <w:szCs w:val="21"/>
              </w:rPr>
              <w:t>对现场实际情况摸排清晰度、情况梳理完善度，思路具体、透彻，对本项目的研究背景、工作目的、目标及意义解读到位、理解全面、深入</w:t>
            </w:r>
            <w:r>
              <w:rPr>
                <w:rFonts w:hint="eastAsia" w:ascii="宋体" w:hAnsi="宋体" w:cs="宋体"/>
                <w:color w:val="auto"/>
                <w:sz w:val="21"/>
                <w:szCs w:val="21"/>
                <w:highlight w:val="none"/>
              </w:rPr>
              <w:t>。（优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分，良</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分，一般</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分，差</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；未提供不得分</w:t>
            </w:r>
            <w:r>
              <w:rPr>
                <w:rFonts w:hint="eastAsia" w:ascii="宋体" w:hAnsi="宋体" w:cs="宋体"/>
                <w:color w:val="auto"/>
                <w:sz w:val="21"/>
                <w:szCs w:val="21"/>
                <w:highlight w:val="none"/>
              </w:rPr>
              <w:t>）</w:t>
            </w:r>
          </w:p>
          <w:p>
            <w:pPr>
              <w:widowControl/>
              <w:numPr>
                <w:ilvl w:val="0"/>
                <w:numId w:val="3"/>
              </w:numPr>
              <w:snapToGrid w:val="0"/>
              <w:spacing w:line="360" w:lineRule="auto"/>
              <w:ind w:left="0" w:leftChars="0" w:firstLine="0" w:firstLineChars="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勘察</w:t>
            </w:r>
            <w:r>
              <w:rPr>
                <w:rFonts w:hint="eastAsia" w:ascii="宋体" w:hAnsi="宋体" w:cs="宋体"/>
                <w:b/>
                <w:bCs/>
                <w:color w:val="auto"/>
                <w:sz w:val="21"/>
                <w:szCs w:val="21"/>
                <w:highlight w:val="none"/>
                <w:lang w:eastAsia="zh-CN"/>
              </w:rPr>
              <w:t>及测绘实施</w:t>
            </w:r>
            <w:r>
              <w:rPr>
                <w:rFonts w:hint="eastAsia" w:ascii="宋体" w:hAnsi="宋体" w:cs="宋体"/>
                <w:b/>
                <w:bCs/>
                <w:color w:val="auto"/>
                <w:sz w:val="21"/>
                <w:szCs w:val="21"/>
                <w:highlight w:val="none"/>
              </w:rPr>
              <w:t>方案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15分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w:t>
            </w:r>
          </w:p>
          <w:p>
            <w:pPr>
              <w:widowControl/>
              <w:numPr>
                <w:ilvl w:val="0"/>
                <w:numId w:val="0"/>
              </w:numPr>
              <w:snapToGrid w:val="0"/>
              <w:spacing w:line="360" w:lineRule="auto"/>
              <w:ind w:leftChars="0"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简要说明对项目的理解与认识，对项目情况重点、难点技术环节及内容提出较全面、合理的建议或方案</w:t>
            </w:r>
            <w:r>
              <w:rPr>
                <w:rFonts w:hint="eastAsia" w:ascii="宋体" w:hAnsi="宋体" w:cs="宋体"/>
                <w:color w:val="auto"/>
                <w:sz w:val="21"/>
                <w:szCs w:val="21"/>
                <w:highlight w:val="none"/>
                <w:lang w:eastAsia="zh-CN"/>
              </w:rPr>
              <w:t>，</w:t>
            </w:r>
            <w:r>
              <w:rPr>
                <w:rFonts w:hint="eastAsia"/>
                <w:color w:val="auto"/>
                <w:sz w:val="21"/>
                <w:szCs w:val="21"/>
              </w:rPr>
              <w:t>内容科学合理，内容完整，针对性强，表述清晰</w:t>
            </w:r>
            <w:r>
              <w:rPr>
                <w:rFonts w:hint="eastAsia" w:ascii="宋体" w:hAnsi="宋体" w:cs="宋体"/>
                <w:color w:val="auto"/>
                <w:sz w:val="21"/>
                <w:szCs w:val="21"/>
                <w:highlight w:val="none"/>
              </w:rPr>
              <w:t>。（优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分，良</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分，一般</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分，差</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；未提供不得分</w:t>
            </w:r>
            <w:r>
              <w:rPr>
                <w:rFonts w:hint="eastAsia" w:ascii="宋体" w:hAnsi="宋体" w:cs="宋体"/>
                <w:color w:val="auto"/>
                <w:sz w:val="21"/>
                <w:szCs w:val="21"/>
                <w:highlight w:val="none"/>
              </w:rPr>
              <w:t>）</w:t>
            </w:r>
          </w:p>
          <w:p>
            <w:pPr>
              <w:widowControl/>
              <w:numPr>
                <w:ilvl w:val="0"/>
                <w:numId w:val="3"/>
              </w:numPr>
              <w:snapToGrid w:val="0"/>
              <w:spacing w:line="360" w:lineRule="auto"/>
              <w:ind w:left="0" w:leftChars="0" w:firstLine="0" w:firstLineChars="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质量保证措施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10分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w:t>
            </w:r>
          </w:p>
          <w:p>
            <w:pPr>
              <w:widowControl/>
              <w:numPr>
                <w:ilvl w:val="0"/>
                <w:numId w:val="0"/>
              </w:numPr>
              <w:snapToGrid w:val="0"/>
              <w:spacing w:line="360" w:lineRule="auto"/>
              <w:ind w:leftChars="0"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阐述了具体的质量保证措施，措施有效、合理。（优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rPr>
              <w:t>10分，良</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分，一般</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分，差</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；未提供不得分</w:t>
            </w:r>
            <w:r>
              <w:rPr>
                <w:rFonts w:hint="eastAsia" w:ascii="宋体" w:hAnsi="宋体" w:cs="宋体"/>
                <w:color w:val="auto"/>
                <w:sz w:val="21"/>
                <w:szCs w:val="21"/>
                <w:highlight w:val="none"/>
              </w:rPr>
              <w:t>）</w:t>
            </w:r>
          </w:p>
          <w:p>
            <w:pPr>
              <w:widowControl/>
              <w:numPr>
                <w:ilvl w:val="0"/>
                <w:numId w:val="3"/>
              </w:numPr>
              <w:snapToGrid w:val="0"/>
              <w:spacing w:line="360" w:lineRule="auto"/>
              <w:ind w:left="0" w:leftChars="0" w:firstLine="0" w:firstLineChars="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安全保证措施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10分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w:t>
            </w:r>
          </w:p>
          <w:p>
            <w:pPr>
              <w:widowControl/>
              <w:numPr>
                <w:ilvl w:val="0"/>
                <w:numId w:val="0"/>
              </w:numPr>
              <w:snapToGrid w:val="0"/>
              <w:spacing w:line="360" w:lineRule="auto"/>
              <w:ind w:leftChars="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阐述了具体的安全保证措施，措施有效。（优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rPr>
              <w:t>10分，良</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分，一般</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分，差</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；未提供不得分</w:t>
            </w:r>
            <w:r>
              <w:rPr>
                <w:rFonts w:hint="eastAsia" w:ascii="宋体" w:hAnsi="宋体" w:cs="宋体"/>
                <w:color w:val="auto"/>
                <w:sz w:val="21"/>
                <w:szCs w:val="21"/>
                <w:highlight w:val="none"/>
              </w:rPr>
              <w:t>）</w:t>
            </w:r>
          </w:p>
          <w:p>
            <w:pPr>
              <w:widowControl/>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b/>
                <w:bCs/>
                <w:color w:val="auto"/>
                <w:sz w:val="21"/>
                <w:szCs w:val="21"/>
                <w:highlight w:val="none"/>
              </w:rPr>
              <w:t>工期安排及进度保证措施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15分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w:t>
            </w:r>
          </w:p>
          <w:p>
            <w:pPr>
              <w:widowControl/>
              <w:snapToGrid w:val="0"/>
              <w:spacing w:line="360" w:lineRule="auto"/>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工期安排合理，满足设计需求，进度保证措施能有效保证</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计划的实现。（优</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分，良</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分，一般</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分，差</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；未提供不得分</w:t>
            </w:r>
            <w:r>
              <w:rPr>
                <w:rFonts w:hint="eastAsia" w:ascii="宋体" w:hAnsi="宋体" w:cs="宋体"/>
                <w:color w:val="auto"/>
                <w:sz w:val="21"/>
                <w:szCs w:val="21"/>
                <w:highlight w:val="none"/>
              </w:rPr>
              <w:t>）</w:t>
            </w:r>
          </w:p>
        </w:tc>
        <w:tc>
          <w:tcPr>
            <w:tcW w:w="2351" w:type="dxa"/>
            <w:tcBorders>
              <w:bottom w:val="single" w:color="auto" w:sz="4" w:space="0"/>
            </w:tcBorders>
            <w:vAlign w:val="center"/>
          </w:tcPr>
          <w:p>
            <w:pPr>
              <w:widowControl/>
              <w:spacing w:line="360" w:lineRule="auto"/>
              <w:jc w:val="left"/>
              <w:rPr>
                <w:rFonts w:ascii="宋体" w:hAnsi="宋体" w:cs="宋体"/>
                <w:color w:val="auto"/>
                <w:sz w:val="20"/>
                <w:highlight w:val="none"/>
              </w:rPr>
            </w:pPr>
            <w:r>
              <w:rPr>
                <w:rFonts w:hint="eastAsia" w:ascii="宋体" w:hAnsi="宋体" w:cs="宋体"/>
                <w:color w:val="auto"/>
                <w:sz w:val="21"/>
                <w:szCs w:val="21"/>
                <w:highlight w:val="none"/>
              </w:rPr>
              <w:t>评审小组横向比较，独立评审打分。</w:t>
            </w:r>
          </w:p>
          <w:p>
            <w:pPr>
              <w:widowControl/>
              <w:spacing w:line="360" w:lineRule="auto"/>
              <w:jc w:val="lef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highlight w:val="none"/>
              </w:rPr>
            </w:pPr>
            <w:r>
              <w:rPr>
                <w:rFonts w:hint="eastAsia" w:ascii="宋体" w:hAnsi="宋体" w:cs="宋体"/>
                <w:color w:val="auto"/>
                <w:kern w:val="0"/>
                <w:sz w:val="21"/>
                <w:szCs w:val="21"/>
                <w:highlight w:val="none"/>
              </w:rPr>
              <w:t>商务部分(10%)</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10分</w:t>
            </w:r>
          </w:p>
        </w:tc>
        <w:tc>
          <w:tcPr>
            <w:tcW w:w="47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投标人202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年1月1日至今承接过类似勘察</w:t>
            </w:r>
            <w:r>
              <w:rPr>
                <w:rFonts w:hint="eastAsia" w:ascii="宋体" w:hAnsi="宋体" w:cs="宋体"/>
                <w:color w:val="auto"/>
                <w:kern w:val="0"/>
                <w:sz w:val="21"/>
                <w:szCs w:val="21"/>
                <w:highlight w:val="none"/>
                <w:lang w:eastAsia="zh-CN"/>
              </w:rPr>
              <w:t>或测绘</w:t>
            </w:r>
            <w:r>
              <w:rPr>
                <w:rFonts w:hint="eastAsia" w:ascii="宋体" w:hAnsi="宋体" w:cs="宋体"/>
                <w:color w:val="auto"/>
                <w:kern w:val="0"/>
                <w:sz w:val="21"/>
                <w:szCs w:val="21"/>
                <w:highlight w:val="none"/>
              </w:rPr>
              <w:t>的业绩，1个得5分，最多得10分。</w:t>
            </w:r>
          </w:p>
        </w:tc>
        <w:tc>
          <w:tcPr>
            <w:tcW w:w="23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提供合同复印件加盖单位鲜章。</w:t>
            </w:r>
          </w:p>
        </w:tc>
      </w:tr>
    </w:tbl>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特别提示：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须对上述提供资料的真实性负责；采购人将进一步核查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文件中提供的材料，严禁提供任何虚假材料。若在评标期间发现供应商提供了虚假材料，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的投标文件将作</w:t>
      </w:r>
      <w:r>
        <w:rPr>
          <w:rFonts w:hint="eastAsia" w:ascii="宋体" w:hAnsi="宋体" w:cs="宋体"/>
          <w:color w:val="auto"/>
          <w:sz w:val="24"/>
          <w:szCs w:val="24"/>
          <w:highlight w:val="none"/>
          <w:lang w:eastAsia="zh-CN"/>
        </w:rPr>
        <w:t>无效投标处理并取消其中标资格</w:t>
      </w:r>
      <w:r>
        <w:rPr>
          <w:rFonts w:hint="eastAsia" w:ascii="宋体" w:hAnsi="宋体" w:cs="宋体"/>
          <w:color w:val="auto"/>
          <w:sz w:val="24"/>
          <w:szCs w:val="24"/>
          <w:highlight w:val="none"/>
        </w:rPr>
        <w:t>。</w:t>
      </w:r>
    </w:p>
    <w:p>
      <w:pPr>
        <w:spacing w:line="360" w:lineRule="auto"/>
        <w:ind w:firstLine="281" w:firstLineChars="100"/>
        <w:outlineLvl w:val="1"/>
        <w:rPr>
          <w:rFonts w:ascii="宋体" w:hAnsi="宋体" w:cs="宋体"/>
          <w:b/>
          <w:bCs/>
          <w:color w:val="auto"/>
          <w:szCs w:val="28"/>
          <w:highlight w:val="none"/>
        </w:rPr>
      </w:pPr>
      <w:bookmarkStart w:id="88" w:name="_Toc100424186"/>
      <w:bookmarkStart w:id="89" w:name="_Toc26022"/>
      <w:r>
        <w:rPr>
          <w:rFonts w:hint="eastAsia" w:ascii="宋体" w:hAnsi="宋体" w:cs="宋体"/>
          <w:b/>
          <w:bCs/>
          <w:color w:val="auto"/>
          <w:szCs w:val="28"/>
          <w:highlight w:val="none"/>
        </w:rPr>
        <w:t>三、无效响应</w:t>
      </w:r>
      <w:bookmarkEnd w:id="88"/>
      <w:bookmarkEnd w:id="89"/>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（一）供应商不符合规定的基本资格条件、特定资格条件、符合性审查的；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（二）供应商所提交的响应文件不按第六篇“响应文件编制要求”规定签字、盖章；</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（三）供应商的最后报价超过采购预算的；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（四）法定代表人为同一个人的两个及两个以上法人，母公司、全资子公司及其控股公司，在同一分包采购中同时参与比选；</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（六）供应商的交货期、报价要求及比选有效期不满足比选文件要求的；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（七）供应商响应文件内容有与国家现行法律法规相违背的内容，或附有采购人无法接受的条件。</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（八）供应商被列入失信被执行人、重大税收违法案件当事人名单、政府采购严重违法失信行为记录名单及其他不符合《中华人民共和国政府采购法》第二十二条规定条件的。</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pPr>
        <w:spacing w:line="360" w:lineRule="auto"/>
        <w:ind w:firstLine="281" w:firstLineChars="100"/>
        <w:outlineLvl w:val="1"/>
        <w:rPr>
          <w:rFonts w:ascii="宋体" w:hAnsi="宋体" w:cs="宋体"/>
          <w:b/>
          <w:bCs/>
          <w:color w:val="auto"/>
          <w:szCs w:val="28"/>
          <w:highlight w:val="none"/>
        </w:rPr>
      </w:pPr>
      <w:bookmarkStart w:id="90" w:name="_Toc3664"/>
      <w:r>
        <w:rPr>
          <w:rFonts w:hint="eastAsia" w:ascii="宋体" w:hAnsi="宋体" w:cs="宋体"/>
          <w:b/>
          <w:bCs/>
          <w:color w:val="auto"/>
          <w:szCs w:val="28"/>
          <w:highlight w:val="none"/>
        </w:rPr>
        <w:t>四、采购终止</w:t>
      </w:r>
      <w:bookmarkEnd w:id="90"/>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pPr>
        <w:snapToGrid w:val="0"/>
        <w:spacing w:line="360" w:lineRule="auto"/>
        <w:ind w:firstLine="480" w:firstLineChars="200"/>
        <w:rPr>
          <w:rFonts w:ascii="宋体" w:hAnsi="宋体" w:cs="宋体"/>
          <w:b/>
          <w:color w:val="auto"/>
          <w:sz w:val="32"/>
          <w:szCs w:val="15"/>
          <w:highlight w:val="none"/>
        </w:rPr>
        <w:sectPr>
          <w:pgSz w:w="11906" w:h="16838"/>
          <w:pgMar w:top="1417" w:right="1134" w:bottom="1417" w:left="1134" w:header="851" w:footer="992" w:gutter="0"/>
          <w:pgNumType w:fmt="decimal"/>
          <w:cols w:space="425" w:num="1"/>
          <w:rtlGutter w:val="0"/>
          <w:docGrid w:type="lines" w:linePitch="312" w:charSpace="0"/>
        </w:sectPr>
      </w:pPr>
      <w:r>
        <w:rPr>
          <w:rFonts w:hint="eastAsia" w:ascii="宋体" w:hAnsi="宋体" w:cs="宋体"/>
          <w:color w:val="auto"/>
          <w:sz w:val="24"/>
          <w:szCs w:val="24"/>
          <w:highlight w:val="none"/>
        </w:rPr>
        <w:t>（三）在采购过程中符合要求的供应商或者报价未超过采购预算的供应商不足3家的以废标处置。</w:t>
      </w:r>
    </w:p>
    <w:p>
      <w:pPr>
        <w:pStyle w:val="2"/>
        <w:spacing w:line="360" w:lineRule="auto"/>
        <w:jc w:val="center"/>
        <w:rPr>
          <w:rFonts w:ascii="宋体" w:hAnsi="宋体" w:cs="宋体"/>
          <w:color w:val="auto"/>
          <w:sz w:val="32"/>
          <w:szCs w:val="15"/>
          <w:highlight w:val="none"/>
        </w:rPr>
      </w:pPr>
      <w:bookmarkStart w:id="91" w:name="_Toc6497"/>
      <w:bookmarkStart w:id="92" w:name="_Toc15371840"/>
      <w:bookmarkStart w:id="93" w:name="_Toc31707"/>
      <w:r>
        <w:rPr>
          <w:rFonts w:hint="eastAsia" w:ascii="宋体" w:hAnsi="宋体" w:cs="宋体"/>
          <w:color w:val="auto"/>
          <w:sz w:val="32"/>
          <w:szCs w:val="15"/>
          <w:highlight w:val="none"/>
        </w:rPr>
        <w:t>第六篇 采购合同</w:t>
      </w:r>
      <w:bookmarkEnd w:id="91"/>
      <w:bookmarkEnd w:id="92"/>
      <w:bookmarkEnd w:id="93"/>
    </w:p>
    <w:p>
      <w:pPr>
        <w:pStyle w:val="3"/>
        <w:spacing w:line="360" w:lineRule="auto"/>
        <w:jc w:val="center"/>
        <w:rPr>
          <w:rFonts w:hint="eastAsia" w:ascii="宋体" w:hAnsi="宋体" w:eastAsia="宋体" w:cs="宋体"/>
          <w:bCs w:val="0"/>
          <w:sz w:val="24"/>
          <w:szCs w:val="24"/>
          <w:highlight w:val="none"/>
        </w:rPr>
      </w:pPr>
      <w:r>
        <w:rPr>
          <w:rFonts w:hint="eastAsia" w:cs="宋体"/>
          <w:sz w:val="24"/>
          <w:szCs w:val="24"/>
        </w:rPr>
        <w:t>（成交后由供需双方根据项目需求签订，但不得违背比选文件内容）</w:t>
      </w: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spacing w:line="360" w:lineRule="auto"/>
        <w:rPr>
          <w:rFonts w:ascii="宋体" w:hAnsi="宋体" w:cs="宋体"/>
          <w:b/>
          <w:color w:val="auto"/>
          <w:sz w:val="32"/>
          <w:szCs w:val="15"/>
          <w:highlight w:val="none"/>
        </w:rPr>
      </w:pPr>
    </w:p>
    <w:p>
      <w:pPr>
        <w:pStyle w:val="2"/>
        <w:spacing w:line="360" w:lineRule="auto"/>
        <w:ind w:firstLine="2209" w:firstLineChars="500"/>
        <w:jc w:val="both"/>
        <w:rPr>
          <w:rFonts w:ascii="宋体" w:hAnsi="宋体" w:cs="宋体"/>
          <w:color w:val="auto"/>
          <w:sz w:val="32"/>
          <w:szCs w:val="15"/>
          <w:highlight w:val="none"/>
        </w:rPr>
      </w:pPr>
      <w:bookmarkStart w:id="94" w:name="_Toc1779"/>
      <w:r>
        <w:rPr>
          <w:rFonts w:hint="eastAsia" w:ascii="宋体" w:hAnsi="宋体" w:cs="宋体"/>
          <w:bCs/>
          <w:color w:val="auto"/>
          <w:sz w:val="44"/>
          <w:szCs w:val="44"/>
          <w:highlight w:val="none"/>
          <w:lang w:val="en-US" w:eastAsia="zh-CN"/>
        </w:rPr>
        <w:t xml:space="preserve"> </w:t>
      </w:r>
      <w:r>
        <w:rPr>
          <w:rFonts w:hint="eastAsia" w:ascii="宋体" w:hAnsi="宋体" w:cs="宋体"/>
          <w:color w:val="auto"/>
          <w:sz w:val="32"/>
          <w:szCs w:val="15"/>
          <w:highlight w:val="none"/>
        </w:rPr>
        <w:t>第七篇 响应文件格式</w:t>
      </w:r>
      <w:bookmarkEnd w:id="94"/>
    </w:p>
    <w:p>
      <w:pPr>
        <w:spacing w:line="360" w:lineRule="auto"/>
        <w:rPr>
          <w:rFonts w:ascii="宋体" w:hAnsi="宋体" w:cs="宋体"/>
          <w:color w:val="auto"/>
          <w:highlight w:val="none"/>
        </w:rPr>
      </w:pPr>
    </w:p>
    <w:p>
      <w:pPr>
        <w:spacing w:line="360" w:lineRule="auto"/>
        <w:rPr>
          <w:rFonts w:ascii="宋体" w:hAnsi="宋体" w:cs="宋体"/>
          <w:color w:val="auto"/>
          <w:highlight w:val="none"/>
        </w:rPr>
        <w:sectPr>
          <w:footerReference r:id="rId6" w:type="default"/>
          <w:pgSz w:w="11906" w:h="16838"/>
          <w:pgMar w:top="1417" w:right="1134" w:bottom="1417" w:left="1134" w:header="851" w:footer="992" w:gutter="0"/>
          <w:pgNumType w:fmt="decimal"/>
          <w:cols w:space="425" w:num="1"/>
          <w:rtlGutter w:val="0"/>
          <w:docGrid w:type="lines" w:linePitch="312" w:charSpace="0"/>
        </w:sectPr>
      </w:pPr>
    </w:p>
    <w:p>
      <w:pPr>
        <w:tabs>
          <w:tab w:val="left" w:pos="5955"/>
        </w:tabs>
        <w:autoSpaceDE w:val="0"/>
        <w:autoSpaceDN w:val="0"/>
        <w:adjustRightInd w:val="0"/>
        <w:snapToGrid w:val="0"/>
        <w:spacing w:line="360" w:lineRule="auto"/>
        <w:ind w:firstLine="664" w:firstLineChars="245"/>
        <w:jc w:val="left"/>
        <w:rPr>
          <w:rFonts w:ascii="宋体" w:hAnsi="宋体" w:cs="宋体"/>
          <w:b/>
          <w:color w:val="auto"/>
          <w:kern w:val="0"/>
          <w:sz w:val="27"/>
          <w:szCs w:val="27"/>
          <w:highlight w:val="none"/>
        </w:rPr>
      </w:pPr>
      <w:r>
        <w:rPr>
          <w:rFonts w:hint="eastAsia" w:ascii="宋体" w:hAnsi="宋体" w:cs="宋体"/>
          <w:b/>
          <w:color w:val="auto"/>
          <w:kern w:val="0"/>
          <w:sz w:val="27"/>
          <w:szCs w:val="27"/>
          <w:highlight w:val="none"/>
          <w:u w:val="single"/>
        </w:rPr>
        <w:tab/>
      </w:r>
      <w:r>
        <w:rPr>
          <w:rFonts w:hint="eastAsia" w:ascii="宋体" w:hAnsi="宋体" w:cs="宋体"/>
          <w:b/>
          <w:color w:val="auto"/>
          <w:kern w:val="0"/>
          <w:sz w:val="27"/>
          <w:szCs w:val="27"/>
          <w:highlight w:val="none"/>
          <w:u w:val="single"/>
        </w:rPr>
        <w:t xml:space="preserve">               </w:t>
      </w:r>
      <w:r>
        <w:rPr>
          <w:rFonts w:hint="eastAsia" w:ascii="宋体" w:hAnsi="宋体" w:cs="宋体"/>
          <w:b/>
          <w:color w:val="auto"/>
          <w:w w:val="99"/>
          <w:kern w:val="0"/>
          <w:sz w:val="27"/>
          <w:szCs w:val="27"/>
          <w:highlight w:val="none"/>
        </w:rPr>
        <w:t>（项目名称</w:t>
      </w:r>
      <w:r>
        <w:rPr>
          <w:rFonts w:hint="eastAsia" w:ascii="宋体" w:hAnsi="宋体" w:cs="宋体"/>
          <w:b/>
          <w:color w:val="auto"/>
          <w:spacing w:val="1"/>
          <w:w w:val="99"/>
          <w:kern w:val="0"/>
          <w:sz w:val="27"/>
          <w:szCs w:val="27"/>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2"/>
          <w:szCs w:val="42"/>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2"/>
          <w:szCs w:val="42"/>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2"/>
          <w:szCs w:val="42"/>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2"/>
          <w:szCs w:val="42"/>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2"/>
          <w:szCs w:val="42"/>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color w:val="auto"/>
          <w:kern w:val="0"/>
          <w:sz w:val="81"/>
          <w:szCs w:val="81"/>
          <w:highlight w:val="none"/>
        </w:rPr>
      </w:pPr>
      <w:r>
        <w:rPr>
          <w:rFonts w:hint="eastAsia" w:ascii="宋体" w:hAnsi="宋体" w:cs="宋体"/>
          <w:b/>
          <w:color w:val="auto"/>
          <w:kern w:val="0"/>
          <w:sz w:val="81"/>
          <w:szCs w:val="81"/>
          <w:highlight w:val="none"/>
        </w:rPr>
        <w:t>响  应  文  件</w:t>
      </w:r>
    </w:p>
    <w:p>
      <w:pPr>
        <w:autoSpaceDE w:val="0"/>
        <w:autoSpaceDN w:val="0"/>
        <w:adjustRightInd w:val="0"/>
        <w:snapToGrid w:val="0"/>
        <w:spacing w:line="360" w:lineRule="auto"/>
        <w:jc w:val="left"/>
        <w:rPr>
          <w:rFonts w:ascii="宋体" w:hAnsi="宋体" w:cs="宋体"/>
          <w:color w:val="auto"/>
          <w:kern w:val="0"/>
          <w:sz w:val="15"/>
          <w:szCs w:val="15"/>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autoSpaceDE w:val="0"/>
        <w:autoSpaceDN w:val="0"/>
        <w:adjustRightInd w:val="0"/>
        <w:snapToGrid w:val="0"/>
        <w:spacing w:line="360" w:lineRule="auto"/>
        <w:jc w:val="left"/>
        <w:rPr>
          <w:rFonts w:ascii="宋体" w:hAnsi="宋体" w:cs="宋体"/>
          <w:b/>
          <w:color w:val="auto"/>
          <w:kern w:val="0"/>
          <w:sz w:val="19"/>
          <w:szCs w:val="19"/>
          <w:highlight w:val="none"/>
        </w:rPr>
      </w:pPr>
    </w:p>
    <w:p>
      <w:pPr>
        <w:tabs>
          <w:tab w:val="left" w:pos="6080"/>
          <w:tab w:val="left" w:pos="6640"/>
        </w:tabs>
        <w:autoSpaceDE w:val="0"/>
        <w:autoSpaceDN w:val="0"/>
        <w:adjustRightInd w:val="0"/>
        <w:snapToGrid w:val="0"/>
        <w:spacing w:line="360" w:lineRule="auto"/>
        <w:jc w:val="center"/>
        <w:rPr>
          <w:rFonts w:ascii="宋体" w:hAnsi="宋体" w:cs="宋体"/>
          <w:b/>
          <w:color w:val="auto"/>
          <w:w w:val="99"/>
          <w:kern w:val="0"/>
          <w:sz w:val="27"/>
          <w:szCs w:val="27"/>
          <w:highlight w:val="none"/>
        </w:rPr>
      </w:pPr>
      <w:r>
        <w:rPr>
          <w:rFonts w:hint="eastAsia" w:ascii="宋体" w:hAnsi="宋体" w:cs="宋体"/>
          <w:b/>
          <w:color w:val="auto"/>
          <w:w w:val="99"/>
          <w:kern w:val="0"/>
          <w:sz w:val="27"/>
          <w:szCs w:val="27"/>
          <w:highlight w:val="none"/>
        </w:rPr>
        <w:t>供应商</w:t>
      </w:r>
      <w:r>
        <w:rPr>
          <w:rFonts w:hint="eastAsia" w:ascii="宋体" w:hAnsi="宋体" w:cs="宋体"/>
          <w:b/>
          <w:color w:val="auto"/>
          <w:spacing w:val="1"/>
          <w:w w:val="99"/>
          <w:kern w:val="0"/>
          <w:sz w:val="27"/>
          <w:szCs w:val="27"/>
          <w:highlight w:val="none"/>
        </w:rPr>
        <w:t>：</w:t>
      </w:r>
      <w:r>
        <w:rPr>
          <w:rFonts w:hint="eastAsia" w:ascii="宋体" w:hAnsi="宋体" w:cs="宋体"/>
          <w:b/>
          <w:color w:val="auto"/>
          <w:w w:val="198"/>
          <w:kern w:val="0"/>
          <w:sz w:val="27"/>
          <w:szCs w:val="27"/>
          <w:highlight w:val="none"/>
          <w:u w:val="single"/>
        </w:rPr>
        <w:t>　　　　 　　</w:t>
      </w:r>
      <w:r>
        <w:rPr>
          <w:rFonts w:hint="eastAsia" w:ascii="宋体" w:hAnsi="宋体" w:cs="宋体"/>
          <w:b/>
          <w:color w:val="auto"/>
          <w:w w:val="99"/>
          <w:kern w:val="0"/>
          <w:sz w:val="27"/>
          <w:szCs w:val="27"/>
          <w:highlight w:val="none"/>
        </w:rPr>
        <w:t>（盖单位公章）</w:t>
      </w:r>
    </w:p>
    <w:p>
      <w:pPr>
        <w:tabs>
          <w:tab w:val="left" w:pos="6080"/>
          <w:tab w:val="left" w:pos="6640"/>
        </w:tabs>
        <w:autoSpaceDE w:val="0"/>
        <w:autoSpaceDN w:val="0"/>
        <w:adjustRightInd w:val="0"/>
        <w:snapToGrid w:val="0"/>
        <w:spacing w:line="360" w:lineRule="auto"/>
        <w:jc w:val="center"/>
        <w:rPr>
          <w:rFonts w:ascii="宋体" w:hAnsi="宋体" w:cs="宋体"/>
          <w:b/>
          <w:color w:val="auto"/>
          <w:kern w:val="0"/>
          <w:sz w:val="27"/>
          <w:szCs w:val="27"/>
          <w:highlight w:val="none"/>
        </w:rPr>
      </w:pPr>
      <w:r>
        <w:rPr>
          <w:rFonts w:hint="eastAsia" w:ascii="宋体" w:hAnsi="宋体" w:cs="宋体"/>
          <w:b/>
          <w:color w:val="auto"/>
          <w:w w:val="99"/>
          <w:kern w:val="0"/>
          <w:sz w:val="27"/>
          <w:szCs w:val="27"/>
          <w:highlight w:val="none"/>
        </w:rPr>
        <w:t>法定代表人或其委托代理人：</w:t>
      </w:r>
      <w:r>
        <w:rPr>
          <w:rFonts w:hint="eastAsia" w:ascii="宋体" w:hAnsi="宋体" w:cs="宋体"/>
          <w:b/>
          <w:color w:val="auto"/>
          <w:w w:val="198"/>
          <w:kern w:val="0"/>
          <w:sz w:val="27"/>
          <w:szCs w:val="27"/>
          <w:highlight w:val="none"/>
          <w:u w:val="single"/>
        </w:rPr>
        <w:t>　　 　</w:t>
      </w:r>
      <w:r>
        <w:rPr>
          <w:rFonts w:hint="eastAsia" w:ascii="宋体" w:hAnsi="宋体" w:cs="宋体"/>
          <w:b/>
          <w:color w:val="auto"/>
          <w:w w:val="99"/>
          <w:kern w:val="0"/>
          <w:sz w:val="27"/>
          <w:szCs w:val="27"/>
          <w:highlight w:val="none"/>
        </w:rPr>
        <w:t>（签字）</w:t>
      </w:r>
    </w:p>
    <w:p>
      <w:pPr>
        <w:tabs>
          <w:tab w:val="left" w:pos="3280"/>
          <w:tab w:val="left" w:pos="4680"/>
          <w:tab w:val="left" w:pos="6080"/>
        </w:tabs>
        <w:autoSpaceDE w:val="0"/>
        <w:autoSpaceDN w:val="0"/>
        <w:adjustRightInd w:val="0"/>
        <w:snapToGrid w:val="0"/>
        <w:spacing w:line="360" w:lineRule="auto"/>
        <w:jc w:val="center"/>
        <w:rPr>
          <w:rFonts w:ascii="宋体" w:hAnsi="宋体" w:cs="宋体"/>
          <w:b/>
          <w:color w:val="auto"/>
          <w:kern w:val="0"/>
          <w:sz w:val="27"/>
          <w:szCs w:val="27"/>
          <w:highlight w:val="none"/>
        </w:rPr>
      </w:pPr>
      <w:r>
        <w:rPr>
          <w:rFonts w:hint="eastAsia" w:ascii="宋体" w:hAnsi="宋体" w:cs="宋体"/>
          <w:b/>
          <w:color w:val="auto"/>
          <w:w w:val="99"/>
          <w:kern w:val="0"/>
          <w:sz w:val="27"/>
          <w:szCs w:val="27"/>
          <w:highlight w:val="none"/>
        </w:rPr>
        <w:t xml:space="preserve">     年   月   日</w:t>
      </w:r>
    </w:p>
    <w:p>
      <w:pPr>
        <w:autoSpaceDE w:val="0"/>
        <w:autoSpaceDN w:val="0"/>
        <w:adjustRightInd w:val="0"/>
        <w:snapToGrid w:val="0"/>
        <w:spacing w:line="360" w:lineRule="auto"/>
        <w:jc w:val="left"/>
        <w:rPr>
          <w:rFonts w:ascii="宋体" w:hAnsi="宋体" w:cs="宋体"/>
          <w:color w:val="auto"/>
          <w:kern w:val="0"/>
          <w:sz w:val="23"/>
          <w:szCs w:val="23"/>
          <w:highlight w:val="none"/>
        </w:rPr>
      </w:pPr>
    </w:p>
    <w:p>
      <w:pPr>
        <w:autoSpaceDE w:val="0"/>
        <w:autoSpaceDN w:val="0"/>
        <w:adjustRightInd w:val="0"/>
        <w:snapToGrid w:val="0"/>
        <w:spacing w:line="360" w:lineRule="auto"/>
        <w:jc w:val="center"/>
        <w:rPr>
          <w:rFonts w:ascii="宋体" w:hAnsi="宋体" w:cs="宋体"/>
          <w:b/>
          <w:color w:val="auto"/>
          <w:kern w:val="0"/>
          <w:sz w:val="32"/>
          <w:szCs w:val="32"/>
          <w:highlight w:val="none"/>
        </w:rPr>
      </w:pPr>
    </w:p>
    <w:p>
      <w:pPr>
        <w:autoSpaceDE w:val="0"/>
        <w:autoSpaceDN w:val="0"/>
        <w:adjustRightInd w:val="0"/>
        <w:snapToGrid w:val="0"/>
        <w:spacing w:line="360" w:lineRule="auto"/>
        <w:rPr>
          <w:rFonts w:ascii="宋体" w:hAnsi="宋体" w:cs="宋体"/>
          <w:b/>
          <w:color w:val="auto"/>
          <w:kern w:val="0"/>
          <w:sz w:val="32"/>
          <w:szCs w:val="32"/>
          <w:highlight w:val="none"/>
        </w:rPr>
      </w:pPr>
    </w:p>
    <w:p>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     录</w:t>
      </w:r>
    </w:p>
    <w:p>
      <w:pPr>
        <w:spacing w:line="360" w:lineRule="auto"/>
        <w:rPr>
          <w:rFonts w:ascii="宋体" w:hAnsi="宋体" w:cs="宋体"/>
          <w:b/>
          <w:bCs/>
          <w:color w:val="auto"/>
          <w:highlight w:val="none"/>
        </w:rPr>
      </w:pPr>
    </w:p>
    <w:p>
      <w:pPr>
        <w:spacing w:line="360" w:lineRule="auto"/>
        <w:rPr>
          <w:rFonts w:ascii="宋体" w:hAnsi="宋体" w:cs="宋体"/>
          <w:b/>
          <w:bCs/>
          <w:color w:val="auto"/>
          <w:highlight w:val="none"/>
        </w:rPr>
      </w:pPr>
      <w:r>
        <w:rPr>
          <w:rFonts w:hint="eastAsia" w:ascii="宋体" w:hAnsi="宋体" w:cs="宋体"/>
          <w:b/>
          <w:bCs/>
          <w:color w:val="auto"/>
          <w:highlight w:val="none"/>
        </w:rPr>
        <w:t>一、报价函</w:t>
      </w:r>
    </w:p>
    <w:p>
      <w:pPr>
        <w:spacing w:line="360" w:lineRule="auto"/>
        <w:rPr>
          <w:rFonts w:ascii="宋体" w:hAnsi="宋体" w:cs="宋体"/>
          <w:b/>
          <w:bCs/>
          <w:color w:val="auto"/>
          <w:highlight w:val="none"/>
        </w:rPr>
      </w:pPr>
      <w:r>
        <w:rPr>
          <w:rFonts w:hint="eastAsia" w:ascii="宋体" w:hAnsi="宋体" w:cs="宋体"/>
          <w:b/>
          <w:bCs/>
          <w:color w:val="auto"/>
          <w:highlight w:val="none"/>
        </w:rPr>
        <w:t>二、服务部分</w:t>
      </w:r>
    </w:p>
    <w:p>
      <w:pPr>
        <w:spacing w:line="360" w:lineRule="auto"/>
        <w:rPr>
          <w:rFonts w:ascii="宋体" w:hAnsi="宋体" w:cs="宋体"/>
          <w:color w:val="auto"/>
          <w:highlight w:val="none"/>
        </w:rPr>
      </w:pPr>
      <w:r>
        <w:rPr>
          <w:rFonts w:hint="eastAsia" w:ascii="宋体" w:hAnsi="宋体" w:cs="宋体"/>
          <w:color w:val="auto"/>
          <w:highlight w:val="none"/>
        </w:rPr>
        <w:t>（一）服务方案</w:t>
      </w:r>
    </w:p>
    <w:p>
      <w:pPr>
        <w:spacing w:line="360" w:lineRule="auto"/>
        <w:rPr>
          <w:rFonts w:ascii="宋体" w:hAnsi="宋体" w:cs="宋体"/>
          <w:color w:val="auto"/>
          <w:highlight w:val="none"/>
        </w:rPr>
      </w:pPr>
      <w:r>
        <w:rPr>
          <w:rFonts w:hint="eastAsia" w:ascii="宋体" w:hAnsi="宋体" w:cs="宋体"/>
          <w:color w:val="auto"/>
          <w:highlight w:val="none"/>
        </w:rPr>
        <w:t>（二）项目服务需求差异表</w:t>
      </w:r>
    </w:p>
    <w:p>
      <w:pPr>
        <w:spacing w:line="360" w:lineRule="auto"/>
        <w:rPr>
          <w:rFonts w:ascii="宋体" w:hAnsi="宋体" w:cs="宋体"/>
          <w:b/>
          <w:bCs/>
          <w:color w:val="auto"/>
          <w:highlight w:val="none"/>
        </w:rPr>
      </w:pPr>
      <w:r>
        <w:rPr>
          <w:rFonts w:hint="eastAsia" w:ascii="宋体" w:hAnsi="宋体" w:cs="宋体"/>
          <w:b/>
          <w:bCs/>
          <w:color w:val="auto"/>
          <w:highlight w:val="none"/>
        </w:rPr>
        <w:t>三、商务部分</w:t>
      </w:r>
    </w:p>
    <w:p>
      <w:pPr>
        <w:spacing w:line="360" w:lineRule="auto"/>
        <w:rPr>
          <w:rFonts w:ascii="宋体" w:hAnsi="宋体" w:cs="宋体"/>
          <w:color w:val="auto"/>
          <w:highlight w:val="none"/>
        </w:rPr>
      </w:pPr>
      <w:r>
        <w:rPr>
          <w:rFonts w:hint="eastAsia" w:ascii="宋体" w:hAnsi="宋体" w:cs="宋体"/>
          <w:color w:val="auto"/>
          <w:highlight w:val="none"/>
        </w:rPr>
        <w:t>（一）项目商务需求差异表</w:t>
      </w:r>
    </w:p>
    <w:p>
      <w:pPr>
        <w:spacing w:line="360" w:lineRule="auto"/>
        <w:rPr>
          <w:rFonts w:ascii="宋体" w:hAnsi="宋体" w:cs="宋体"/>
          <w:color w:val="auto"/>
          <w:highlight w:val="none"/>
        </w:rPr>
      </w:pPr>
      <w:r>
        <w:rPr>
          <w:rFonts w:hint="eastAsia" w:ascii="宋体" w:hAnsi="宋体" w:cs="宋体"/>
          <w:color w:val="auto"/>
          <w:highlight w:val="none"/>
        </w:rPr>
        <w:t>（二）其他与项目有关的资料（自附）</w:t>
      </w:r>
    </w:p>
    <w:p>
      <w:pPr>
        <w:spacing w:line="360" w:lineRule="auto"/>
        <w:rPr>
          <w:rFonts w:ascii="宋体" w:hAnsi="宋体" w:cs="宋体"/>
          <w:b/>
          <w:bCs/>
          <w:color w:val="auto"/>
          <w:highlight w:val="none"/>
        </w:rPr>
      </w:pPr>
      <w:r>
        <w:rPr>
          <w:rFonts w:hint="eastAsia" w:ascii="宋体" w:hAnsi="宋体" w:cs="宋体"/>
          <w:b/>
          <w:bCs/>
          <w:color w:val="auto"/>
          <w:highlight w:val="none"/>
        </w:rPr>
        <w:t>四、资格条件及其他</w:t>
      </w:r>
    </w:p>
    <w:p>
      <w:pPr>
        <w:spacing w:line="360" w:lineRule="auto"/>
        <w:rPr>
          <w:rFonts w:ascii="宋体" w:hAnsi="宋体" w:cs="宋体"/>
          <w:color w:val="auto"/>
          <w:highlight w:val="none"/>
        </w:rPr>
      </w:pPr>
      <w:r>
        <w:rPr>
          <w:rFonts w:hint="eastAsia" w:ascii="宋体" w:hAnsi="宋体" w:cs="宋体"/>
          <w:color w:val="auto"/>
          <w:highlight w:val="none"/>
        </w:rPr>
        <w:t>（一）法人营业执照（副本）或事业单位法人证书（副本）或个体工商户营业执照或有效的自然人身份证明或社会团体法人登记证书复印件</w:t>
      </w:r>
    </w:p>
    <w:p>
      <w:pPr>
        <w:spacing w:line="360" w:lineRule="auto"/>
        <w:rPr>
          <w:rFonts w:ascii="宋体" w:hAnsi="宋体" w:cs="宋体"/>
          <w:color w:val="auto"/>
          <w:highlight w:val="none"/>
        </w:rPr>
      </w:pPr>
      <w:r>
        <w:rPr>
          <w:rFonts w:hint="eastAsia" w:ascii="宋体" w:hAnsi="宋体" w:cs="宋体"/>
          <w:color w:val="auto"/>
          <w:highlight w:val="none"/>
        </w:rPr>
        <w:t>（二）法定代表人身份证明书（格式）</w:t>
      </w:r>
    </w:p>
    <w:p>
      <w:pPr>
        <w:spacing w:line="360" w:lineRule="auto"/>
        <w:rPr>
          <w:rFonts w:ascii="宋体" w:hAnsi="宋体" w:cs="宋体"/>
          <w:color w:val="auto"/>
          <w:highlight w:val="none"/>
        </w:rPr>
      </w:pPr>
      <w:r>
        <w:rPr>
          <w:rFonts w:hint="eastAsia" w:ascii="宋体" w:hAnsi="宋体" w:cs="宋体"/>
          <w:color w:val="auto"/>
          <w:highlight w:val="none"/>
        </w:rPr>
        <w:t>（三）法定代表人授权委托书（格式）</w:t>
      </w:r>
    </w:p>
    <w:p>
      <w:pPr>
        <w:spacing w:line="360" w:lineRule="auto"/>
        <w:rPr>
          <w:rFonts w:ascii="宋体" w:hAnsi="宋体" w:cs="宋体"/>
          <w:color w:val="auto"/>
          <w:highlight w:val="none"/>
        </w:rPr>
      </w:pPr>
      <w:r>
        <w:rPr>
          <w:rFonts w:hint="eastAsia" w:ascii="宋体" w:hAnsi="宋体" w:cs="宋体"/>
          <w:color w:val="auto"/>
          <w:highlight w:val="none"/>
        </w:rPr>
        <w:t>（四）基本资格条件承诺函（格式）。</w:t>
      </w:r>
    </w:p>
    <w:p>
      <w:pPr>
        <w:spacing w:line="360" w:lineRule="auto"/>
        <w:rPr>
          <w:rFonts w:ascii="宋体" w:hAnsi="宋体" w:cs="宋体"/>
          <w:color w:val="auto"/>
          <w:highlight w:val="none"/>
        </w:rPr>
      </w:pPr>
      <w:r>
        <w:rPr>
          <w:rFonts w:hint="eastAsia" w:ascii="宋体" w:hAnsi="宋体" w:cs="宋体"/>
          <w:color w:val="auto"/>
          <w:highlight w:val="none"/>
        </w:rPr>
        <w:t>（五）特定资格条件证书或证明文件</w:t>
      </w:r>
    </w:p>
    <w:p>
      <w:pPr>
        <w:spacing w:line="360" w:lineRule="auto"/>
        <w:rPr>
          <w:rFonts w:ascii="宋体" w:hAnsi="宋体" w:cs="宋体"/>
          <w:color w:val="auto"/>
          <w:highlight w:val="none"/>
        </w:rPr>
      </w:pPr>
      <w:r>
        <w:rPr>
          <w:rFonts w:hint="eastAsia" w:ascii="宋体" w:hAnsi="宋体" w:cs="宋体"/>
          <w:b/>
          <w:bCs/>
          <w:color w:val="auto"/>
          <w:highlight w:val="none"/>
        </w:rPr>
        <w:t>五、其他应提供的资料</w:t>
      </w:r>
    </w:p>
    <w:p>
      <w:pPr>
        <w:spacing w:line="360" w:lineRule="auto"/>
        <w:rPr>
          <w:rFonts w:ascii="宋体" w:hAnsi="宋体" w:cs="宋体"/>
          <w:color w:val="auto"/>
          <w:highlight w:val="none"/>
        </w:rPr>
        <w:sectPr>
          <w:footerReference r:id="rId7" w:type="default"/>
          <w:pgSz w:w="11907" w:h="16840"/>
          <w:pgMar w:top="1417" w:right="1134" w:bottom="1417" w:left="1134" w:header="851" w:footer="850" w:gutter="0"/>
          <w:pgNumType w:fmt="decimal"/>
          <w:cols w:space="720" w:num="1"/>
          <w:rtlGutter w:val="0"/>
        </w:sectPr>
      </w:pPr>
      <w:r>
        <w:rPr>
          <w:rFonts w:hint="eastAsia" w:ascii="宋体" w:hAnsi="宋体" w:cs="宋体"/>
          <w:color w:val="auto"/>
          <w:highlight w:val="none"/>
        </w:rPr>
        <w:t>（一）其他与项目有关的资料（自附）</w:t>
      </w:r>
    </w:p>
    <w:p>
      <w:pPr>
        <w:snapToGrid w:val="0"/>
        <w:spacing w:line="360" w:lineRule="auto"/>
        <w:ind w:firstLine="562" w:firstLineChars="200"/>
        <w:outlineLvl w:val="1"/>
        <w:rPr>
          <w:rFonts w:ascii="宋体" w:hAnsi="宋体" w:cs="宋体"/>
          <w:b/>
          <w:bCs/>
          <w:color w:val="auto"/>
          <w:szCs w:val="28"/>
          <w:highlight w:val="none"/>
        </w:rPr>
      </w:pPr>
      <w:bookmarkStart w:id="95" w:name="_Toc30752"/>
      <w:bookmarkStart w:id="96" w:name="_Toc277082643"/>
      <w:bookmarkStart w:id="97" w:name="_Toc224103495"/>
      <w:bookmarkStart w:id="98" w:name="_Toc287607867"/>
      <w:bookmarkStart w:id="99" w:name="_Toc19531"/>
      <w:bookmarkStart w:id="100" w:name="_Toc386029715"/>
      <w:r>
        <w:rPr>
          <w:rFonts w:hint="eastAsia" w:ascii="宋体" w:hAnsi="宋体" w:cs="宋体"/>
          <w:b/>
          <w:bCs/>
          <w:color w:val="auto"/>
          <w:szCs w:val="28"/>
          <w:highlight w:val="none"/>
        </w:rPr>
        <w:t>一、报价函</w:t>
      </w:r>
      <w:bookmarkEnd w:id="95"/>
    </w:p>
    <w:p>
      <w:pPr>
        <w:snapToGrid w:val="0"/>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报价函</w:t>
      </w:r>
      <w:bookmarkEnd w:id="96"/>
      <w:bookmarkEnd w:id="97"/>
      <w:bookmarkEnd w:id="98"/>
      <w:bookmarkEnd w:id="99"/>
      <w:bookmarkEnd w:id="100"/>
    </w:p>
    <w:p>
      <w:pPr>
        <w:snapToGrid w:val="0"/>
        <w:spacing w:line="360" w:lineRule="auto"/>
        <w:ind w:firstLine="480" w:firstLineChars="200"/>
        <w:rPr>
          <w:rFonts w:ascii="宋体" w:hAnsi="宋体" w:cs="宋体"/>
          <w:color w:val="auto"/>
          <w:sz w:val="24"/>
          <w:szCs w:val="24"/>
          <w:highlight w:val="none"/>
        </w:rPr>
      </w:pPr>
    </w:p>
    <w:p>
      <w:pPr>
        <w:tabs>
          <w:tab w:val="left" w:pos="6300"/>
        </w:tabs>
        <w:snapToGrid w:val="0"/>
        <w:spacing w:line="360" w:lineRule="auto"/>
        <w:rPr>
          <w:rFonts w:ascii="宋体" w:hAnsi="宋体" w:cs="宋体"/>
          <w:color w:val="auto"/>
          <w:sz w:val="24"/>
          <w:szCs w:val="24"/>
          <w:highlight w:val="none"/>
        </w:rPr>
      </w:pPr>
      <w:bookmarkStart w:id="101" w:name="_Toc325910670"/>
      <w:bookmarkStart w:id="102" w:name="_Toc330980525"/>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eastAsia="zh-CN"/>
        </w:rPr>
        <w:t>人</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我方收到____________________________（项目名称）的竞争性比选文件，经详细研究，决定参加该项目的比选。</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1.愿意按照竞争性比选文件中的一切要求，提供本项目的技术服务，报价为人民币大写：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w:t>
      </w:r>
      <w:r>
        <w:rPr>
          <w:rFonts w:hint="eastAsia" w:ascii="宋体" w:hAnsi="宋体" w:cs="宋体"/>
          <w:color w:val="auto"/>
          <w:sz w:val="24"/>
          <w:szCs w:val="24"/>
          <w:highlight w:val="none"/>
          <w:lang w:eastAsia="zh-CN"/>
        </w:rPr>
        <w:t>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3.我方承诺：本次比选的有效期为提交响应文件截止时间起90天。</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4.我方完全理解和接受贵方竞争性比选文件的一切规定和要求及评审办法。</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5.在整个比选过程中，我方若有违规行为，接受按照《中华人民共和国政府采购法》和《竞争性比选文件》之规定给予惩罚。</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竞争性比选文件规定的采购代理服务费。</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pPr>
        <w:snapToGrid w:val="0"/>
        <w:spacing w:line="360" w:lineRule="auto"/>
        <w:ind w:firstLine="480" w:firstLineChars="200"/>
        <w:rPr>
          <w:rFonts w:ascii="宋体" w:hAnsi="宋体" w:cs="宋体"/>
          <w:color w:val="auto"/>
          <w:sz w:val="24"/>
          <w:szCs w:val="24"/>
          <w:highlight w:val="none"/>
        </w:rPr>
        <w:sectPr>
          <w:headerReference r:id="rId8" w:type="default"/>
          <w:footerReference r:id="rId9" w:type="default"/>
          <w:pgSz w:w="11907" w:h="16840"/>
          <w:pgMar w:top="1417" w:right="1134" w:bottom="1417" w:left="1134" w:header="851" w:footer="992" w:gutter="0"/>
          <w:pgNumType w:fmt="decimal"/>
          <w:cols w:space="720" w:num="1"/>
          <w:rtlGutter w:val="0"/>
          <w:docGrid w:linePitch="380" w:charSpace="-5735"/>
        </w:sectPr>
      </w:pPr>
      <w:r>
        <w:rPr>
          <w:rFonts w:hint="eastAsia" w:ascii="宋体" w:hAnsi="宋体" w:cs="宋体"/>
          <w:color w:val="auto"/>
          <w:sz w:val="24"/>
          <w:szCs w:val="24"/>
          <w:highlight w:val="none"/>
        </w:rPr>
        <w:t xml:space="preserve">                                                  年   月   日</w:t>
      </w:r>
    </w:p>
    <w:bookmarkEnd w:id="101"/>
    <w:bookmarkEnd w:id="102"/>
    <w:p>
      <w:pPr>
        <w:snapToGrid w:val="0"/>
        <w:spacing w:line="360" w:lineRule="auto"/>
        <w:outlineLvl w:val="1"/>
        <w:rPr>
          <w:rFonts w:ascii="宋体" w:hAnsi="宋体" w:cs="宋体"/>
          <w:b/>
          <w:color w:val="auto"/>
          <w:szCs w:val="22"/>
          <w:highlight w:val="none"/>
        </w:rPr>
      </w:pPr>
      <w:bookmarkStart w:id="103" w:name="_Toc1116"/>
      <w:r>
        <w:rPr>
          <w:rFonts w:hint="eastAsia" w:ascii="宋体" w:hAnsi="宋体" w:cs="宋体"/>
          <w:b/>
          <w:bCs/>
          <w:color w:val="auto"/>
          <w:szCs w:val="28"/>
          <w:highlight w:val="none"/>
        </w:rPr>
        <w:t>二、服务部分</w:t>
      </w:r>
      <w:bookmarkEnd w:id="103"/>
    </w:p>
    <w:p>
      <w:pPr>
        <w:snapToGrid w:val="0"/>
        <w:spacing w:line="360" w:lineRule="auto"/>
        <w:ind w:firstLine="480" w:firstLineChars="200"/>
        <w:rPr>
          <w:rFonts w:ascii="宋体" w:hAnsi="宋体" w:cs="宋体"/>
          <w:color w:val="auto"/>
          <w:sz w:val="24"/>
          <w:szCs w:val="24"/>
          <w:highlight w:val="none"/>
        </w:rPr>
      </w:pP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（一）服务方案</w:t>
      </w:r>
    </w:p>
    <w:p>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（格式自拟）</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（二）项目服务需求差异表</w:t>
      </w:r>
    </w:p>
    <w:p>
      <w:pPr>
        <w:spacing w:line="360" w:lineRule="auto"/>
        <w:jc w:val="center"/>
        <w:rPr>
          <w:rFonts w:ascii="宋体" w:hAnsi="宋体" w:cs="宋体"/>
          <w:color w:val="auto"/>
          <w:sz w:val="24"/>
          <w:szCs w:val="18"/>
          <w:highlight w:val="none"/>
        </w:rPr>
      </w:pPr>
      <w:r>
        <w:rPr>
          <w:rFonts w:hint="eastAsia" w:ascii="宋体" w:hAnsi="宋体" w:cs="宋体"/>
          <w:color w:val="auto"/>
          <w:sz w:val="24"/>
          <w:szCs w:val="18"/>
          <w:highlight w:val="none"/>
        </w:rPr>
        <w:t>项目服务需求差异表</w:t>
      </w:r>
    </w:p>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项目名称：</w:t>
      </w:r>
    </w:p>
    <w:tbl>
      <w:tblPr>
        <w:tblStyle w:val="2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950"/>
        <w:gridCol w:w="3349"/>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94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95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采购需求</w:t>
            </w:r>
          </w:p>
        </w:tc>
        <w:tc>
          <w:tcPr>
            <w:tcW w:w="334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相应情况</w:t>
            </w:r>
          </w:p>
        </w:tc>
        <w:tc>
          <w:tcPr>
            <w:tcW w:w="200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41" w:type="dxa"/>
            <w:vAlign w:val="center"/>
          </w:tcPr>
          <w:p>
            <w:pPr>
              <w:spacing w:line="360" w:lineRule="auto"/>
              <w:rPr>
                <w:rFonts w:ascii="宋体" w:hAnsi="宋体" w:cs="宋体"/>
                <w:color w:val="auto"/>
                <w:sz w:val="24"/>
                <w:szCs w:val="24"/>
                <w:highlight w:val="none"/>
              </w:rPr>
            </w:pPr>
          </w:p>
        </w:tc>
        <w:tc>
          <w:tcPr>
            <w:tcW w:w="2950" w:type="dxa"/>
            <w:vAlign w:val="center"/>
          </w:tcPr>
          <w:p>
            <w:pPr>
              <w:spacing w:line="360" w:lineRule="auto"/>
              <w:rPr>
                <w:rFonts w:ascii="宋体" w:hAnsi="宋体" w:cs="宋体"/>
                <w:color w:val="auto"/>
                <w:sz w:val="24"/>
                <w:szCs w:val="24"/>
                <w:highlight w:val="none"/>
              </w:rPr>
            </w:pPr>
          </w:p>
        </w:tc>
        <w:tc>
          <w:tcPr>
            <w:tcW w:w="3349" w:type="dxa"/>
            <w:vAlign w:val="center"/>
          </w:tcPr>
          <w:p>
            <w:pPr>
              <w:spacing w:line="360" w:lineRule="auto"/>
              <w:rPr>
                <w:rFonts w:ascii="宋体" w:hAnsi="宋体" w:cs="宋体"/>
                <w:color w:val="auto"/>
                <w:sz w:val="24"/>
                <w:szCs w:val="24"/>
                <w:highlight w:val="none"/>
              </w:rPr>
            </w:pPr>
          </w:p>
        </w:tc>
        <w:tc>
          <w:tcPr>
            <w:tcW w:w="2005" w:type="dxa"/>
            <w:vAlign w:val="center"/>
          </w:tcPr>
          <w:p>
            <w:pPr>
              <w:spacing w:line="360" w:lineRule="auto"/>
              <w:rPr>
                <w:rFonts w:ascii="宋体" w:hAnsi="宋体" w:cs="宋体"/>
                <w:color w:val="auto"/>
                <w:sz w:val="24"/>
                <w:szCs w:val="24"/>
                <w:highlight w:val="none"/>
              </w:rPr>
            </w:pPr>
          </w:p>
        </w:tc>
      </w:tr>
    </w:tbl>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                      法定代表人（或法定代表人授权代表）或自然人：</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（供应商公章）                               （签署或盖章）</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项目服务需求”中所列服务要求进行比较和响应；</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2.该表必须按照比选文件要求逐条如实填写。</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3.该表可扩展，并逐页签字或盖章；</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4.可附相关技术支撑材料（格式自定）。</w:t>
      </w:r>
    </w:p>
    <w:p>
      <w:pPr>
        <w:spacing w:line="360" w:lineRule="auto"/>
        <w:jc w:val="center"/>
        <w:rPr>
          <w:rFonts w:ascii="宋体" w:hAnsi="宋体" w:cs="宋体"/>
          <w:color w:val="auto"/>
          <w:sz w:val="24"/>
          <w:szCs w:val="24"/>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napToGrid w:val="0"/>
        <w:spacing w:line="360" w:lineRule="auto"/>
        <w:ind w:firstLine="562" w:firstLineChars="200"/>
        <w:outlineLvl w:val="1"/>
        <w:rPr>
          <w:rFonts w:ascii="宋体" w:hAnsi="宋体" w:cs="宋体"/>
          <w:b/>
          <w:bCs/>
          <w:color w:val="auto"/>
          <w:szCs w:val="28"/>
          <w:highlight w:val="none"/>
        </w:rPr>
        <w:sectPr>
          <w:pgSz w:w="11906" w:h="16838"/>
          <w:pgMar w:top="1417" w:right="1134" w:bottom="1417" w:left="1134" w:header="851" w:footer="850" w:gutter="0"/>
          <w:pgNumType w:fmt="decimal"/>
          <w:cols w:space="720" w:num="1"/>
          <w:titlePg/>
          <w:rtlGutter w:val="0"/>
          <w:docGrid w:linePitch="312" w:charSpace="0"/>
        </w:sectPr>
      </w:pPr>
      <w:bookmarkStart w:id="104" w:name="_Toc22546"/>
    </w:p>
    <w:p>
      <w:pPr>
        <w:snapToGrid w:val="0"/>
        <w:spacing w:line="360" w:lineRule="auto"/>
        <w:ind w:firstLine="562" w:firstLineChars="200"/>
        <w:outlineLvl w:val="1"/>
        <w:rPr>
          <w:rFonts w:ascii="宋体" w:hAnsi="宋体" w:cs="宋体"/>
          <w:b/>
          <w:bCs/>
          <w:color w:val="auto"/>
          <w:szCs w:val="28"/>
          <w:highlight w:val="none"/>
        </w:rPr>
      </w:pPr>
      <w:r>
        <w:rPr>
          <w:rFonts w:hint="eastAsia" w:ascii="宋体" w:hAnsi="宋体" w:cs="宋体"/>
          <w:b/>
          <w:bCs/>
          <w:color w:val="auto"/>
          <w:szCs w:val="28"/>
          <w:highlight w:val="none"/>
        </w:rPr>
        <w:t>三、商务部分</w:t>
      </w:r>
      <w:bookmarkEnd w:id="104"/>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（一）项目商务要求差异表</w:t>
      </w:r>
    </w:p>
    <w:p>
      <w:pPr>
        <w:snapToGrid w:val="0"/>
        <w:spacing w:line="360" w:lineRule="auto"/>
        <w:ind w:firstLine="482" w:firstLineChars="200"/>
        <w:jc w:val="center"/>
        <w:rPr>
          <w:rFonts w:ascii="宋体" w:hAnsi="宋体" w:cs="宋体"/>
          <w:color w:val="auto"/>
          <w:sz w:val="24"/>
          <w:szCs w:val="18"/>
          <w:highlight w:val="none"/>
        </w:rPr>
      </w:pPr>
      <w:r>
        <w:rPr>
          <w:rFonts w:hint="eastAsia" w:ascii="宋体" w:hAnsi="宋体" w:cs="宋体"/>
          <w:b/>
          <w:bCs/>
          <w:color w:val="auto"/>
          <w:sz w:val="24"/>
          <w:szCs w:val="28"/>
          <w:highlight w:val="none"/>
        </w:rPr>
        <w:t>项目商务要求差异表</w:t>
      </w:r>
      <w:r>
        <w:rPr>
          <w:rFonts w:hint="eastAsia" w:ascii="宋体" w:hAnsi="宋体" w:cs="宋体"/>
          <w:color w:val="auto"/>
          <w:sz w:val="24"/>
          <w:szCs w:val="18"/>
          <w:highlight w:val="none"/>
        </w:rPr>
        <w:t xml:space="preserve">                                 </w:t>
      </w:r>
    </w:p>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 xml:space="preserve">项目名称： </w:t>
      </w:r>
    </w:p>
    <w:tbl>
      <w:tblPr>
        <w:tblStyle w:val="22"/>
        <w:tblW w:w="9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229"/>
        <w:gridCol w:w="3223"/>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1139" w:type="dxa"/>
            <w:vAlign w:val="center"/>
          </w:tcPr>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序号</w:t>
            </w:r>
          </w:p>
        </w:tc>
        <w:tc>
          <w:tcPr>
            <w:tcW w:w="3229" w:type="dxa"/>
            <w:vAlign w:val="center"/>
          </w:tcPr>
          <w:p>
            <w:pPr>
              <w:spacing w:line="360" w:lineRule="auto"/>
              <w:rPr>
                <w:rFonts w:hint="eastAsia" w:ascii="宋体" w:hAnsi="宋体" w:eastAsia="宋体" w:cs="宋体"/>
                <w:color w:val="auto"/>
                <w:sz w:val="24"/>
                <w:szCs w:val="18"/>
                <w:highlight w:val="none"/>
                <w:lang w:eastAsia="zh-CN"/>
              </w:rPr>
            </w:pPr>
            <w:r>
              <w:rPr>
                <w:rFonts w:hint="eastAsia" w:ascii="宋体" w:hAnsi="宋体" w:cs="宋体"/>
                <w:color w:val="auto"/>
                <w:sz w:val="24"/>
                <w:szCs w:val="18"/>
                <w:highlight w:val="none"/>
                <w:lang w:eastAsia="zh-CN"/>
              </w:rPr>
              <w:t>采购需求</w:t>
            </w:r>
          </w:p>
        </w:tc>
        <w:tc>
          <w:tcPr>
            <w:tcW w:w="3223" w:type="dxa"/>
            <w:vAlign w:val="center"/>
          </w:tcPr>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响应情况</w:t>
            </w:r>
          </w:p>
        </w:tc>
        <w:tc>
          <w:tcPr>
            <w:tcW w:w="1641" w:type="dxa"/>
            <w:vAlign w:val="center"/>
          </w:tcPr>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39" w:type="dxa"/>
            <w:vAlign w:val="center"/>
          </w:tcPr>
          <w:p>
            <w:pPr>
              <w:spacing w:line="360" w:lineRule="auto"/>
              <w:rPr>
                <w:rFonts w:ascii="宋体" w:hAnsi="宋体" w:cs="宋体"/>
                <w:color w:val="auto"/>
                <w:sz w:val="24"/>
                <w:szCs w:val="18"/>
                <w:highlight w:val="none"/>
              </w:rPr>
            </w:pPr>
          </w:p>
        </w:tc>
        <w:tc>
          <w:tcPr>
            <w:tcW w:w="3229" w:type="dxa"/>
            <w:vAlign w:val="center"/>
          </w:tcPr>
          <w:p>
            <w:pPr>
              <w:spacing w:line="360" w:lineRule="auto"/>
              <w:rPr>
                <w:rFonts w:ascii="宋体" w:hAnsi="宋体" w:cs="宋体"/>
                <w:color w:val="auto"/>
                <w:sz w:val="24"/>
                <w:szCs w:val="18"/>
                <w:highlight w:val="none"/>
              </w:rPr>
            </w:pPr>
          </w:p>
        </w:tc>
        <w:tc>
          <w:tcPr>
            <w:tcW w:w="3223" w:type="dxa"/>
            <w:vAlign w:val="center"/>
          </w:tcPr>
          <w:p>
            <w:pPr>
              <w:spacing w:line="360" w:lineRule="auto"/>
              <w:rPr>
                <w:rFonts w:ascii="宋体" w:hAnsi="宋体" w:cs="宋体"/>
                <w:color w:val="auto"/>
                <w:sz w:val="24"/>
                <w:szCs w:val="18"/>
                <w:highlight w:val="none"/>
              </w:rPr>
            </w:pPr>
          </w:p>
        </w:tc>
        <w:tc>
          <w:tcPr>
            <w:tcW w:w="1641" w:type="dxa"/>
            <w:vAlign w:val="center"/>
          </w:tcPr>
          <w:p>
            <w:pPr>
              <w:spacing w:line="360" w:lineRule="auto"/>
              <w:rPr>
                <w:rFonts w:ascii="宋体" w:hAnsi="宋体" w:cs="宋体"/>
                <w:color w:val="auto"/>
                <w:sz w:val="24"/>
                <w:szCs w:val="18"/>
                <w:highlight w:val="none"/>
              </w:rPr>
            </w:pPr>
          </w:p>
        </w:tc>
      </w:tr>
    </w:tbl>
    <w:p>
      <w:pPr>
        <w:snapToGrid w:val="0"/>
        <w:spacing w:line="360" w:lineRule="auto"/>
        <w:ind w:firstLine="465"/>
        <w:rPr>
          <w:rFonts w:ascii="宋体" w:hAnsi="宋体" w:cs="宋体"/>
          <w:color w:val="auto"/>
          <w:sz w:val="24"/>
          <w:szCs w:val="24"/>
          <w:highlight w:val="none"/>
        </w:rPr>
      </w:pP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                                    法定代表人授权代表：</w:t>
      </w:r>
    </w:p>
    <w:p>
      <w:pPr>
        <w:tabs>
          <w:tab w:val="left" w:pos="6300"/>
        </w:tabs>
        <w:snapToGrid w:val="0"/>
        <w:spacing w:line="360" w:lineRule="auto"/>
        <w:ind w:firstLine="480" w:firstLineChars="200"/>
        <w:rPr>
          <w:rFonts w:ascii="宋体" w:hAnsi="宋体" w:cs="宋体"/>
          <w:color w:val="auto"/>
          <w:sz w:val="24"/>
          <w:highlight w:val="none"/>
        </w:rPr>
      </w:pP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（供应商公章）                                 （签字或盖章）</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1.本表即为对本项目“第三篇 项目商务需求”中所列服务要求进行比较和响应；</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2.该表必须按照比选文件要求逐条如实填写。</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3.该表可扩展，并逐页签字或盖章。</w:t>
      </w:r>
    </w:p>
    <w:p>
      <w:pPr>
        <w:snapToGrid w:val="0"/>
        <w:spacing w:line="360" w:lineRule="auto"/>
        <w:jc w:val="left"/>
        <w:rPr>
          <w:rFonts w:hint="eastAsia" w:ascii="宋体" w:hAnsi="宋体" w:cs="宋体"/>
          <w:color w:val="auto"/>
          <w:sz w:val="24"/>
          <w:szCs w:val="24"/>
          <w:highlight w:val="none"/>
        </w:rPr>
        <w:sectPr>
          <w:footerReference r:id="rId11" w:type="first"/>
          <w:footerReference r:id="rId10" w:type="default"/>
          <w:pgSz w:w="11906" w:h="16838"/>
          <w:pgMar w:top="1417" w:right="1134" w:bottom="1417" w:left="1134" w:header="851" w:footer="850" w:gutter="0"/>
          <w:pgNumType w:fmt="decimal"/>
          <w:cols w:space="720" w:num="1"/>
          <w:titlePg/>
          <w:rtlGutter w:val="0"/>
          <w:docGrid w:linePitch="312" w:charSpace="0"/>
        </w:sectPr>
      </w:pP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（二）其他与项目有关的资料（自附）</w:t>
      </w:r>
    </w:p>
    <w:p>
      <w:pPr>
        <w:tabs>
          <w:tab w:val="left" w:pos="5160"/>
          <w:tab w:val="left" w:pos="5940"/>
        </w:tabs>
        <w:autoSpaceDE w:val="0"/>
        <w:autoSpaceDN w:val="0"/>
        <w:adjustRightInd w:val="0"/>
        <w:snapToGrid w:val="0"/>
        <w:spacing w:line="360" w:lineRule="auto"/>
        <w:ind w:right="480" w:firstLine="708" w:firstLineChars="294"/>
        <w:rPr>
          <w:rFonts w:ascii="宋体" w:hAnsi="宋体" w:cs="宋体"/>
          <w:b/>
          <w:color w:val="auto"/>
          <w:kern w:val="0"/>
          <w:sz w:val="24"/>
          <w:szCs w:val="24"/>
          <w:highlight w:val="none"/>
          <w:u w:val="single"/>
        </w:rPr>
      </w:pPr>
    </w:p>
    <w:p>
      <w:pPr>
        <w:spacing w:line="360" w:lineRule="auto"/>
        <w:rPr>
          <w:rFonts w:ascii="宋体" w:hAnsi="宋体" w:cs="宋体"/>
          <w:color w:val="auto"/>
          <w:highlight w:val="none"/>
        </w:rPr>
      </w:pPr>
      <w:bookmarkStart w:id="105" w:name="_Toc287607883"/>
      <w:bookmarkStart w:id="106" w:name="_Toc498"/>
      <w:bookmarkStart w:id="107" w:name="_Toc224103511"/>
      <w:bookmarkStart w:id="108" w:name="_Toc277082657"/>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bookmarkEnd w:id="105"/>
    <w:bookmarkEnd w:id="106"/>
    <w:bookmarkEnd w:id="107"/>
    <w:bookmarkEnd w:id="108"/>
    <w:p>
      <w:pPr>
        <w:pStyle w:val="4"/>
        <w:snapToGrid w:val="0"/>
        <w:spacing w:before="120" w:beforeLines="50" w:line="360" w:lineRule="auto"/>
        <w:rPr>
          <w:rFonts w:ascii="宋体" w:hAnsi="宋体" w:cs="宋体"/>
          <w:snapToGrid w:val="0"/>
          <w:color w:val="auto"/>
          <w:sz w:val="31"/>
          <w:szCs w:val="31"/>
          <w:highlight w:val="none"/>
        </w:rPr>
        <w:sectPr>
          <w:footerReference r:id="rId13" w:type="first"/>
          <w:footerReference r:id="rId12" w:type="default"/>
          <w:pgSz w:w="11906" w:h="16838"/>
          <w:pgMar w:top="1417" w:right="1134" w:bottom="1417" w:left="1134" w:header="851" w:footer="850" w:gutter="0"/>
          <w:pgNumType w:fmt="decimal"/>
          <w:cols w:space="720" w:num="1"/>
          <w:rtlGutter w:val="0"/>
          <w:docGrid w:linePitch="312" w:charSpace="0"/>
        </w:sectPr>
      </w:pPr>
      <w:bookmarkStart w:id="109" w:name="_Toc322559743"/>
      <w:bookmarkStart w:id="110" w:name="_Toc330980530"/>
      <w:bookmarkStart w:id="111" w:name="_Toc325910675"/>
      <w:bookmarkStart w:id="112" w:name="_Toc297303196"/>
    </w:p>
    <w:p>
      <w:pPr>
        <w:snapToGrid w:val="0"/>
        <w:spacing w:line="360" w:lineRule="auto"/>
        <w:ind w:firstLine="562" w:firstLineChars="200"/>
        <w:outlineLvl w:val="1"/>
        <w:rPr>
          <w:rFonts w:ascii="宋体" w:hAnsi="宋体" w:cs="宋体"/>
          <w:b/>
          <w:bCs/>
          <w:color w:val="auto"/>
          <w:szCs w:val="28"/>
          <w:highlight w:val="none"/>
        </w:rPr>
      </w:pPr>
      <w:bookmarkStart w:id="113" w:name="_Toc27810"/>
      <w:r>
        <w:rPr>
          <w:rFonts w:hint="eastAsia" w:ascii="宋体" w:hAnsi="宋体" w:cs="宋体"/>
          <w:b/>
          <w:bCs/>
          <w:color w:val="auto"/>
          <w:szCs w:val="28"/>
          <w:highlight w:val="none"/>
        </w:rPr>
        <w:t>四、资格条件及相关资质及其他</w:t>
      </w:r>
      <w:bookmarkEnd w:id="113"/>
    </w:p>
    <w:bookmarkEnd w:id="109"/>
    <w:bookmarkEnd w:id="110"/>
    <w:bookmarkEnd w:id="111"/>
    <w:bookmarkEnd w:id="112"/>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（一）法人营业执照（副本）或事业单位法人证书（副本）或个体工商户营业执照或有效的自然人身份证明或社会团体法人登记证书复印件</w:t>
      </w:r>
    </w:p>
    <w:p>
      <w:pPr>
        <w:tabs>
          <w:tab w:val="left" w:pos="6300"/>
        </w:tabs>
        <w:snapToGrid w:val="0"/>
        <w:spacing w:line="360" w:lineRule="auto"/>
        <w:ind w:firstLine="570"/>
        <w:rPr>
          <w:rFonts w:ascii="宋体" w:hAnsi="宋体" w:cs="宋体"/>
          <w:color w:val="auto"/>
          <w:sz w:val="24"/>
          <w:szCs w:val="24"/>
          <w:highlight w:val="none"/>
        </w:rPr>
      </w:pP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（二）法定代表人身份证明书（格式）</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jc w:val="center"/>
        <w:rPr>
          <w:rFonts w:ascii="宋体" w:hAnsi="宋体" w:cs="宋体"/>
          <w:color w:val="auto"/>
          <w:sz w:val="24"/>
          <w:szCs w:val="24"/>
          <w:highlight w:val="none"/>
        </w:rPr>
      </w:pPr>
      <w:r>
        <w:rPr>
          <w:rFonts w:hint="eastAsia" w:ascii="宋体" w:hAnsi="宋体" w:cs="宋体"/>
          <w:color w:val="auto"/>
          <w:sz w:val="36"/>
          <w:szCs w:val="36"/>
          <w:highlight w:val="none"/>
        </w:rPr>
        <w:t>法定代表人身份证明书</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eastAsia="zh-CN"/>
        </w:rPr>
        <w:t>人</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u w:val="single"/>
        </w:rPr>
        <w:t>（法定代表人姓名）</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任</w:t>
      </w:r>
      <w:r>
        <w:rPr>
          <w:rFonts w:hint="eastAsia" w:ascii="宋体" w:hAnsi="宋体" w:cs="宋体"/>
          <w:color w:val="auto"/>
          <w:sz w:val="24"/>
          <w:szCs w:val="24"/>
          <w:highlight w:val="none"/>
          <w:u w:val="single"/>
        </w:rPr>
        <w:t>（职务名称）</w:t>
      </w:r>
      <w:r>
        <w:rPr>
          <w:rFonts w:hint="eastAsia" w:ascii="宋体" w:hAnsi="宋体" w:cs="宋体"/>
          <w:color w:val="auto"/>
          <w:sz w:val="24"/>
          <w:szCs w:val="24"/>
          <w:highlight w:val="none"/>
        </w:rPr>
        <w:t>职务，是</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br w:type="column"/>
      </w:r>
      <w:r>
        <w:rPr>
          <w:rFonts w:hint="eastAsia" w:ascii="宋体" w:hAnsi="宋体" w:cs="宋体"/>
          <w:color w:val="auto"/>
          <w:sz w:val="24"/>
          <w:szCs w:val="24"/>
          <w:highlight w:val="none"/>
        </w:rPr>
        <w:t>（三）法定代表人授权委托书（格式）</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jc w:val="center"/>
        <w:rPr>
          <w:rFonts w:ascii="宋体" w:hAnsi="宋体" w:cs="宋体"/>
          <w:color w:val="auto"/>
          <w:sz w:val="36"/>
          <w:szCs w:val="36"/>
          <w:highlight w:val="none"/>
        </w:rPr>
      </w:pPr>
      <w:r>
        <w:rPr>
          <w:rFonts w:hint="eastAsia" w:ascii="宋体" w:hAnsi="宋体" w:cs="宋体"/>
          <w:color w:val="auto"/>
          <w:sz w:val="36"/>
          <w:szCs w:val="36"/>
          <w:highlight w:val="none"/>
        </w:rPr>
        <w:t>法定代表人授权委托书</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eastAsia="zh-CN"/>
        </w:rPr>
        <w:t>人</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（供应商法定代表人名称）</w:t>
      </w:r>
      <w:r>
        <w:rPr>
          <w:rFonts w:hint="eastAsia" w:ascii="宋体" w:hAnsi="宋体" w:cs="宋体"/>
          <w:color w:val="auto"/>
          <w:sz w:val="24"/>
          <w:szCs w:val="24"/>
          <w:highlight w:val="none"/>
        </w:rPr>
        <w:t>是</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的法定代表人，特授权</w:t>
      </w:r>
      <w:r>
        <w:rPr>
          <w:rFonts w:hint="eastAsia" w:ascii="宋体" w:hAnsi="宋体" w:cs="宋体"/>
          <w:color w:val="auto"/>
          <w:sz w:val="24"/>
          <w:szCs w:val="24"/>
          <w:highlight w:val="none"/>
          <w:u w:val="single"/>
        </w:rPr>
        <w:t>（被授权人姓名及身份证代码）</w:t>
      </w:r>
      <w:r>
        <w:rPr>
          <w:rFonts w:hint="eastAsia" w:ascii="宋体" w:hAnsi="宋体" w:cs="宋体"/>
          <w:color w:val="auto"/>
          <w:sz w:val="24"/>
          <w:szCs w:val="24"/>
          <w:highlight w:val="none"/>
        </w:rPr>
        <w:t>代表我单位全权办理上述项目的比选、签约等具体工作，并签署全部有关文件、协议及合同。</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在撤销授权的书面通知以前，本授权书一直有效。被授权人在授权书有效期内签署的所有文件不因授权的撤销而失效。</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供应商法定代表人：</w:t>
      </w: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60"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10"/>
        <w:spacing w:line="360" w:lineRule="auto"/>
        <w:rPr>
          <w:rFonts w:ascii="宋体" w:hAnsi="宋体" w:eastAsia="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pP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基本资格条件承诺函</w:t>
      </w:r>
    </w:p>
    <w:p>
      <w:pPr>
        <w:tabs>
          <w:tab w:val="left" w:pos="6300"/>
        </w:tabs>
        <w:snapToGrid w:val="0"/>
        <w:spacing w:line="360" w:lineRule="auto"/>
        <w:rPr>
          <w:rFonts w:ascii="宋体" w:hAnsi="宋体" w:cs="宋体"/>
          <w:color w:val="auto"/>
          <w:sz w:val="24"/>
          <w:highlight w:val="none"/>
        </w:rPr>
      </w:pPr>
    </w:p>
    <w:p>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名称）：</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tabs>
          <w:tab w:val="left" w:pos="6300"/>
        </w:tabs>
        <w:snapToGrid w:val="0"/>
        <w:spacing w:line="360" w:lineRule="auto"/>
        <w:rPr>
          <w:rFonts w:ascii="宋体" w:hAnsi="宋体" w:cs="宋体"/>
          <w:color w:val="auto"/>
          <w:sz w:val="24"/>
          <w:szCs w:val="24"/>
          <w:highlight w:val="none"/>
        </w:rPr>
      </w:pPr>
    </w:p>
    <w:p>
      <w:pPr>
        <w:tabs>
          <w:tab w:val="left" w:pos="6300"/>
        </w:tabs>
        <w:snapToGrid w:val="0"/>
        <w:spacing w:line="360" w:lineRule="auto"/>
        <w:ind w:right="424"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snapToGrid w:val="0"/>
        <w:spacing w:line="360"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napToGrid w:val="0"/>
        <w:spacing w:line="360" w:lineRule="auto"/>
        <w:jc w:val="left"/>
        <w:rPr>
          <w:rFonts w:ascii="宋体" w:hAnsi="宋体" w:cs="宋体"/>
          <w:color w:val="auto"/>
          <w:sz w:val="24"/>
          <w:szCs w:val="24"/>
          <w:highlight w:val="none"/>
        </w:rPr>
      </w:pPr>
      <w:bookmarkStart w:id="114" w:name="_Toc487204801"/>
      <w:bookmarkStart w:id="115" w:name="_Toc486608281"/>
      <w:bookmarkStart w:id="116" w:name="_Toc29032"/>
      <w:bookmarkStart w:id="117" w:name="_Toc11824"/>
      <w:bookmarkStart w:id="118" w:name="_Toc486585244"/>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（五）特定资格条件证书或证明文件</w:t>
      </w:r>
    </w:p>
    <w:p>
      <w:pPr>
        <w:snapToGrid w:val="0"/>
        <w:spacing w:line="360" w:lineRule="auto"/>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119" w:name="_Toc27085"/>
      <w:bookmarkStart w:id="120" w:name="_Toc21767"/>
      <w:r>
        <w:rPr>
          <w:rFonts w:hint="eastAsia" w:ascii="宋体" w:hAnsi="宋体" w:cs="宋体"/>
          <w:b/>
          <w:bCs/>
          <w:color w:val="auto"/>
          <w:szCs w:val="28"/>
          <w:highlight w:val="none"/>
        </w:rPr>
        <w:t>五、其他应提供的资料</w:t>
      </w:r>
      <w:bookmarkEnd w:id="114"/>
      <w:bookmarkEnd w:id="115"/>
      <w:bookmarkEnd w:id="116"/>
      <w:bookmarkEnd w:id="117"/>
      <w:bookmarkEnd w:id="118"/>
      <w:bookmarkEnd w:id="119"/>
      <w:bookmarkEnd w:id="120"/>
    </w:p>
    <w:p>
      <w:pPr>
        <w:spacing w:line="360" w:lineRule="auto"/>
        <w:rPr>
          <w:rFonts w:ascii="宋体" w:hAnsi="宋体" w:cs="宋体"/>
          <w:color w:val="auto"/>
          <w:sz w:val="24"/>
          <w:szCs w:val="18"/>
          <w:highlight w:val="none"/>
        </w:rPr>
      </w:pPr>
      <w:r>
        <w:rPr>
          <w:rFonts w:hint="eastAsia" w:ascii="宋体" w:hAnsi="宋体" w:cs="宋体"/>
          <w:color w:val="auto"/>
          <w:sz w:val="24"/>
          <w:szCs w:val="18"/>
          <w:highlight w:val="none"/>
        </w:rPr>
        <w:t>（一）其他与项目有关的资料（自附）</w:t>
      </w:r>
    </w:p>
    <w:p>
      <w:pPr>
        <w:widowControl/>
        <w:spacing w:line="360" w:lineRule="auto"/>
        <w:jc w:val="left"/>
        <w:rPr>
          <w:rFonts w:ascii="宋体" w:hAnsi="宋体" w:cs="宋体"/>
          <w:color w:val="auto"/>
          <w:sz w:val="24"/>
          <w:szCs w:val="24"/>
          <w:highlight w:val="none"/>
        </w:rPr>
      </w:pPr>
    </w:p>
    <w:p>
      <w:pPr>
        <w:widowControl/>
        <w:spacing w:line="360" w:lineRule="auto"/>
        <w:jc w:val="left"/>
        <w:rPr>
          <w:rFonts w:ascii="宋体" w:hAnsi="宋体" w:cs="宋体"/>
          <w:color w:val="auto"/>
          <w:sz w:val="24"/>
          <w:szCs w:val="24"/>
          <w:highlight w:val="none"/>
        </w:rPr>
      </w:pPr>
    </w:p>
    <w:p>
      <w:pPr>
        <w:widowControl/>
        <w:spacing w:line="360" w:lineRule="auto"/>
        <w:jc w:val="left"/>
        <w:rPr>
          <w:rFonts w:ascii="宋体" w:hAnsi="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pacing w:line="360" w:lineRule="auto"/>
        <w:rPr>
          <w:rFonts w:ascii="宋体" w:hAnsi="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pacing w:line="360" w:lineRule="auto"/>
        <w:rPr>
          <w:rFonts w:ascii="宋体" w:hAnsi="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pacing w:line="360" w:lineRule="auto"/>
        <w:rPr>
          <w:rFonts w:ascii="宋体" w:hAnsi="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pacing w:line="360" w:lineRule="auto"/>
        <w:rPr>
          <w:rFonts w:ascii="宋体" w:hAnsi="宋体" w:cs="宋体"/>
          <w:color w:val="auto"/>
          <w:sz w:val="24"/>
          <w:szCs w:val="24"/>
          <w:highlight w:val="none"/>
        </w:rPr>
      </w:pPr>
    </w:p>
    <w:p>
      <w:pPr>
        <w:pStyle w:val="10"/>
        <w:spacing w:line="360" w:lineRule="auto"/>
        <w:rPr>
          <w:rFonts w:ascii="宋体" w:hAnsi="宋体" w:eastAsia="宋体" w:cs="宋体"/>
          <w:color w:val="auto"/>
          <w:sz w:val="24"/>
          <w:szCs w:val="24"/>
          <w:highlight w:val="none"/>
        </w:rPr>
      </w:pPr>
    </w:p>
    <w:p>
      <w:pPr>
        <w:spacing w:line="360" w:lineRule="auto"/>
        <w:jc w:val="center"/>
        <w:rPr>
          <w:rFonts w:ascii="宋体" w:hAnsi="宋体" w:cs="宋体"/>
          <w:color w:val="auto"/>
          <w:highlight w:val="none"/>
        </w:rPr>
      </w:pPr>
      <w:r>
        <w:rPr>
          <w:rFonts w:hint="eastAsia" w:ascii="宋体" w:hAnsi="宋体" w:cs="宋体"/>
          <w:color w:val="auto"/>
          <w:highlight w:val="none"/>
        </w:rPr>
        <w:t>（结束）</w:t>
      </w:r>
    </w:p>
    <w:p>
      <w:pPr>
        <w:widowControl/>
        <w:spacing w:line="360" w:lineRule="auto"/>
        <w:jc w:val="center"/>
        <w:rPr>
          <w:rFonts w:ascii="宋体" w:hAnsi="宋体" w:cs="宋体"/>
          <w:color w:val="auto"/>
          <w:sz w:val="24"/>
          <w:szCs w:val="24"/>
          <w:highlight w:val="none"/>
        </w:rPr>
      </w:pPr>
    </w:p>
    <w:p>
      <w:pPr>
        <w:widowControl/>
        <w:spacing w:line="360" w:lineRule="auto"/>
        <w:jc w:val="center"/>
        <w:rPr>
          <w:rFonts w:ascii="宋体" w:hAnsi="宋体" w:cs="宋体"/>
          <w:color w:val="auto"/>
          <w:sz w:val="24"/>
          <w:szCs w:val="24"/>
          <w:highlight w:val="none"/>
        </w:rPr>
      </w:pPr>
    </w:p>
    <w:p>
      <w:pPr>
        <w:widowControl/>
        <w:spacing w:line="360" w:lineRule="auto"/>
        <w:jc w:val="center"/>
        <w:rPr>
          <w:rFonts w:ascii="宋体" w:hAnsi="宋体" w:cs="宋体"/>
          <w:color w:val="auto"/>
          <w:sz w:val="24"/>
          <w:szCs w:val="24"/>
          <w:highlight w:val="none"/>
        </w:rPr>
      </w:pPr>
    </w:p>
    <w:p>
      <w:pPr>
        <w:pStyle w:val="10"/>
        <w:spacing w:line="360" w:lineRule="auto"/>
        <w:rPr>
          <w:rFonts w:ascii="宋体" w:hAnsi="宋体" w:eastAsia="宋体" w:cs="宋体"/>
          <w:color w:val="auto"/>
          <w:highlight w:val="none"/>
        </w:rPr>
      </w:pPr>
    </w:p>
    <w:p>
      <w:pPr>
        <w:pStyle w:val="25"/>
        <w:spacing w:line="360" w:lineRule="auto"/>
        <w:rPr>
          <w:rFonts w:hAnsi="宋体" w:cs="宋体"/>
          <w:color w:val="auto"/>
          <w:highlight w:val="none"/>
        </w:rPr>
        <w:sectPr>
          <w:footerReference r:id="rId14" w:type="default"/>
          <w:pgSz w:w="11906" w:h="16838"/>
          <w:pgMar w:top="1417" w:right="1134" w:bottom="1417" w:left="1134" w:header="851" w:footer="992" w:gutter="0"/>
          <w:pgNumType w:fmt="decimal"/>
          <w:cols w:space="720" w:num="1"/>
          <w:rtlGutter w:val="0"/>
          <w:docGrid w:type="lines" w:linePitch="312" w:charSpace="0"/>
        </w:sectPr>
      </w:pPr>
    </w:p>
    <w:p>
      <w:pPr>
        <w:pStyle w:val="35"/>
        <w:jc w:val="both"/>
        <w:rPr>
          <w:rFonts w:hint="eastAsia" w:ascii="宋体" w:hAnsi="宋体" w:eastAsia="宋体" w:cs="宋体"/>
          <w:sz w:val="36"/>
          <w:szCs w:val="36"/>
          <w:highlight w:val="none"/>
        </w:rPr>
      </w:pPr>
      <w:r>
        <w:rPr>
          <w:rFonts w:hint="eastAsia" w:ascii="宋体" w:hAnsi="宋体" w:eastAsia="宋体" w:cs="宋体"/>
          <w:sz w:val="36"/>
          <w:szCs w:val="36"/>
          <w:highlight w:val="none"/>
        </w:rPr>
        <w:t>附件1：</w:t>
      </w:r>
    </w:p>
    <w:p>
      <w:pPr>
        <w:jc w:val="center"/>
        <w:rPr>
          <w:rFonts w:hint="eastAsia" w:ascii="宋体" w:hAnsi="宋体" w:eastAsia="宋体" w:cs="宋体"/>
          <w:b/>
          <w:bCs/>
          <w:sz w:val="40"/>
          <w:szCs w:val="40"/>
          <w:highlight w:val="none"/>
        </w:rPr>
      </w:pPr>
      <w:r>
        <w:rPr>
          <w:rFonts w:hint="eastAsia" w:ascii="宋体" w:hAnsi="宋体" w:cs="宋体"/>
          <w:b/>
          <w:bCs/>
          <w:sz w:val="40"/>
          <w:szCs w:val="40"/>
          <w:highlight w:val="none"/>
          <w:lang w:eastAsia="zh-CN"/>
        </w:rPr>
        <w:t>采购</w:t>
      </w:r>
      <w:r>
        <w:rPr>
          <w:rFonts w:hint="eastAsia" w:ascii="宋体" w:hAnsi="宋体" w:eastAsia="宋体" w:cs="宋体"/>
          <w:b/>
          <w:bCs/>
          <w:sz w:val="40"/>
          <w:szCs w:val="40"/>
          <w:highlight w:val="none"/>
        </w:rPr>
        <w:t>文件发售登记表</w:t>
      </w:r>
    </w:p>
    <w:p>
      <w:pPr>
        <w:rPr>
          <w:rFonts w:hint="eastAsia" w:cs="宋体"/>
          <w:b/>
          <w:bCs/>
          <w:sz w:val="24"/>
          <w:szCs w:val="24"/>
          <w:highlight w:val="none"/>
          <w:lang w:val="en-US" w:eastAsia="zh-CN"/>
        </w:rPr>
      </w:pPr>
      <w:r>
        <w:rPr>
          <w:rFonts w:hint="eastAsia" w:cs="宋体"/>
          <w:b/>
          <w:bCs/>
          <w:sz w:val="24"/>
          <w:szCs w:val="24"/>
          <w:highlight w:val="none"/>
          <w:lang w:val="en-US" w:eastAsia="zh-CN"/>
        </w:rPr>
        <w:t xml:space="preserve"> </w:t>
      </w:r>
    </w:p>
    <w:p>
      <w:pPr>
        <w:pStyle w:val="36"/>
        <w:ind w:firstLine="2168" w:firstLineChars="900"/>
        <w:rPr>
          <w:rFonts w:hint="eastAsia"/>
          <w:sz w:val="22"/>
          <w:szCs w:val="21"/>
          <w:lang w:eastAsia="zh-CN"/>
        </w:rPr>
      </w:pPr>
      <w:r>
        <w:rPr>
          <w:rFonts w:hint="eastAsia" w:cs="宋体"/>
          <w:b/>
          <w:bCs/>
          <w:sz w:val="24"/>
          <w:szCs w:val="24"/>
          <w:highlight w:val="none"/>
          <w:lang w:val="en-US" w:eastAsia="zh-CN"/>
        </w:rPr>
        <w:t>（</w:t>
      </w:r>
      <w:r>
        <w:rPr>
          <w:rFonts w:hint="eastAsia" w:cs="宋体"/>
          <w:b/>
          <w:sz w:val="28"/>
          <w:szCs w:val="21"/>
          <w:highlight w:val="none"/>
          <w:lang w:eastAsia="zh-CN"/>
        </w:rPr>
        <w:t>重庆两仪工程咨询有限公司大足分公司</w:t>
      </w:r>
      <w:r>
        <w:rPr>
          <w:rFonts w:hint="eastAsia" w:cs="宋体"/>
          <w:b/>
          <w:bCs/>
          <w:sz w:val="24"/>
          <w:szCs w:val="24"/>
          <w:highlight w:val="none"/>
          <w:lang w:val="en-US" w:eastAsia="zh-CN"/>
        </w:rPr>
        <w:t>）</w:t>
      </w:r>
    </w:p>
    <w:tbl>
      <w:tblPr>
        <w:tblStyle w:val="22"/>
        <w:tblW w:w="9174"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1948"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7226" w:type="dxa"/>
            <w:gridSpan w:val="3"/>
            <w:vAlign w:val="center"/>
          </w:tcPr>
          <w:p>
            <w:pPr>
              <w:spacing w:line="360" w:lineRule="exact"/>
              <w:jc w:val="center"/>
              <w:rPr>
                <w:rFonts w:hint="eastAsia" w:ascii="宋体" w:hAnsi="宋体" w:eastAsia="宋体" w:cs="宋体"/>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948"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投标人名称</w:t>
            </w:r>
          </w:p>
        </w:tc>
        <w:tc>
          <w:tcPr>
            <w:tcW w:w="7226" w:type="dxa"/>
            <w:gridSpan w:val="3"/>
            <w:vAlign w:val="bottom"/>
          </w:tcPr>
          <w:p>
            <w:pPr>
              <w:spacing w:line="360" w:lineRule="exact"/>
              <w:jc w:val="right"/>
              <w:rPr>
                <w:rFonts w:hint="eastAsia" w:ascii="宋体" w:hAnsi="宋体" w:eastAsia="宋体" w:cs="宋体"/>
                <w:highlight w:val="none"/>
              </w:rPr>
            </w:pPr>
            <w:r>
              <w:rPr>
                <w:rFonts w:hint="eastAsia" w:ascii="宋体" w:hAnsi="宋体" w:eastAsia="宋体" w:cs="宋体"/>
                <w:highlight w:val="none"/>
              </w:rPr>
              <w:t>（投标人公章）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948"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联系人</w:t>
            </w:r>
          </w:p>
        </w:tc>
        <w:tc>
          <w:tcPr>
            <w:tcW w:w="2573" w:type="dxa"/>
            <w:vAlign w:val="center"/>
          </w:tcPr>
          <w:p>
            <w:pPr>
              <w:spacing w:line="360" w:lineRule="exact"/>
              <w:rPr>
                <w:rFonts w:hint="eastAsia" w:ascii="宋体" w:hAnsi="宋体" w:eastAsia="宋体" w:cs="宋体"/>
                <w:highlight w:val="none"/>
              </w:rPr>
            </w:pPr>
          </w:p>
        </w:tc>
        <w:tc>
          <w:tcPr>
            <w:tcW w:w="1084"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手机</w:t>
            </w:r>
          </w:p>
        </w:tc>
        <w:tc>
          <w:tcPr>
            <w:tcW w:w="3569" w:type="dxa"/>
            <w:vAlign w:val="center"/>
          </w:tcPr>
          <w:p>
            <w:pPr>
              <w:spacing w:line="360" w:lineRule="exact"/>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948"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办公电话</w:t>
            </w:r>
          </w:p>
        </w:tc>
        <w:tc>
          <w:tcPr>
            <w:tcW w:w="2573" w:type="dxa"/>
            <w:vAlign w:val="center"/>
          </w:tcPr>
          <w:p>
            <w:pPr>
              <w:spacing w:line="360" w:lineRule="exact"/>
              <w:rPr>
                <w:rFonts w:hint="eastAsia" w:ascii="宋体" w:hAnsi="宋体" w:eastAsia="宋体" w:cs="宋体"/>
                <w:highlight w:val="none"/>
              </w:rPr>
            </w:pPr>
          </w:p>
        </w:tc>
        <w:tc>
          <w:tcPr>
            <w:tcW w:w="1084"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传真</w:t>
            </w:r>
          </w:p>
        </w:tc>
        <w:tc>
          <w:tcPr>
            <w:tcW w:w="3569" w:type="dxa"/>
            <w:vAlign w:val="center"/>
          </w:tcPr>
          <w:p>
            <w:pPr>
              <w:spacing w:line="360" w:lineRule="exact"/>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948" w:type="dxa"/>
            <w:vAlign w:val="center"/>
          </w:tcPr>
          <w:p>
            <w:pPr>
              <w:spacing w:line="360" w:lineRule="exact"/>
              <w:jc w:val="center"/>
              <w:rPr>
                <w:rFonts w:hint="eastAsia" w:ascii="宋体" w:hAnsi="宋体" w:eastAsia="宋体" w:cs="宋体"/>
                <w:highlight w:val="none"/>
              </w:rPr>
            </w:pPr>
            <w:r>
              <w:rPr>
                <w:rFonts w:hint="eastAsia" w:ascii="宋体" w:hAnsi="宋体" w:eastAsia="宋体" w:cs="宋体"/>
                <w:highlight w:val="none"/>
              </w:rPr>
              <w:t>单位地址</w:t>
            </w:r>
          </w:p>
        </w:tc>
        <w:tc>
          <w:tcPr>
            <w:tcW w:w="7226" w:type="dxa"/>
            <w:gridSpan w:val="3"/>
            <w:vAlign w:val="center"/>
          </w:tcPr>
          <w:p>
            <w:pPr>
              <w:spacing w:line="360" w:lineRule="exact"/>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74" w:type="dxa"/>
            <w:gridSpan w:val="4"/>
            <w:vAlign w:val="center"/>
          </w:tcPr>
          <w:p>
            <w:pPr>
              <w:rPr>
                <w:rFonts w:hint="eastAsia" w:ascii="宋体" w:hAnsi="宋体" w:eastAsia="宋体" w:cs="宋体"/>
                <w:highlight w:val="none"/>
              </w:rPr>
            </w:pPr>
            <w:r>
              <w:rPr>
                <w:rFonts w:hint="eastAsia" w:ascii="宋体" w:hAnsi="宋体" w:eastAsia="宋体" w:cs="宋体"/>
                <w:highlight w:val="none"/>
              </w:rPr>
              <w:t>招标文件售价：人民币</w:t>
            </w:r>
            <w:r>
              <w:rPr>
                <w:rFonts w:hint="eastAsia" w:cs="宋体"/>
                <w:highlight w:val="none"/>
                <w:lang w:val="en-US" w:eastAsia="zh-CN"/>
              </w:rPr>
              <w:t>3</w:t>
            </w:r>
            <w:r>
              <w:rPr>
                <w:rFonts w:hint="eastAsia" w:ascii="宋体" w:hAnsi="宋体" w:eastAsia="宋体" w:cs="宋体"/>
                <w:highlight w:val="none"/>
                <w:lang w:val="en-US" w:eastAsia="zh-CN"/>
              </w:rPr>
              <w:t>00</w:t>
            </w:r>
            <w:r>
              <w:rPr>
                <w:rFonts w:hint="eastAsia" w:ascii="宋体" w:hAnsi="宋体" w:eastAsia="宋体" w:cs="宋体"/>
                <w:highlight w:val="none"/>
              </w:rPr>
              <w:t>元/份</w:t>
            </w: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FF"/>
          <w:sz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相关说明：</w:t>
      </w:r>
      <w:r>
        <w:rPr>
          <w:rFonts w:hint="eastAsia" w:ascii="宋体" w:hAnsi="宋体" w:cs="宋体"/>
          <w:color w:val="000000" w:themeColor="text1"/>
          <w:sz w:val="24"/>
          <w:szCs w:val="24"/>
          <w:lang w:eastAsia="zh-CN"/>
          <w14:textFill>
            <w14:solidFill>
              <w14:schemeClr w14:val="tx1"/>
            </w14:solidFill>
          </w14:textFill>
        </w:rPr>
        <w:t>详见比选文件</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auto"/>
          <w:sz w:val="24"/>
          <w:highlight w:val="none"/>
          <w:lang w:val="en-US" w:eastAsia="zh-CN"/>
        </w:rPr>
      </w:pPr>
    </w:p>
    <w:p/>
    <w:p/>
    <w:p>
      <w:pPr>
        <w:pStyle w:val="26"/>
      </w:pPr>
    </w:p>
    <w:sectPr>
      <w:headerReference r:id="rId15" w:type="default"/>
      <w:footerReference r:id="rId16" w:type="default"/>
      <w:pgSz w:w="11907" w:h="16840"/>
      <w:pgMar w:top="1417" w:right="1134" w:bottom="1417" w:left="1134" w:header="454" w:footer="567" w:gutter="0"/>
      <w:pgNumType w:fmt="decimal"/>
      <w:cols w:space="720" w:num="1"/>
      <w:rtlGutter w:val="0"/>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B788A90-64AB-49CA-BB85-FAFE2FF68536}"/>
  </w:font>
  <w:font w:name="方正仿宋_GBK">
    <w:panose1 w:val="03000509000000000000"/>
    <w:charset w:val="86"/>
    <w:family w:val="script"/>
    <w:pitch w:val="default"/>
    <w:sig w:usb0="00000001" w:usb1="080E0000" w:usb2="00000000" w:usb3="00000000" w:csb0="00040000" w:csb1="00000000"/>
    <w:embedRegular r:id="rId2" w:fontKey="{6D1809B3-73F4-48AF-B7FF-CB19C81BDF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rPr>
        <w:rFonts w:hint="default" w:eastAsia="宋体"/>
        <w:lang w:val="en-US" w:eastAsia="zh-CN"/>
      </w:rPr>
    </w:pPr>
    <w:r>
      <w:rPr>
        <w:rFonts w:hint="eastAsia"/>
        <w:lang w:val="en-US" w:eastAsia="zh-CN"/>
      </w:rPr>
      <w:t>21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lang w:val="en-US" w:eastAsia="zh-CN"/>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lang w:val="en-US" w:eastAsia="zh-CN"/>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D87C7"/>
    <w:multiLevelType w:val="singleLevel"/>
    <w:tmpl w:val="D9DD87C7"/>
    <w:lvl w:ilvl="0" w:tentative="0">
      <w:start w:val="1"/>
      <w:numFmt w:val="chineseCounting"/>
      <w:suff w:val="space"/>
      <w:lvlText w:val="第%1篇"/>
      <w:lvlJc w:val="left"/>
      <w:rPr>
        <w:rFonts w:hint="eastAsia"/>
      </w:rPr>
    </w:lvl>
  </w:abstractNum>
  <w:abstractNum w:abstractNumId="1">
    <w:nsid w:val="3434F333"/>
    <w:multiLevelType w:val="singleLevel"/>
    <w:tmpl w:val="3434F333"/>
    <w:lvl w:ilvl="0" w:tentative="0">
      <w:start w:val="1"/>
      <w:numFmt w:val="decimal"/>
      <w:lvlText w:val="%1."/>
      <w:lvlJc w:val="left"/>
      <w:pPr>
        <w:tabs>
          <w:tab w:val="left" w:pos="312"/>
        </w:tabs>
      </w:pPr>
    </w:lvl>
  </w:abstractNum>
  <w:abstractNum w:abstractNumId="2">
    <w:nsid w:val="4AFFBD1E"/>
    <w:multiLevelType w:val="singleLevel"/>
    <w:tmpl w:val="4AFFBD1E"/>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NzZhZWQ4YjE4ZTdkNjM1Mjc0NWZiNDJhNmUzZmYifQ=="/>
  </w:docVars>
  <w:rsids>
    <w:rsidRoot w:val="62E50297"/>
    <w:rsid w:val="000C2537"/>
    <w:rsid w:val="000E75FE"/>
    <w:rsid w:val="002038E7"/>
    <w:rsid w:val="002A1568"/>
    <w:rsid w:val="003D0404"/>
    <w:rsid w:val="00450F55"/>
    <w:rsid w:val="004A0D92"/>
    <w:rsid w:val="00506E62"/>
    <w:rsid w:val="005D0D70"/>
    <w:rsid w:val="00632B34"/>
    <w:rsid w:val="00694B31"/>
    <w:rsid w:val="006E4A62"/>
    <w:rsid w:val="00706752"/>
    <w:rsid w:val="00834402"/>
    <w:rsid w:val="00854517"/>
    <w:rsid w:val="0089279A"/>
    <w:rsid w:val="00941EB0"/>
    <w:rsid w:val="00965426"/>
    <w:rsid w:val="009E5B7C"/>
    <w:rsid w:val="00A16AC1"/>
    <w:rsid w:val="00A236A6"/>
    <w:rsid w:val="00A623DA"/>
    <w:rsid w:val="00AB5319"/>
    <w:rsid w:val="00AD7338"/>
    <w:rsid w:val="00B4289E"/>
    <w:rsid w:val="00B73F4A"/>
    <w:rsid w:val="00BE3DCC"/>
    <w:rsid w:val="00C12DE3"/>
    <w:rsid w:val="00C43687"/>
    <w:rsid w:val="00D5703D"/>
    <w:rsid w:val="00E00F1B"/>
    <w:rsid w:val="00E83B86"/>
    <w:rsid w:val="00F329A8"/>
    <w:rsid w:val="01F7413D"/>
    <w:rsid w:val="021644F3"/>
    <w:rsid w:val="02380E83"/>
    <w:rsid w:val="02C1531D"/>
    <w:rsid w:val="02D6570B"/>
    <w:rsid w:val="031C2553"/>
    <w:rsid w:val="035C3635"/>
    <w:rsid w:val="03885E3A"/>
    <w:rsid w:val="03B509EE"/>
    <w:rsid w:val="047343F5"/>
    <w:rsid w:val="048A3A39"/>
    <w:rsid w:val="048E08C2"/>
    <w:rsid w:val="049125AB"/>
    <w:rsid w:val="04F60A45"/>
    <w:rsid w:val="053C0C8A"/>
    <w:rsid w:val="05740424"/>
    <w:rsid w:val="05946D18"/>
    <w:rsid w:val="059708C4"/>
    <w:rsid w:val="06FB53DE"/>
    <w:rsid w:val="0702556F"/>
    <w:rsid w:val="073F2CB4"/>
    <w:rsid w:val="078C2F71"/>
    <w:rsid w:val="07A364B6"/>
    <w:rsid w:val="080D08F2"/>
    <w:rsid w:val="085B1D6F"/>
    <w:rsid w:val="089C4059"/>
    <w:rsid w:val="08CB7C43"/>
    <w:rsid w:val="0900125F"/>
    <w:rsid w:val="09CB4812"/>
    <w:rsid w:val="0C530CBA"/>
    <w:rsid w:val="0D417ED1"/>
    <w:rsid w:val="0DDA7292"/>
    <w:rsid w:val="0E12486C"/>
    <w:rsid w:val="0EB21FBD"/>
    <w:rsid w:val="0F743BD9"/>
    <w:rsid w:val="10223A7C"/>
    <w:rsid w:val="10340D66"/>
    <w:rsid w:val="113B0990"/>
    <w:rsid w:val="115832F0"/>
    <w:rsid w:val="119F4A7B"/>
    <w:rsid w:val="124A70DD"/>
    <w:rsid w:val="1291259B"/>
    <w:rsid w:val="12FE7EC7"/>
    <w:rsid w:val="136B5847"/>
    <w:rsid w:val="13BF4C25"/>
    <w:rsid w:val="14096B23"/>
    <w:rsid w:val="14C75C50"/>
    <w:rsid w:val="1587126A"/>
    <w:rsid w:val="15B64A89"/>
    <w:rsid w:val="16844E40"/>
    <w:rsid w:val="16B26392"/>
    <w:rsid w:val="178D1A71"/>
    <w:rsid w:val="17C477EA"/>
    <w:rsid w:val="17E05DED"/>
    <w:rsid w:val="17F92A0B"/>
    <w:rsid w:val="18954EE4"/>
    <w:rsid w:val="18B55E75"/>
    <w:rsid w:val="191C0955"/>
    <w:rsid w:val="19341113"/>
    <w:rsid w:val="19396595"/>
    <w:rsid w:val="198A7B5E"/>
    <w:rsid w:val="1A200631"/>
    <w:rsid w:val="1AD96085"/>
    <w:rsid w:val="1B6C72F7"/>
    <w:rsid w:val="1B7A0F3D"/>
    <w:rsid w:val="1B8C4EFF"/>
    <w:rsid w:val="1BA24AAA"/>
    <w:rsid w:val="1BF63E31"/>
    <w:rsid w:val="1C372948"/>
    <w:rsid w:val="1C816045"/>
    <w:rsid w:val="1D8334A3"/>
    <w:rsid w:val="1EA25BAA"/>
    <w:rsid w:val="1F073C5F"/>
    <w:rsid w:val="1F1662E8"/>
    <w:rsid w:val="1F61016B"/>
    <w:rsid w:val="1FD11A8A"/>
    <w:rsid w:val="1FEB026C"/>
    <w:rsid w:val="200324E0"/>
    <w:rsid w:val="20EB1A8B"/>
    <w:rsid w:val="212E5E1B"/>
    <w:rsid w:val="21BD7D78"/>
    <w:rsid w:val="220152DE"/>
    <w:rsid w:val="222231C0"/>
    <w:rsid w:val="22284619"/>
    <w:rsid w:val="22C70E0A"/>
    <w:rsid w:val="22D62696"/>
    <w:rsid w:val="235A1E66"/>
    <w:rsid w:val="23627BF4"/>
    <w:rsid w:val="24816262"/>
    <w:rsid w:val="250679D7"/>
    <w:rsid w:val="251009CC"/>
    <w:rsid w:val="251C1380"/>
    <w:rsid w:val="252051D9"/>
    <w:rsid w:val="25CD6ECB"/>
    <w:rsid w:val="25DD396C"/>
    <w:rsid w:val="262E47D4"/>
    <w:rsid w:val="2679795E"/>
    <w:rsid w:val="267A11BB"/>
    <w:rsid w:val="267E3E26"/>
    <w:rsid w:val="27382B4D"/>
    <w:rsid w:val="275C3BF8"/>
    <w:rsid w:val="2777409F"/>
    <w:rsid w:val="27F84A8D"/>
    <w:rsid w:val="285A12A4"/>
    <w:rsid w:val="28612632"/>
    <w:rsid w:val="287852BE"/>
    <w:rsid w:val="28987558"/>
    <w:rsid w:val="28DE1721"/>
    <w:rsid w:val="28E82D54"/>
    <w:rsid w:val="29087CB1"/>
    <w:rsid w:val="29406D7D"/>
    <w:rsid w:val="294E5D6E"/>
    <w:rsid w:val="296E7010"/>
    <w:rsid w:val="298A4F2C"/>
    <w:rsid w:val="29B23ABB"/>
    <w:rsid w:val="29C766BF"/>
    <w:rsid w:val="2A643056"/>
    <w:rsid w:val="2ABA24CE"/>
    <w:rsid w:val="2BC17499"/>
    <w:rsid w:val="2BF34402"/>
    <w:rsid w:val="2BFC08F2"/>
    <w:rsid w:val="2C1125C1"/>
    <w:rsid w:val="2C685FC0"/>
    <w:rsid w:val="2D9577C3"/>
    <w:rsid w:val="2ECC6DB3"/>
    <w:rsid w:val="2F1B1A66"/>
    <w:rsid w:val="2F950E14"/>
    <w:rsid w:val="2FC040E2"/>
    <w:rsid w:val="2FD11A1C"/>
    <w:rsid w:val="300C7328"/>
    <w:rsid w:val="30F600B9"/>
    <w:rsid w:val="313A1221"/>
    <w:rsid w:val="314174A5"/>
    <w:rsid w:val="31BE4652"/>
    <w:rsid w:val="32BA12BD"/>
    <w:rsid w:val="33B04069"/>
    <w:rsid w:val="33D000A1"/>
    <w:rsid w:val="34360E17"/>
    <w:rsid w:val="3452692B"/>
    <w:rsid w:val="348900A5"/>
    <w:rsid w:val="34D44341"/>
    <w:rsid w:val="35011425"/>
    <w:rsid w:val="3558300F"/>
    <w:rsid w:val="35900660"/>
    <w:rsid w:val="35CF32D1"/>
    <w:rsid w:val="35E76EBD"/>
    <w:rsid w:val="3670666E"/>
    <w:rsid w:val="36C56482"/>
    <w:rsid w:val="37040B1B"/>
    <w:rsid w:val="373401FD"/>
    <w:rsid w:val="37A36E1F"/>
    <w:rsid w:val="382035D9"/>
    <w:rsid w:val="38232CF2"/>
    <w:rsid w:val="3823688F"/>
    <w:rsid w:val="385201EA"/>
    <w:rsid w:val="394F56E0"/>
    <w:rsid w:val="397325EB"/>
    <w:rsid w:val="39855DC3"/>
    <w:rsid w:val="39B5458C"/>
    <w:rsid w:val="39DC2BDF"/>
    <w:rsid w:val="39F94DC1"/>
    <w:rsid w:val="3A7F7C87"/>
    <w:rsid w:val="3AAB5128"/>
    <w:rsid w:val="3ADB286E"/>
    <w:rsid w:val="3AFB6916"/>
    <w:rsid w:val="3B253993"/>
    <w:rsid w:val="3B9603ED"/>
    <w:rsid w:val="3BB423AF"/>
    <w:rsid w:val="3BD45317"/>
    <w:rsid w:val="3BE178BA"/>
    <w:rsid w:val="3D7242CB"/>
    <w:rsid w:val="3DB64D77"/>
    <w:rsid w:val="3E7D36E0"/>
    <w:rsid w:val="3EE020AB"/>
    <w:rsid w:val="405455F2"/>
    <w:rsid w:val="407D3E62"/>
    <w:rsid w:val="409B0C49"/>
    <w:rsid w:val="40ED0AAF"/>
    <w:rsid w:val="41B96BE3"/>
    <w:rsid w:val="41FE38D2"/>
    <w:rsid w:val="42D6113F"/>
    <w:rsid w:val="43227841"/>
    <w:rsid w:val="43334884"/>
    <w:rsid w:val="43B835F7"/>
    <w:rsid w:val="44C267FC"/>
    <w:rsid w:val="44EC2CD8"/>
    <w:rsid w:val="455C00D8"/>
    <w:rsid w:val="457E25A9"/>
    <w:rsid w:val="45C716E6"/>
    <w:rsid w:val="45DC0E9F"/>
    <w:rsid w:val="461C7DA1"/>
    <w:rsid w:val="467852BF"/>
    <w:rsid w:val="46893028"/>
    <w:rsid w:val="46930C51"/>
    <w:rsid w:val="46B81499"/>
    <w:rsid w:val="46F05414"/>
    <w:rsid w:val="470F3C69"/>
    <w:rsid w:val="47472AA4"/>
    <w:rsid w:val="475632A7"/>
    <w:rsid w:val="476F76AA"/>
    <w:rsid w:val="47732772"/>
    <w:rsid w:val="47C55FFE"/>
    <w:rsid w:val="482F5E51"/>
    <w:rsid w:val="48650722"/>
    <w:rsid w:val="48FC79EC"/>
    <w:rsid w:val="49276B29"/>
    <w:rsid w:val="49290AF3"/>
    <w:rsid w:val="492B3C2B"/>
    <w:rsid w:val="49494CF1"/>
    <w:rsid w:val="4970315F"/>
    <w:rsid w:val="4972588A"/>
    <w:rsid w:val="499132A7"/>
    <w:rsid w:val="49A76D7F"/>
    <w:rsid w:val="49B4660E"/>
    <w:rsid w:val="4A64169E"/>
    <w:rsid w:val="4A6B78A3"/>
    <w:rsid w:val="4AF7147C"/>
    <w:rsid w:val="4AF76D93"/>
    <w:rsid w:val="4B502367"/>
    <w:rsid w:val="4B75350F"/>
    <w:rsid w:val="4BA45F7F"/>
    <w:rsid w:val="4BC764CD"/>
    <w:rsid w:val="4C5E6D05"/>
    <w:rsid w:val="4C8E5D3B"/>
    <w:rsid w:val="4CDA1008"/>
    <w:rsid w:val="4CDE03A9"/>
    <w:rsid w:val="4D007DBC"/>
    <w:rsid w:val="4D194AB7"/>
    <w:rsid w:val="4D1D2688"/>
    <w:rsid w:val="4D61085B"/>
    <w:rsid w:val="4E4361B3"/>
    <w:rsid w:val="4E553D46"/>
    <w:rsid w:val="4E6961E1"/>
    <w:rsid w:val="4F8D6891"/>
    <w:rsid w:val="4FB84740"/>
    <w:rsid w:val="50B73D85"/>
    <w:rsid w:val="50C3672C"/>
    <w:rsid w:val="50C730CB"/>
    <w:rsid w:val="51391C9B"/>
    <w:rsid w:val="528C36C9"/>
    <w:rsid w:val="52D643E5"/>
    <w:rsid w:val="52E45FE0"/>
    <w:rsid w:val="531511DA"/>
    <w:rsid w:val="531857D3"/>
    <w:rsid w:val="53D03696"/>
    <w:rsid w:val="53DF24DA"/>
    <w:rsid w:val="544B7E40"/>
    <w:rsid w:val="5486329D"/>
    <w:rsid w:val="549F478F"/>
    <w:rsid w:val="54A97A02"/>
    <w:rsid w:val="553B7BE4"/>
    <w:rsid w:val="553E1482"/>
    <w:rsid w:val="55D63373"/>
    <w:rsid w:val="55D63679"/>
    <w:rsid w:val="55DC77BD"/>
    <w:rsid w:val="561D378D"/>
    <w:rsid w:val="563B45DC"/>
    <w:rsid w:val="564B02FA"/>
    <w:rsid w:val="56B448A6"/>
    <w:rsid w:val="570851BD"/>
    <w:rsid w:val="57AC4DC9"/>
    <w:rsid w:val="57D10688"/>
    <w:rsid w:val="57E73521"/>
    <w:rsid w:val="58631A9E"/>
    <w:rsid w:val="58646AD4"/>
    <w:rsid w:val="58905E3D"/>
    <w:rsid w:val="58922659"/>
    <w:rsid w:val="58C25462"/>
    <w:rsid w:val="58CF5213"/>
    <w:rsid w:val="59223B2F"/>
    <w:rsid w:val="59681FB8"/>
    <w:rsid w:val="5B0F5141"/>
    <w:rsid w:val="5B97777F"/>
    <w:rsid w:val="5BD91F04"/>
    <w:rsid w:val="5BE404B4"/>
    <w:rsid w:val="5CA22ECD"/>
    <w:rsid w:val="5D3D7371"/>
    <w:rsid w:val="5DAF4D9E"/>
    <w:rsid w:val="5DE10025"/>
    <w:rsid w:val="5DED2D1B"/>
    <w:rsid w:val="5E383D3B"/>
    <w:rsid w:val="5E870A7B"/>
    <w:rsid w:val="5E87324E"/>
    <w:rsid w:val="5F356B01"/>
    <w:rsid w:val="5F5521EA"/>
    <w:rsid w:val="5F6C051F"/>
    <w:rsid w:val="6034633E"/>
    <w:rsid w:val="60EC4D33"/>
    <w:rsid w:val="61A54ACD"/>
    <w:rsid w:val="61DC78F0"/>
    <w:rsid w:val="62B66AFB"/>
    <w:rsid w:val="62E50297"/>
    <w:rsid w:val="63565DA2"/>
    <w:rsid w:val="63585E05"/>
    <w:rsid w:val="63F7386F"/>
    <w:rsid w:val="641A33C9"/>
    <w:rsid w:val="64AB7A12"/>
    <w:rsid w:val="64B928D3"/>
    <w:rsid w:val="65295B69"/>
    <w:rsid w:val="65684687"/>
    <w:rsid w:val="6596634C"/>
    <w:rsid w:val="65B3698A"/>
    <w:rsid w:val="660109D5"/>
    <w:rsid w:val="66461109"/>
    <w:rsid w:val="66F0269F"/>
    <w:rsid w:val="67577A53"/>
    <w:rsid w:val="67A868C5"/>
    <w:rsid w:val="67B53825"/>
    <w:rsid w:val="67CD7EB1"/>
    <w:rsid w:val="67FC10EE"/>
    <w:rsid w:val="6808601E"/>
    <w:rsid w:val="680D6BD5"/>
    <w:rsid w:val="68420E31"/>
    <w:rsid w:val="68C006D4"/>
    <w:rsid w:val="692C5ECF"/>
    <w:rsid w:val="69EF02B7"/>
    <w:rsid w:val="6AD97927"/>
    <w:rsid w:val="6B2D183A"/>
    <w:rsid w:val="6BA84528"/>
    <w:rsid w:val="6C0C1E82"/>
    <w:rsid w:val="6CA10267"/>
    <w:rsid w:val="6D4812DD"/>
    <w:rsid w:val="6D585D85"/>
    <w:rsid w:val="6D9739CD"/>
    <w:rsid w:val="6E034A6B"/>
    <w:rsid w:val="6E6506EE"/>
    <w:rsid w:val="6EC46A44"/>
    <w:rsid w:val="6EC759DF"/>
    <w:rsid w:val="6F490CF7"/>
    <w:rsid w:val="6F5C396C"/>
    <w:rsid w:val="6FB82179"/>
    <w:rsid w:val="70AD495E"/>
    <w:rsid w:val="712115FB"/>
    <w:rsid w:val="71360F73"/>
    <w:rsid w:val="71494FDF"/>
    <w:rsid w:val="715458FF"/>
    <w:rsid w:val="71AC3EEB"/>
    <w:rsid w:val="71B47F51"/>
    <w:rsid w:val="71C91C6D"/>
    <w:rsid w:val="720D0234"/>
    <w:rsid w:val="7210111B"/>
    <w:rsid w:val="72793D25"/>
    <w:rsid w:val="727F33AE"/>
    <w:rsid w:val="72E74AAF"/>
    <w:rsid w:val="734A7115"/>
    <w:rsid w:val="735716E0"/>
    <w:rsid w:val="737A1DC7"/>
    <w:rsid w:val="73A34E7A"/>
    <w:rsid w:val="74A60486"/>
    <w:rsid w:val="754937FF"/>
    <w:rsid w:val="755521A4"/>
    <w:rsid w:val="75986535"/>
    <w:rsid w:val="75BC75C3"/>
    <w:rsid w:val="75E27F05"/>
    <w:rsid w:val="76C75876"/>
    <w:rsid w:val="7709406E"/>
    <w:rsid w:val="778B00FF"/>
    <w:rsid w:val="779632AD"/>
    <w:rsid w:val="77BD7908"/>
    <w:rsid w:val="77CD6969"/>
    <w:rsid w:val="77D84854"/>
    <w:rsid w:val="78391AA3"/>
    <w:rsid w:val="78395DAD"/>
    <w:rsid w:val="7878159A"/>
    <w:rsid w:val="78ED00D3"/>
    <w:rsid w:val="799C2A97"/>
    <w:rsid w:val="79A311F0"/>
    <w:rsid w:val="79CE4A43"/>
    <w:rsid w:val="7B475B0C"/>
    <w:rsid w:val="7B9A1258"/>
    <w:rsid w:val="7C9537CE"/>
    <w:rsid w:val="7C991510"/>
    <w:rsid w:val="7D8B495A"/>
    <w:rsid w:val="7D9957DF"/>
    <w:rsid w:val="7DDF0F6D"/>
    <w:rsid w:val="7DFC3B04"/>
    <w:rsid w:val="7E7A40F2"/>
    <w:rsid w:val="7E9C7095"/>
    <w:rsid w:val="7EAF69AA"/>
    <w:rsid w:val="7F71054D"/>
    <w:rsid w:val="7FFE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after="64" w:line="317" w:lineRule="auto"/>
      <w:outlineLvl w:val="6"/>
    </w:pPr>
    <w:rPr>
      <w:b/>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Body Text"/>
    <w:basedOn w:val="1"/>
    <w:next w:val="1"/>
    <w:qFormat/>
    <w:uiPriority w:val="0"/>
    <w:rPr>
      <w:rFonts w:ascii="仿宋_GB2312" w:eastAsia="仿宋_GB2312"/>
      <w:sz w:val="32"/>
    </w:rPr>
  </w:style>
  <w:style w:type="paragraph" w:styleId="11">
    <w:name w:val="Body Text Indent"/>
    <w:basedOn w:val="1"/>
    <w:qFormat/>
    <w:uiPriority w:val="99"/>
    <w:pPr>
      <w:spacing w:line="700" w:lineRule="exact"/>
      <w:ind w:left="960"/>
    </w:pPr>
    <w:rPr>
      <w:sz w:val="44"/>
    </w:rPr>
  </w:style>
  <w:style w:type="paragraph" w:styleId="12">
    <w:name w:val="Plain Text"/>
    <w:basedOn w:val="1"/>
    <w:qFormat/>
    <w:uiPriority w:val="0"/>
    <w:rPr>
      <w:rFonts w:ascii="宋体" w:hAnsi="Courier New"/>
      <w:sz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First Indent 2"/>
    <w:basedOn w:val="11"/>
    <w:next w:val="1"/>
    <w:qFormat/>
    <w:uiPriority w:val="99"/>
    <w:pPr>
      <w:spacing w:after="120" w:line="240" w:lineRule="auto"/>
      <w:ind w:left="420" w:leftChars="200" w:firstLine="420" w:firstLineChars="200"/>
    </w:p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line="180" w:lineRule="auto"/>
      <w:jc w:val="center"/>
    </w:pPr>
    <w:rPr>
      <w:sz w:val="30"/>
    </w:rPr>
  </w:style>
  <w:style w:type="paragraph" w:styleId="17">
    <w:name w:val="toc 2"/>
    <w:basedOn w:val="1"/>
    <w:next w:val="1"/>
    <w:qFormat/>
    <w:uiPriority w:val="0"/>
    <w:pPr>
      <w:ind w:left="420" w:leftChars="200"/>
    </w:pPr>
  </w:style>
  <w:style w:type="paragraph" w:styleId="18">
    <w:name w:val="Body Text 2"/>
    <w:basedOn w:val="1"/>
    <w:qFormat/>
    <w:uiPriority w:val="0"/>
    <w:pPr>
      <w:adjustRightInd w:val="0"/>
      <w:snapToGrid w:val="0"/>
      <w:spacing w:after="120" w:line="480" w:lineRule="auto"/>
    </w:pPr>
    <w:rPr>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page number"/>
    <w:qFormat/>
    <w:uiPriority w:val="0"/>
  </w:style>
  <w:style w:type="character" w:customStyle="1" w:styleId="23">
    <w:name w:val="NormalCharacter"/>
    <w:qFormat/>
    <w:uiPriority w:val="0"/>
    <w:rPr>
      <w:rFonts w:ascii="Tahoma" w:hAnsi="Tahoma"/>
      <w:sz w:val="24"/>
    </w:rPr>
  </w:style>
  <w:style w:type="paragraph" w:customStyle="1" w:styleId="24">
    <w:name w:val="表内容"/>
    <w:basedOn w:val="1"/>
    <w:next w:val="1"/>
    <w:qFormat/>
    <w:uiPriority w:val="0"/>
    <w:pPr>
      <w:jc w:val="center"/>
    </w:pPr>
    <w:rPr>
      <w:rFonts w:ascii="Calibri" w:hAnsi="Calibri"/>
      <w:sz w:val="21"/>
      <w:szCs w:val="24"/>
    </w:rPr>
  </w:style>
  <w:style w:type="paragraph" w:customStyle="1" w:styleId="25">
    <w:name w:val="BodyTextIndent"/>
    <w:next w:val="26"/>
    <w:qFormat/>
    <w:uiPriority w:val="0"/>
    <w:pPr>
      <w:spacing w:before="100" w:beforeAutospacing="1" w:after="100" w:afterAutospacing="1" w:line="288" w:lineRule="auto"/>
      <w:ind w:left="200" w:hanging="20"/>
      <w:jc w:val="both"/>
    </w:pPr>
    <w:rPr>
      <w:rFonts w:ascii="宋体" w:hAnsi="Times New Roman" w:eastAsia="宋体" w:cs="Times New Roman"/>
      <w:kern w:val="2"/>
      <w:sz w:val="24"/>
      <w:szCs w:val="24"/>
      <w:lang w:val="en-US" w:eastAsia="zh-CN" w:bidi="ar-SA"/>
    </w:rPr>
  </w:style>
  <w:style w:type="paragraph" w:customStyle="1" w:styleId="26">
    <w:name w:val="UserStyle_0"/>
    <w:next w:val="27"/>
    <w:qFormat/>
    <w:uiPriority w:val="0"/>
    <w:pPr>
      <w:snapToGrid w:val="0"/>
      <w:spacing w:line="560" w:lineRule="exact"/>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27">
    <w:name w:val="Index6"/>
    <w:basedOn w:val="1"/>
    <w:next w:val="1"/>
    <w:qFormat/>
    <w:uiPriority w:val="0"/>
    <w:pPr>
      <w:ind w:left="2100"/>
    </w:p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1"/>
    <w:basedOn w:val="1"/>
    <w:next w:val="12"/>
    <w:qFormat/>
    <w:uiPriority w:val="0"/>
    <w:rPr>
      <w:rFonts w:ascii="宋体" w:hAnsi="Courier New"/>
      <w:sz w:val="21"/>
    </w:rPr>
  </w:style>
  <w:style w:type="character" w:customStyle="1" w:styleId="32">
    <w:name w:val="HTML Markup"/>
    <w:qFormat/>
    <w:uiPriority w:val="0"/>
    <w:rPr>
      <w:vanish/>
      <w:color w:val="FF0000"/>
    </w:rPr>
  </w:style>
  <w:style w:type="paragraph" w:customStyle="1" w:styleId="3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4">
    <w:name w:val="图例"/>
    <w:basedOn w:val="1"/>
    <w:qFormat/>
    <w:uiPriority w:val="0"/>
    <w:pPr>
      <w:spacing w:before="120" w:after="120" w:line="360" w:lineRule="auto"/>
      <w:jc w:val="center"/>
    </w:pPr>
    <w:rPr>
      <w:rFonts w:eastAsia="仿宋_GB2312"/>
      <w:b/>
      <w:sz w:val="24"/>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
    <w:name w:val="政采招标大字"/>
    <w:semiHidden/>
    <w:qFormat/>
    <w:uiPriority w:val="0"/>
    <w:pPr>
      <w:spacing w:line="1600" w:lineRule="exact"/>
      <w:jc w:val="center"/>
    </w:pPr>
    <w:rPr>
      <w:rFonts w:ascii="黑体" w:hAnsi="宋体" w:eastAsia="方正黑体_GBK" w:cs="Times New Roman"/>
      <w:b/>
      <w:kern w:val="2"/>
      <w:sz w:val="72"/>
      <w:szCs w:val="9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10461</Words>
  <Characters>10798</Characters>
  <Lines>115</Lines>
  <Paragraphs>32</Paragraphs>
  <TotalTime>26</TotalTime>
  <ScaleCrop>false</ScaleCrop>
  <LinksUpToDate>false</LinksUpToDate>
  <CharactersWithSpaces>11557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2022-08-05T06:58:00Z</dcterms:created>
  <dc:creator>聚创</dc:creator>
  <cp:lastModifiedBy>langchao</cp:lastModifiedBy>
  <cp:lastPrinted>2025-08-29T01:32:00Z</cp:lastPrinted>
  <dcterms:modified xsi:type="dcterms:W3CDTF">2026-06-16T08:05:22Z</dcterms:modified>
  <dc:title>重庆市空气质量数据与气象、下垫面要素特征研究项目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35899E948E454D5CA4D112B33885C48A_13</vt:lpwstr>
  </property>
  <property fmtid="{D5CDD505-2E9C-101B-9397-08002B2CF9AE}" pid="4" name="KSOTemplateDocerSaveRecord">
    <vt:lpwstr>eyJoZGlkIjoiODM3YjIwYmZkNWI3NmM1NTE4N2I2YzBkM2NiOThiOGEiLCJ1c2VySWQiOiIxMDE1MDc5MjYzIn0=</vt:lpwstr>
  </property>
</Properties>
</file>