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大足农委发〔2024〕41号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lang w:val="en-US" w:eastAsia="zh-CN"/>
        </w:rPr>
        <w:t>大足区农业农村委员会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lang w:eastAsia="zh-CN"/>
        </w:rPr>
        <w:t>农村土</w:t>
      </w:r>
      <w:r>
        <w:rPr>
          <w:rFonts w:hint="default" w:ascii="Times New Roman" w:hAnsi="Times New Roman" w:eastAsia="方正小标宋_GBK" w:cs="Times New Roman"/>
          <w:b w:val="0"/>
          <w:bCs/>
          <w:sz w:val="44"/>
        </w:rPr>
        <w:t>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lang w:eastAsia="zh-CN"/>
        </w:rPr>
        <w:t>流转后防止耕地“非粮化”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</w:rPr>
        <w:t>种植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lang w:eastAsia="zh-CN"/>
        </w:rPr>
        <w:t>模式</w:t>
      </w:r>
      <w:r>
        <w:rPr>
          <w:rFonts w:hint="default" w:ascii="Times New Roman" w:hAnsi="Times New Roman" w:eastAsia="方正小标宋_GBK" w:cs="Times New Roman"/>
          <w:b w:val="0"/>
          <w:bCs/>
          <w:sz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镇街人民政府（办事处）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为贯彻落实《重庆市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大足区</w:t>
      </w:r>
      <w:r>
        <w:rPr>
          <w:rFonts w:hint="default" w:ascii="Times New Roman" w:hAnsi="Times New Roman" w:eastAsia="方正仿宋_GBK" w:cs="Times New Roman"/>
          <w:sz w:val="32"/>
        </w:rPr>
        <w:t>人民政府办公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室</w:t>
      </w:r>
      <w:r>
        <w:rPr>
          <w:rFonts w:hint="default" w:ascii="Times New Roman" w:hAnsi="Times New Roman" w:eastAsia="方正仿宋_GBK" w:cs="Times New Roman"/>
          <w:sz w:val="32"/>
        </w:rPr>
        <w:t>关于防止耕地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</w:rPr>
        <w:t>非粮化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</w:rPr>
        <w:t>稳定粮食生产的实施意见》（大足府办发〔202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76</w:t>
      </w:r>
      <w:r>
        <w:rPr>
          <w:rFonts w:hint="default" w:ascii="Times New Roman" w:hAnsi="Times New Roman" w:eastAsia="方正仿宋_GBK" w:cs="Times New Roman"/>
          <w:sz w:val="32"/>
        </w:rPr>
        <w:t>号），落实耕地利用优先序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</w:rPr>
        <w:t>兼顾粮食作物和经济作物协同发展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</w:rPr>
        <w:t>统筹巩固脱贫攻坚成果与全面推进乡村振兴底线任务，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</w:rPr>
        <w:t>《重庆市耕地中农作物间套作经济作物技术手册（试行）》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，制定我区农村土地流转后规模经营主体种植农作物的规范和要求，以</w:t>
      </w:r>
      <w:r>
        <w:rPr>
          <w:rFonts w:hint="default" w:ascii="Times New Roman" w:hAnsi="Times New Roman" w:eastAsia="方正仿宋_GBK" w:cs="Times New Roman"/>
          <w:sz w:val="32"/>
        </w:rPr>
        <w:t>切实防止耕地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</w:rPr>
        <w:t>非粮化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</w:rPr>
        <w:t>，有效稳定粮食生产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，防止耕地因“非粮化”流出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一、严禁规模经营主体流转永久基本农田种树挖塘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贯彻执行《土地管理法》《基本农田保护条例》有关规定，明确耕地和永久基本农田不同的管制目标和管理制度，禁止规模经营主体流转永久基本农田从事林果业、挖塘养鱼、非法取土等破坏耕作层的行为；禁止规模经营主体闲置、荒芜永久基本农田。利用永久基本农田发展稻鱼、稻虾、稻蟹等综合立体种养，沟坑占比要符合相关技术规范通则标准。开展存量占用永久基本农田从事“非粮化”情况摸底调查，建立现状台账，分类稳妥处置，坚决遏制新发生违规占用永久基本农田进行“非粮化”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二、坚持将流转耕地优先用于粮食生产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正确处理农业结构调整与粮食生产的关系，农业结构调整要以不影响粮食生产为前提，科学布局经济作物种植区域。对耕地实行特殊保护和用途管制，严格控制耕地转为林地、园地等其他农用地。永久基本农田要重点用于发展粮食生产，特别是稻谷、玉米等谷物的种植；一般耕地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主要用于粮油、蔬菜等农产品及饲草饲料生产；耕地在优先满足粮食和食用农产品生产基础上，适度用于非食用农产品生产。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三、加强耕地流转后农作物种植监管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对坡度较高、立地条件较差的一般耕地，规模经营主体流转农村土地后可按照宜粮则粮、宜经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的原则种植经济作物。各镇街要加大对经营业主的技术指导，将新增的每一块流转耕地图斑纳入精细化、规范化管理，参照附件1附件2要求，通过扩大行距、株距，间种、套种粮油作物方式，防止耕地因“非粮化”流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大足区耕地间套作部分经济作物栽植密度要求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2.大足区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耕地中农作物间套作经济作物模式参考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                  重庆市大足区农业农村委员会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（此件</w:t>
      </w:r>
      <w:r>
        <w:rPr>
          <w:rFonts w:hint="eastAsia" w:eastAsia="方正仿宋_GBK" w:cs="Times New Roman"/>
          <w:sz w:val="32"/>
          <w:lang w:eastAsia="zh-CN"/>
        </w:rPr>
        <w:t>主动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公开）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="0" w:afterLines="0"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</w:rPr>
      </w:pPr>
      <w:r>
        <w:rPr>
          <w:rFonts w:hint="default" w:ascii="Times New Roman" w:hAnsi="Times New Roman" w:eastAsia="方正小标宋_GBK" w:cs="Times New Roman"/>
          <w:sz w:val="32"/>
          <w:lang w:eastAsia="zh-CN"/>
        </w:rPr>
        <w:t>大足区</w:t>
      </w:r>
      <w:r>
        <w:rPr>
          <w:rFonts w:hint="default" w:ascii="Times New Roman" w:hAnsi="Times New Roman" w:eastAsia="方正小标宋_GBK" w:cs="Times New Roman"/>
          <w:sz w:val="32"/>
        </w:rPr>
        <w:t>耕地间套作部分经济作物栽植密度要求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933"/>
        <w:gridCol w:w="1124"/>
        <w:gridCol w:w="1076"/>
        <w:gridCol w:w="187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种植品种类别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行距（</w:t>
            </w:r>
            <w:r>
              <w:rPr>
                <w:rFonts w:hint="default" w:ascii="Times New Roman" w:hAnsi="Times New Roman" w:eastAsia="等线" w:cs="Times New Roman"/>
                <w:b/>
                <w:sz w:val="24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适宜株距（</w:t>
            </w:r>
            <w:r>
              <w:rPr>
                <w:rFonts w:hint="default" w:ascii="Times New Roman" w:hAnsi="Times New Roman" w:eastAsia="等线" w:cs="Times New Roman"/>
                <w:b/>
                <w:sz w:val="24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最大株距时亩株数与限制冠幅（株</w:t>
            </w:r>
            <w:r>
              <w:rPr>
                <w:rFonts w:hint="default" w:ascii="Times New Roman" w:hAnsi="Times New Roman" w:eastAsia="等线" w:cs="Times New Roman"/>
                <w:b/>
                <w:sz w:val="24"/>
              </w:rPr>
              <w:t>/m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）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最小株距时亩株数与限制冠幅（株</w:t>
            </w:r>
            <w:r>
              <w:rPr>
                <w:rFonts w:hint="default" w:ascii="Times New Roman" w:hAnsi="Times New Roman" w:eastAsia="等线" w:cs="Times New Roman"/>
                <w:b/>
                <w:sz w:val="24"/>
              </w:rPr>
              <w:t>/m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常绿果树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柑橘类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 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其中：柚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25 /3.5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30/3.3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枇杷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5.5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30/3.3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35/3.0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杨梅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5.5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30/3.3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35/3.0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荔枝龙眼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25/3.5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30/3.0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落叶果树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李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桃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樱桃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梨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 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（葡萄、蓝莓等）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≥ 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1.5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2.0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80/2.0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130/1.5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干果类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板栗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文泉驿微米黑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  <w:r>
              <w:rPr>
                <w:rFonts w:hint="default" w:ascii="Times New Roman" w:hAnsi="Times New Roman" w:eastAsia="文泉驿微米黑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25 /3.5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30/3.3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核桃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6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22/4.0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27/3.5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多年生中药材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枳壳（枳实）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 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佛手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 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无花果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≥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 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花椒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≥</w:t>
            </w:r>
            <w:r>
              <w:rPr>
                <w:rFonts w:hint="default" w:ascii="Times New Roman" w:hAnsi="Times New Roman" w:eastAsia="等线" w:cs="Times New Roman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2.5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50 /2.5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山银花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≥</w:t>
            </w:r>
            <w:r>
              <w:rPr>
                <w:rFonts w:hint="default" w:ascii="Times New Roman" w:hAnsi="Times New Roman" w:eastAsia="等线" w:cs="Times New Roman"/>
              </w:rPr>
              <w:t xml:space="preserve"> 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140/1.5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220/1.0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栀子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≥</w:t>
            </w:r>
            <w:r>
              <w:rPr>
                <w:rFonts w:hint="default" w:ascii="Times New Roman" w:hAnsi="Times New Roman" w:eastAsia="等线" w:cs="Times New Roman"/>
              </w:rPr>
              <w:t xml:space="preserve"> 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1.0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220/1.0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440/0.5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木瓜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≥</w:t>
            </w:r>
            <w:r>
              <w:rPr>
                <w:rFonts w:hint="default" w:ascii="Times New Roman" w:hAnsi="Times New Roman" w:eastAsia="等线" w:cs="Times New Roman"/>
              </w:rPr>
              <w:t xml:space="preserve"> 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hint="default" w:ascii="Times New Roman" w:hAnsi="Times New Roman" w:eastAsia="等线" w:cs="Times New Roman"/>
                <w:sz w:val="24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40 /2.8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66 /2.0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油茶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65/2.0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</w:rPr>
              <w:t>50/2.5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另：1. </w:t>
      </w:r>
      <w:r>
        <w:rPr>
          <w:rFonts w:hint="default" w:ascii="Times New Roman" w:hAnsi="Times New Roman" w:eastAsia="仿宋_GB2312" w:cs="Times New Roman"/>
          <w:sz w:val="24"/>
        </w:rPr>
        <w:t>耕地中农作物间套作茶叶，茶树种植行距应符合150厘米以上限值要求，以春茶生产为主，在春茶采摘季结束后，对茶蓬行间间距达不到限值要求的进行间伐或修剪，达到茶棚间的间距大于80厘米的限制指标，同时符合农作物种植面积&gt;50%的要求，并种植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矮秆</w:t>
      </w:r>
      <w:r>
        <w:rPr>
          <w:rFonts w:hint="default" w:ascii="Times New Roman" w:hAnsi="Times New Roman" w:eastAsia="仿宋_GB2312" w:cs="Times New Roman"/>
          <w:sz w:val="24"/>
        </w:rPr>
        <w:t>玉米、高粱、大豆等一季农作物。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94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耕地中农作物间套作中药材，分为食药同源蔬菜、一年生草本中药材和多年生中药材三种间套作模式。耕地种植食药同源蔬菜和一年生中药材，符合附件一要求的品种按农作物管理。</w:t>
      </w: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</w:rPr>
      </w:pPr>
      <w:r>
        <w:rPr>
          <w:rFonts w:hint="default" w:ascii="Times New Roman" w:hAnsi="Times New Roman" w:eastAsia="方正小标宋_GBK" w:cs="Times New Roman"/>
          <w:sz w:val="32"/>
          <w:lang w:eastAsia="zh-CN"/>
        </w:rPr>
        <w:t>大足区</w:t>
      </w:r>
      <w:r>
        <w:rPr>
          <w:rFonts w:hint="default" w:ascii="Times New Roman" w:hAnsi="Times New Roman" w:eastAsia="方正小标宋_GBK" w:cs="Times New Roman"/>
          <w:sz w:val="32"/>
        </w:rPr>
        <w:t>耕地中农作物间套作经济作物模式参考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19"/>
        <w:gridCol w:w="1415"/>
        <w:gridCol w:w="2215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间套作物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优先间套农作物推荐种类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立地条件差的山地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夏季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秋冬季</w:t>
            </w:r>
          </w:p>
        </w:tc>
        <w:tc>
          <w:tcPr>
            <w:tcW w:w="3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常绿果树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柑橘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豌胡豆、菜用油菜、芥菜（青菜头）等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枇杷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豌胡豆、菜用油菜、芥菜（青菜头）等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杨梅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豌胡豆、菜用油菜、芥菜（青菜头）等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荔枝龙眼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豌胡豆、菜用油菜、芥菜（青菜头）等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落叶果树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李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大豆、红薯、南瓜、冬瓜、甘蓝等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马铃薯、豌胡豆、油菜、甘蓝、萝卜等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桃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大豆、红薯、南瓜、冬瓜、甘蓝等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马铃薯、豌胡豆、油菜、甘蓝、萝卜等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樱桃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豌胡豆、萝卜、芥菜（青菜头）等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大豆、红薯、南瓜、冬瓜、甘蓝等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马铃薯、豌胡豆、油菜、甘蓝、萝卜等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全年种植三叶草（高海拔）、野豌豆（低海拔）等多年生豆科绿肥饲草饲料作物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核桃、板栗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豌胡豆、油菜等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全年种植三叶草（高海拔）、野豌豆（低海拔）等多年生豆科绿肥饲草饲料作物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其它（葡萄、蓝莓等）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红薯、大豆等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萝卜、葱、蒜、油菜等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全年种植三叶草（高海拔）、野豌豆（低海拔）等豆科绿肥饲草饲料作物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茶树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绿茶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矮秆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玉米、高粱、大豆、红薯等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田边、梯坎全年种植三叶草（高海拔）、野豌豆（低海拔）等豆科绿肥饲草饲料作物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多年生中药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材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枳壳、佛手、无花果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豌胡豆、油菜、芥菜（青菜头）等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花椒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马铃薯、豌胡豆、油菜、芥菜（青菜头）、甘蓝等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山银花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豌胡豆、萝卜、葱、蒜等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栀子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豌胡豆、萝卜、葱、蒜等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全年种植野豌豆等多年生豆科绿肥饲料饲草作物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木瓜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大豆、红薯、南瓜、冬瓜等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马铃薯、豌胡豆、芥菜（青菜头）、甘蓝、萝卜等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全年种植三叶草（高海拔）、野豌豆（低海拔）等多年生豆科绿肥饲料饲草作物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黄精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玉米、高粱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马铃薯、小麦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独活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玉米、高粱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马铃薯、小麦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cs="Times New Roman"/>
        </w:rPr>
        <w:t>注：果树类中药材为：枳壳（枳实）、佛手、无花果等</w:t>
      </w: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重庆市大足区农业农村委员会办公室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2024年5月9日印发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文泉驿微米黑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TRjZWE0NmEyNjc5MDFmN2U1YTdmMzhlZmE0ZmEifQ=="/>
  </w:docVars>
  <w:rsids>
    <w:rsidRoot w:val="024650ED"/>
    <w:rsid w:val="00CB5A10"/>
    <w:rsid w:val="024650ED"/>
    <w:rsid w:val="0797275A"/>
    <w:rsid w:val="0A7F5749"/>
    <w:rsid w:val="0B0E675C"/>
    <w:rsid w:val="1EBD4B29"/>
    <w:rsid w:val="29CD081B"/>
    <w:rsid w:val="3ABF037E"/>
    <w:rsid w:val="3AC4114E"/>
    <w:rsid w:val="3BFF3945"/>
    <w:rsid w:val="3E4839DE"/>
    <w:rsid w:val="3EA352FB"/>
    <w:rsid w:val="448473F7"/>
    <w:rsid w:val="53745504"/>
    <w:rsid w:val="572640D1"/>
    <w:rsid w:val="66D91AAF"/>
    <w:rsid w:val="7DE0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spacing w:after="120" w:afterLines="0"/>
      <w:jc w:val="both"/>
    </w:pPr>
    <w:rPr>
      <w:rFonts w:ascii="Times New Roman" w:hAnsi="Times New Roman" w:eastAsia="Times New Roman" w:cs="Times New Roman"/>
      <w:kern w:val="0"/>
      <w:sz w:val="24"/>
      <w:szCs w:val="24"/>
      <w:lang w:bidi="ar-SA"/>
    </w:rPr>
  </w:style>
  <w:style w:type="paragraph" w:customStyle="1" w:styleId="3">
    <w:name w:val="Body Text 2"/>
    <w:basedOn w:val="1"/>
    <w:autoRedefine/>
    <w:qFormat/>
    <w:uiPriority w:val="0"/>
    <w:pPr>
      <w:spacing w:after="120" w:afterLines="0" w:line="480" w:lineRule="auto"/>
    </w:pPr>
    <w:rPr>
      <w:rFonts w:eastAsia="宋体"/>
      <w:sz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2024-04-27T00:36:00Z</dcterms:created>
  <dc:creator>Administrator</dc:creator>
  <cp:lastModifiedBy>Administrator</cp:lastModifiedBy>
  <dcterms:modified xsi:type="dcterms:W3CDTF">2024-05-13T09:09:03Z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CD8E69757150420796CBD903B3E41457_11</vt:lpwstr>
  </property>
</Properties>
</file>