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C0954">
      <w:pPr>
        <w:spacing w:line="570" w:lineRule="exact"/>
        <w:jc w:val="right"/>
        <w:rPr>
          <w:rFonts w:hint="default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A类</w:t>
      </w:r>
    </w:p>
    <w:p w14:paraId="63FEC566">
      <w:pPr>
        <w:spacing w:line="570" w:lineRule="exact"/>
        <w:jc w:val="righ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同意公开</w:t>
      </w:r>
    </w:p>
    <w:p w14:paraId="6BFBCED9">
      <w:pPr>
        <w:spacing w:line="570" w:lineRule="exact"/>
        <w:jc w:val="right"/>
      </w:pPr>
    </w:p>
    <w:p w14:paraId="574AF5B1">
      <w:pPr>
        <w:spacing w:line="570" w:lineRule="exact"/>
      </w:pPr>
    </w:p>
    <w:p w14:paraId="5359B909">
      <w:pPr>
        <w:spacing w:line="570" w:lineRule="exact"/>
      </w:pPr>
      <w:r>
        <w:rPr>
          <w:sz w:val="32"/>
          <w:lang w:bidi="ar"/>
        </w:rPr>
        <w:pict>
          <v:group id="_x0000_s1026" o:spid="_x0000_s1026" o:spt="203" style="position:absolute;left:0pt;margin-left:18.9pt;margin-top:25.9pt;height:150.3pt;width:425.1pt;z-index:251660288;mso-width-relative:page;mso-height-relative:page;" coordsize="8502,3006">
            <o:lock v:ext="edit" aspectratio="f"/>
            <v:shape id="_x0000_s1027" o:spid="_x0000_s1027" o:spt="136" type="#_x0000_t136" style="position:absolute;left:181;top:0;height:1289;width:8011;" fillcolor="#FF0000" filled="t" stroked="t" coordsize="21600,21600" adj="10800">
              <v:path/>
              <v:fill on="t" color2="#FFFFFF" focussize="0,0"/>
              <v:stroke color="#FF0000"/>
              <v:imagedata o:title=""/>
              <o:lock v:ext="edit" aspectratio="f"/>
              <v:textpath on="t" fitshape="t" fitpath="t" trim="t" xscale="f" string="重庆市大足区经济和信息化委员会文件" style="font-family:方正小标宋_GBK;font-size:40pt;font-weight:bold;v-text-align:center;"/>
            </v:shape>
            <v:line id="_x0000_s1028" o:spid="_x0000_s1028" o:spt="20" style="position:absolute;left:0;top:3006;height:1;width:8503;" filled="f" stroked="t" coordsize="21600,21600">
              <v:path arrowok="t"/>
              <v:fill on="f" focussize="0,0"/>
              <v:stroke weight="3pt" color="#FF0000"/>
              <v:imagedata o:title=""/>
              <o:lock v:ext="edit" aspectratio="f"/>
            </v:line>
          </v:group>
        </w:pict>
      </w:r>
    </w:p>
    <w:p w14:paraId="189BAC73">
      <w:pPr>
        <w:spacing w:line="570" w:lineRule="exact"/>
      </w:pPr>
    </w:p>
    <w:p w14:paraId="154D8E59"/>
    <w:p w14:paraId="63E3489A">
      <w:pPr>
        <w:autoSpaceDE w:val="0"/>
        <w:autoSpaceDN w:val="0"/>
        <w:adjustRightInd w:val="0"/>
        <w:spacing w:line="580" w:lineRule="exact"/>
      </w:pPr>
    </w:p>
    <w:p w14:paraId="02C68B9D">
      <w:pPr>
        <w:autoSpaceDE w:val="0"/>
        <w:autoSpaceDN w:val="0"/>
        <w:adjustRightInd w:val="0"/>
        <w:spacing w:line="580" w:lineRule="exact"/>
        <w:jc w:val="center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zh-CN" w:bidi="ar"/>
        </w:rPr>
      </w:pPr>
    </w:p>
    <w:p w14:paraId="274AA309">
      <w:pPr>
        <w:pStyle w:val="4"/>
        <w:rPr>
          <w:rFonts w:hint="eastAsia"/>
          <w:lang w:val="zh-CN"/>
        </w:rPr>
      </w:pPr>
    </w:p>
    <w:p w14:paraId="24A94AB7">
      <w:pPr>
        <w:autoSpaceDE w:val="0"/>
        <w:autoSpaceDN w:val="0"/>
        <w:adjustRightInd w:val="0"/>
        <w:spacing w:line="580" w:lineRule="exact"/>
        <w:jc w:val="center"/>
        <w:rPr>
          <w:rFonts w:hint="eastAsia" w:ascii="方正仿宋_GBK" w:hAnsi="方正仿宋_GBK" w:eastAsia="方正仿宋_GBK" w:cs="方正仿宋_GBK"/>
          <w:kern w:val="0"/>
          <w:szCs w:val="32"/>
          <w:lang w:val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zh-CN" w:bidi="ar"/>
        </w:rPr>
        <w:t>大足经信函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zh-CN" w:bidi="ar"/>
        </w:rPr>
        <w:t>〔202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zh-CN" w:bidi="ar"/>
        </w:rPr>
        <w:t>〕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85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zh-CN" w:bidi="ar"/>
        </w:rPr>
        <w:t>号</w:t>
      </w:r>
    </w:p>
    <w:p w14:paraId="57C4F665">
      <w:pPr>
        <w:snapToGrid w:val="0"/>
      </w:pPr>
    </w:p>
    <w:p w14:paraId="60E9E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_GBK" w:eastAsia="方正小标宋_GBK" w:hAnsiTheme="minorHAnsi" w:cstheme="minorBidi"/>
          <w:b/>
          <w:bCs/>
          <w:sz w:val="44"/>
          <w:szCs w:val="44"/>
          <w:lang w:val="en-US" w:eastAsia="zh-CN"/>
        </w:rPr>
      </w:pPr>
    </w:p>
    <w:p w14:paraId="0FD2B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_GBK" w:eastAsia="方正小标宋_GBK" w:hAnsiTheme="minorHAnsi" w:cstheme="minorBidi"/>
          <w:b/>
          <w:bCs/>
          <w:sz w:val="44"/>
          <w:szCs w:val="44"/>
          <w:lang w:eastAsia="zh-CN"/>
        </w:rPr>
      </w:pPr>
      <w:r>
        <w:rPr>
          <w:rFonts w:hint="eastAsia" w:ascii="方正小标宋_GBK" w:eastAsia="方正小标宋_GBK" w:hAnsiTheme="minorHAnsi" w:cstheme="minorBidi"/>
          <w:b/>
          <w:bCs/>
          <w:sz w:val="44"/>
          <w:szCs w:val="44"/>
          <w:lang w:val="en-US" w:eastAsia="zh-CN"/>
        </w:rPr>
        <w:t>重庆市大足区</w:t>
      </w:r>
      <w:r>
        <w:rPr>
          <w:rFonts w:hint="eastAsia" w:ascii="方正小标宋_GBK" w:eastAsia="方正小标宋_GBK" w:cstheme="minorBidi"/>
          <w:b/>
          <w:bCs/>
          <w:sz w:val="44"/>
          <w:szCs w:val="44"/>
          <w:lang w:val="en-US" w:eastAsia="zh-CN"/>
        </w:rPr>
        <w:t>经济和信息化</w:t>
      </w:r>
      <w:r>
        <w:rPr>
          <w:rFonts w:hint="eastAsia" w:ascii="方正小标宋_GBK" w:eastAsia="方正小标宋_GBK" w:hAnsiTheme="minorHAnsi" w:cstheme="minorBidi"/>
          <w:b/>
          <w:bCs/>
          <w:sz w:val="44"/>
          <w:szCs w:val="44"/>
          <w:lang w:val="en-US" w:eastAsia="zh-CN"/>
        </w:rPr>
        <w:t>委员会</w:t>
      </w:r>
    </w:p>
    <w:p w14:paraId="55D05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_GBK" w:eastAsia="方正小标宋_GBK" w:cstheme="minorBidi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eastAsia="方正小标宋_GBK" w:hAnsiTheme="minorHAnsi" w:cstheme="minorBidi"/>
          <w:b/>
          <w:bCs/>
          <w:sz w:val="44"/>
          <w:szCs w:val="44"/>
          <w:lang w:val="en-US" w:eastAsia="zh-CN"/>
        </w:rPr>
        <w:t>关于区三届人大</w:t>
      </w:r>
      <w:r>
        <w:rPr>
          <w:rFonts w:hint="eastAsia" w:ascii="方正小标宋_GBK" w:eastAsia="方正小标宋_GBK" w:cstheme="minorBidi"/>
          <w:b/>
          <w:bCs/>
          <w:sz w:val="44"/>
          <w:szCs w:val="44"/>
          <w:lang w:val="en-US" w:eastAsia="zh-CN"/>
        </w:rPr>
        <w:t>七</w:t>
      </w:r>
      <w:r>
        <w:rPr>
          <w:rFonts w:hint="eastAsia" w:ascii="方正小标宋_GBK" w:eastAsia="方正小标宋_GBK" w:hAnsiTheme="minorHAnsi" w:cstheme="minorBidi"/>
          <w:b/>
          <w:bCs/>
          <w:sz w:val="44"/>
          <w:szCs w:val="44"/>
          <w:lang w:val="en-US" w:eastAsia="zh-CN"/>
        </w:rPr>
        <w:t>次会议</w:t>
      </w:r>
      <w:r>
        <w:rPr>
          <w:rFonts w:hint="eastAsia" w:ascii="方正小标宋_GBK" w:eastAsia="方正小标宋_GBK" w:cstheme="minorBidi"/>
          <w:b/>
          <w:bCs/>
          <w:sz w:val="44"/>
          <w:szCs w:val="44"/>
          <w:lang w:val="en-US" w:eastAsia="zh-CN"/>
        </w:rPr>
        <w:t>第</w:t>
      </w: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2026061号</w:t>
      </w:r>
      <w:r>
        <w:rPr>
          <w:rFonts w:hint="eastAsia" w:ascii="方正小标宋_GBK" w:eastAsia="方正小标宋_GBK" w:cstheme="minorBidi"/>
          <w:b/>
          <w:bCs/>
          <w:sz w:val="44"/>
          <w:szCs w:val="44"/>
          <w:lang w:val="en-US" w:eastAsia="zh-CN"/>
        </w:rPr>
        <w:t>建议</w:t>
      </w:r>
    </w:p>
    <w:p w14:paraId="6E871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default" w:ascii="方正小标宋_GBK" w:eastAsia="方正小标宋_GBK" w:hAnsiTheme="minorHAnsi" w:cstheme="minorBidi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theme="minorBidi"/>
          <w:b/>
          <w:bCs/>
          <w:sz w:val="44"/>
          <w:szCs w:val="44"/>
          <w:lang w:val="en-US" w:eastAsia="zh-CN"/>
        </w:rPr>
        <w:t>办理情况的答复函</w:t>
      </w:r>
    </w:p>
    <w:p w14:paraId="1A262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仿宋_GBK"/>
          <w:color w:val="000000"/>
          <w:sz w:val="33"/>
          <w:szCs w:val="33"/>
        </w:rPr>
        <w:t xml:space="preserve">                                 </w:t>
      </w:r>
    </w:p>
    <w:p w14:paraId="26887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  <w:t>文明正代表：</w:t>
      </w:r>
    </w:p>
    <w:p w14:paraId="1DDEC22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  <w:t>您提出的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《关于规范老旧小区改造中网线乱搭乱接问题的建议》（第2026061号）已</w:t>
      </w:r>
      <w:r>
        <w:rPr>
          <w:rFonts w:hint="default"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  <w:t>收悉。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首先，衷心感谢您长期扎根基层、心系民生，关注老旧小区改造成果巩固与辖区人居环境提升！您通过专题调研指出了老旧小区普遍存在的通信网线乱搭乱接问题，精准剖析了线路杂乱带来的安全隐患、视觉污染及运维难题，提出的整治思路务实可行，为我们推进老旧小区线缆规范化治理工作指明了方向、提供了重要参考。收到建议后，我委高度重视，第一时间联合住建、属地镇街、社区及电信、移动、联通、广电等通信运营单位开展专题研讨与实地摸排，全面梳理辖区老旧小区网线乱象现状。结合全区老旧小区改造工作整体部署与基础设施管理实际，现就建议办理情况答复如下：</w:t>
      </w:r>
    </w:p>
    <w:p w14:paraId="573659A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近年来，我区持续大力推进老旧小区改造工程，着力完善居住配套、优化小区环境、提升居民生活品质，一大批老旧小区实现旧貌换新颜，民生福祉得到切实增进。但随着通信服务不断普及，加之早期小区建设标准不一、多家运营商独立布线、改造后期线缆整治跟进不及时、运维监管机制不健全等原因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Style w:val="10"/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多数已完成改造的老旧小区出现通信网线纵横交错、乱搭乱接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的现象，楼体外墙、楼道内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空中蜘蛛网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问题突出。杂乱网线长期裸露在外，受日晒雨淋易出现线路老化、绝缘层破损，与电力线路交错缠绕后极易引发短路、火灾等安全事故；楼道低空飞线挤占通行空间，对老人、儿童出行及应急疏散、救援造成阻碍。同时，杂乱线缆破坏老旧小区整体风貌，拉低城市精细化管理水平，也增加了运营商线路检修、故障排查难度，影响居民通信使用体验。对此，我们完全认同您提出的问题，诚恳接受意见，并将以此次建议办理为契机，全面开展老旧小区网线乱象专项整治，标本兼治破解线缆治理难题。</w:t>
      </w:r>
    </w:p>
    <w:p w14:paraId="365697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为彻底整治老旧小区网线乱搭乱接顽疾，消除安全隐患、巩固老旧改造成果、美化人居环境，我区将全面吸纳您的建议，坚持</w:t>
      </w:r>
      <w:r>
        <w:rPr>
          <w:rStyle w:val="10"/>
          <w:rFonts w:hint="default" w:ascii="Times New Roman" w:hAnsi="Times New Roman" w:eastAsia="方正仿宋_GBK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集中整治与长效管理相结合、源头管控与常态巡查相统筹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，压实各方责任、细化工作举措，稳步推进各项治理工作落地见效，具体安排如下：</w:t>
      </w:r>
    </w:p>
    <w:p w14:paraId="69F47BB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一、开展全域专项整治，清零历史遗留问题</w:t>
      </w:r>
    </w:p>
    <w:p w14:paraId="09F34B7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针对已完成改造小区网线杂乱的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历史旧账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，由我委牵头，联合住建委、龙水镇等属地镇街、社区、老旧小区改造实施单位及各通信运营商，分批次开展老旧小区线缆拉网式排查，建立</w:t>
      </w:r>
      <w:r>
        <w:rPr>
          <w:rStyle w:val="10"/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小区点位、线路权属、问题类型、整改时限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四张清单，实行销号管理潜江市人民政府。严格按照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清废线、理散线、齐布线、线入槽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的整治标准推进集中整改：一是全面清理废弃线缆，对无使用价值、闲置老化的废弃网线、接头、分支线路逐一剪除拆除，从源头减少线路冗余；二是规整在用线路，对正常使用的通信网线进行梳理、分类、捆扎，统一布设线缆槽、管线、弱电箱体，做到线路横平竖直、排布整齐，杜绝跨楼、跨层低空飞线；三是同步排查安全隐患，对老化、破损线路督促运营商立即更换，规范强弱电线路间距，杜绝线缆与电力线直接缠绕，全面消除火灾、漏电等安全风险。整治工作优先选取问题突出的小区作为试点，总结经验后在全区老旧小区全面推广，确保整治工作有序、高效推进。</w:t>
      </w:r>
    </w:p>
    <w:p w14:paraId="46E8F2E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二、统一建设管理标准，从源头规范新建线路</w:t>
      </w:r>
    </w:p>
    <w:p w14:paraId="713B7A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结合新一轮老旧小区改造工作，将</w:t>
      </w:r>
      <w:r>
        <w:rPr>
          <w:rStyle w:val="10"/>
          <w:rFonts w:hint="default" w:ascii="Times New Roman" w:hAnsi="Times New Roman" w:eastAsia="方正仿宋_GBK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通信线缆规范化布设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纳入老旧小区改造硬性标准，做到老旧小区改造与通信管线规划、施工、验收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三同步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 xml:space="preserve">。明确各通信运营商施工规范，要求新建、新增线路必须按照统一标准入管、入槽、入弱电箱，严禁随意穿墙、凌空架设。进一步优化线路接入审批流程，所有小区新增通信线路、点位改造均需提前报备，经属地社区、主管部门审核同意后方可施工，坚决杜绝改造过程中新增乱搭乱接问题，实现 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改造一处、规范一处、整洁一处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，保障老旧小区改造成果完整统一。</w:t>
      </w:r>
    </w:p>
    <w:p w14:paraId="3764B55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三、构建长效监管体系，严防问题反弹回潮</w:t>
      </w:r>
    </w:p>
    <w:p w14:paraId="09962C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Style w:val="10"/>
          <w:rFonts w:hint="default" w:ascii="Times New Roman" w:hAnsi="Times New Roman" w:eastAsia="方正楷体_GBK" w:cs="Times New Roman"/>
          <w:b w:val="0"/>
          <w:bCs/>
          <w:color w:val="000000"/>
          <w:sz w:val="32"/>
          <w:szCs w:val="32"/>
          <w:lang w:val="en-US" w:eastAsia="zh-CN"/>
        </w:rPr>
        <w:t>1、</w:t>
      </w:r>
      <w:r>
        <w:rPr>
          <w:rStyle w:val="10"/>
          <w:rFonts w:hint="eastAsia" w:ascii="方正楷体_GBK" w:hAnsi="方正楷体_GBK" w:eastAsia="方正楷体_GBK" w:cs="方正楷体_GBK"/>
          <w:b w:val="0"/>
          <w:bCs/>
          <w:color w:val="000000"/>
          <w:sz w:val="32"/>
          <w:szCs w:val="32"/>
        </w:rPr>
        <w:t>明晰权属，压实运维主体责任</w:t>
      </w:r>
      <w:r>
        <w:rPr>
          <w:rFonts w:hint="eastAsia" w:ascii="方正楷体_GBK" w:hAnsi="方正楷体_GBK" w:eastAsia="方正楷体_GBK" w:cs="方正楷体_GBK"/>
          <w:b w:val="0"/>
          <w:bCs/>
          <w:color w:val="000000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按照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谁建设、谁所有、谁运维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原则，进一步厘清各通信运营商线缆权属与日常维护责任，督促运营商建立常态化线路巡检、养护、故障抢修机制，定期对辖区通信网线进行检修、维护，及时处理线路松动、垂落、破损等问题，提升通信服务质量南陵县人民政府。</w:t>
      </w:r>
    </w:p>
    <w:p w14:paraId="760B77B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Style w:val="10"/>
          <w:rFonts w:hint="default" w:ascii="Times New Roman" w:hAnsi="Times New Roman" w:eastAsia="方正楷体_GBK" w:cs="Times New Roman"/>
          <w:b w:val="0"/>
          <w:bCs/>
          <w:color w:val="000000"/>
          <w:sz w:val="32"/>
          <w:szCs w:val="32"/>
          <w:lang w:val="en-US" w:eastAsia="zh-CN"/>
        </w:rPr>
        <w:t>2、</w:t>
      </w:r>
      <w:r>
        <w:rPr>
          <w:rStyle w:val="10"/>
          <w:rFonts w:hint="default" w:ascii="方正楷体_GBK" w:hAnsi="方正楷体_GBK" w:eastAsia="方正楷体_GBK" w:cs="方正楷体_GBK"/>
          <w:b w:val="0"/>
          <w:bCs/>
          <w:color w:val="000000"/>
          <w:sz w:val="32"/>
          <w:szCs w:val="32"/>
          <w:lang w:val="en-US" w:eastAsia="zh-CN"/>
        </w:rPr>
        <w:t>纳入网格，强化属地日常巡查。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将老旧小区线缆管理纳入社区、物业及网格员日常巡查范畴，把网线乱象排查作为网格日常工作重点。网格员、物业工作人员常态化开展巡查，第一时间发现、劝阻、上报私拉乱接线路行为，实现问题早发现、早处置。</w:t>
      </w:r>
    </w:p>
    <w:p w14:paraId="726CE09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Style w:val="10"/>
          <w:rFonts w:hint="default" w:ascii="Times New Roman" w:hAnsi="Times New Roman" w:eastAsia="方正楷体_GBK" w:cs="Times New Roman"/>
          <w:b w:val="0"/>
          <w:bCs/>
          <w:color w:val="000000"/>
          <w:sz w:val="32"/>
          <w:szCs w:val="32"/>
          <w:lang w:val="en-US" w:eastAsia="zh-CN"/>
        </w:rPr>
        <w:t>3、</w:t>
      </w:r>
      <w:r>
        <w:rPr>
          <w:rStyle w:val="10"/>
          <w:rFonts w:hint="default" w:ascii="方正楷体_GBK" w:hAnsi="方正楷体_GBK" w:eastAsia="方正楷体_GBK" w:cs="方正楷体_GBK"/>
          <w:b w:val="0"/>
          <w:bCs/>
          <w:color w:val="000000"/>
          <w:sz w:val="32"/>
          <w:szCs w:val="32"/>
          <w:lang w:val="en-US" w:eastAsia="zh-CN"/>
        </w:rPr>
        <w:t>健全联动，完善协同处置机制。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建立经信、住建、镇街、社区、运营商多方联动联席会议制度，定期通报线缆管理情况，协调解决整治、运维过程中的难点堵点问题。同时畅通群众监督渠道，鼓励居民反馈线缆乱象及安全隐患，形成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多方联动、全民监督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的共治格局。</w:t>
      </w:r>
    </w:p>
    <w:p w14:paraId="4AA5D9A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四、加强宣传引导，营造共治共享氛围</w:t>
      </w:r>
    </w:p>
    <w:p w14:paraId="105EB7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依托社区公告栏、业主微信群、入户宣传等多种形式，向居民普及杂乱网线的安全危害、线路整治相关要求，引导居民拒绝私拉乱接通信线路，主动配合线缆整治工作。同时宣传正规通信报装、维修渠道，引导居民通过官方运营商办理业务，从思想上杜绝私自搭线行为，共同维护小区整洁、安全的居住环境。</w:t>
      </w:r>
    </w:p>
    <w:p w14:paraId="5F98781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下一步，我委将紧盯整治目标，倒排工期、压实责任，稳步推进老旧小区网线专项整治工作，持续完善长效管理机制，切实解决网线乱搭乱接这一民生顽疾，全力巩固老旧小区改造成果，不断提升城市颜值与安全保障水平，切实增强辖区居民的获得感、幸福感与安全感。</w:t>
      </w:r>
    </w:p>
    <w:p w14:paraId="437F220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再次感谢您对我区城乡建设、民生保障和基础设施管理工作的关心、支持与监督，恳请您今后一如既往地建言献策，继续监督指导我们的各项工作！</w:t>
      </w:r>
    </w:p>
    <w:p w14:paraId="66583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</w:p>
    <w:p w14:paraId="17F05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</w:p>
    <w:p w14:paraId="6F43F1E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重庆市大足区经济和信息化委员会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 w14:paraId="662782A7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4838" w:firstLineChars="1512"/>
        <w:jc w:val="righ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</w:t>
      </w:r>
    </w:p>
    <w:p w14:paraId="6F969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73FA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727BD5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联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系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人：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杜欣</w:t>
      </w:r>
    </w:p>
    <w:p w14:paraId="608E47E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18983995995</w:t>
      </w:r>
    </w:p>
    <w:p w14:paraId="299B613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邮政编码：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402360</w:t>
      </w:r>
    </w:p>
    <w:p w14:paraId="55BF8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180CB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65FC6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3AC7D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1AC80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612AC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2D609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13E61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20C00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5EE29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1887A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4B11E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 w14:paraId="1D9C1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6B8AF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1957C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46DA8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7846E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708B8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00D7F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1AEB9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7A731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34DDF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76C50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374650</wp:posOffset>
                </wp:positionV>
                <wp:extent cx="573405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29.5pt;height:0.05pt;width:451.5pt;z-index:251663360;mso-width-relative:page;mso-height-relative:page;" filled="f" stroked="t" coordsize="21600,21600" o:gfxdata="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6kqbLUAAAABwEAAA8AAAAAAAAAAQAgAAAAIgAAAGRycy9kb3ducmV2Lnht&#10;bFBLAQIUABQAAAAIAIdO4kDca476/QEAAPQDAAAOAAAAAAAAAAEAIAAAACM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C787DB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ind w:firstLine="0" w:firstLineChars="0"/>
        <w:textAlignment w:val="auto"/>
        <w:outlineLvl w:val="9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368935</wp:posOffset>
                </wp:positionV>
                <wp:extent cx="5734050" cy="63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635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29.05pt;height:0.05pt;width:451.5pt;z-index:251662336;mso-width-relative:page;mso-height-relative:page;" filled="f" stroked="t" coordsize="21600,21600" o:gfxdata="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M5aV3WAAAABwEAAA8AAAAAAAAAAQAgAAAAIgAAAGRycy9kb3ducmV2Lnht&#10;bFBLAQIUABQAAAAIAIdO4kBGiwIg+wEAAPQDAAAOAAAAAAAAAAEAIAAAACUBAABkcnMvZTJvRG9j&#10;LnhtbFBLBQYAAAAABgAGAFkBAACSBQAAAAA=&#10;">
                <v:fill on="f" focussize="0,0"/>
                <v:stroke weight="0.3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抄送：区府办，区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人大人代工委；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龙水镇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人大主席团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。</w:t>
      </w:r>
    </w:p>
    <w:p w14:paraId="242AE12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ind w:firstLine="0" w:firstLineChars="0"/>
        <w:textAlignment w:val="auto"/>
        <w:outlineLvl w:val="9"/>
      </w:pPr>
      <w:r>
        <w:rPr>
          <w:rFonts w:hint="eastAsia" w:ascii="方正仿宋_GBK" w:hAnsi="方正仿宋_GBK" w:eastAsia="方正仿宋_GBK" w:cs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344170</wp:posOffset>
                </wp:positionV>
                <wp:extent cx="5734050" cy="63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27.1pt;height:0.05pt;width:451.5pt;z-index:251661312;mso-width-relative:page;mso-height-relative:page;" filled="f" stroked="t" coordsize="21600,21600" o:gfxdata="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H59mz1AAAAAcBAAAPAAAAAAAAAAEAIAAAACIAAABkcnMvZG93bnJldi54bWxQ&#10;SwECFAAUAAAACACHTuJA3IfZ6vsBAAD0AwAADgAAAAAAAAABACAAAAAj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重庆市大足区经济和信息化委员会办公室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20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日印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发</w:t>
      </w:r>
    </w:p>
    <w:sectPr>
      <w:footerReference r:id="rId3" w:type="default"/>
      <w:pgSz w:w="11905" w:h="16840"/>
      <w:pgMar w:top="1984" w:right="1446" w:bottom="1644" w:left="1446" w:header="720" w:footer="1134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B8350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CA12AB">
                          <w:pPr>
                            <w:pStyle w:val="7"/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CA12AB">
                    <w:pPr>
                      <w:pStyle w:val="7"/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</w:pP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21B94"/>
    <w:rsid w:val="292A66D7"/>
    <w:rsid w:val="3DBD24C7"/>
    <w:rsid w:val="3E3BB2E9"/>
    <w:rsid w:val="526BF3D3"/>
    <w:rsid w:val="68FAD49E"/>
    <w:rsid w:val="6ED9994F"/>
    <w:rsid w:val="7DE02BFC"/>
    <w:rsid w:val="7FCF71E5"/>
    <w:rsid w:val="ECEB7192"/>
    <w:rsid w:val="F7F6634C"/>
    <w:rsid w:val="F7FF0C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after="240" w:afterLines="0" w:line="240" w:lineRule="atLeast"/>
      <w:jc w:val="left"/>
      <w:outlineLvl w:val="0"/>
    </w:pPr>
    <w:rPr>
      <w:rFonts w:ascii="Arial" w:hAnsi="Arial" w:eastAsia="宋体"/>
      <w:b/>
      <w:spacing w:val="-5"/>
      <w:kern w:val="0"/>
      <w:sz w:val="40"/>
      <w:szCs w:val="20"/>
      <w:lang w:eastAsia="en-US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5">
    <w:name w:val="Body Text Indent"/>
    <w:basedOn w:val="1"/>
    <w:next w:val="6"/>
    <w:qFormat/>
    <w:uiPriority w:val="0"/>
    <w:pPr>
      <w:ind w:firstLine="200" w:firstLineChars="200"/>
    </w:pPr>
    <w:rPr>
      <w:sz w:val="32"/>
    </w:rPr>
  </w:style>
  <w:style w:type="paragraph" w:customStyle="1" w:styleId="6">
    <w:name w:val="样式 方正小标宋_GBK 二号 居中 行距: 固定值 30 磅"/>
    <w:basedOn w:val="2"/>
    <w:autoRedefine/>
    <w:qFormat/>
    <w:uiPriority w:val="0"/>
    <w:pPr>
      <w:keepNext w:val="0"/>
      <w:widowControl w:val="0"/>
      <w:spacing w:after="0" w:afterLines="0" w:line="600" w:lineRule="exact"/>
      <w:jc w:val="center"/>
    </w:pPr>
    <w:rPr>
      <w:rFonts w:ascii="方正小标宋_GBK" w:hAnsi="方正小标宋_GBK" w:eastAsia="方正小标宋_GBK" w:cs="宋体"/>
      <w:b w:val="0"/>
      <w:spacing w:val="0"/>
      <w:kern w:val="2"/>
      <w:sz w:val="44"/>
      <w:lang w:eastAsia="zh-C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2336</Words>
  <Characters>2374</Characters>
  <TotalTime>86</TotalTime>
  <ScaleCrop>false</ScaleCrop>
  <LinksUpToDate>false</LinksUpToDate>
  <CharactersWithSpaces>2451</CharactersWithSpaces>
  <Application>WPS Office_12.8.2.21176_F1E327BC-269C-435d-A152-05C5408002CA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2026-06-02T08:15:00Z</dcterms:created>
  <dc:creator>Apache POI</dc:creator>
  <cp:lastModifiedBy>user</cp:lastModifiedBy>
  <cp:lastPrinted>2026-06-23T15:18:38Z</cp:lastPrinted>
  <dcterms:modified xsi:type="dcterms:W3CDTF">2026-06-23T16:44:25Z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{"Label":"1","ContentProducer":"001191110102MACQD9K64010000","ProduceID":"7646337569387334837","ReservedCode1":"","ContentPropagator":"","PropagateID":"","ReservedCode2":""}</vt:lpwstr>
  </property>
  <property fmtid="{D5CDD505-2E9C-101B-9397-08002B2CF9AE}" pid="3" name="KSOTemplateDocerSaveRecord">
    <vt:lpwstr>eyJoZGlkIjoiNzI0NTFkNWFhMTc2YzE4ZmE5OTdjNzk0NDg3ZTdmNDAiLCJ1c2VySWQiOiI0MjM5OTcxNDUifQ==</vt:lpwstr>
  </property>
  <property fmtid="{D5CDD505-2E9C-101B-9397-08002B2CF9AE}" pid="4" name="KSOProductBuildVer">
    <vt:lpwstr>2052-12.8.2.21176</vt:lpwstr>
  </property>
  <property fmtid="{D5CDD505-2E9C-101B-9397-08002B2CF9AE}" pid="5" name="ICV">
    <vt:lpwstr>C380BC5ADE81437269473A6A33ACD1E7_43</vt:lpwstr>
  </property>
</Properties>
</file>