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08C59">
      <w:pPr>
        <w:keepNext w:val="0"/>
        <w:keepLines w:val="0"/>
        <w:widowControl/>
        <w:suppressLineNumbers w:val="0"/>
        <w:spacing w:line="360" w:lineRule="auto"/>
        <w:jc w:val="center"/>
        <w:rPr>
          <w:rFonts w:hint="eastAsia" w:ascii="仿宋" w:hAnsi="仿宋" w:eastAsia="仿宋" w:cs="仿宋"/>
          <w:b/>
          <w:bCs/>
          <w:color w:val="000000" w:themeColor="text1"/>
          <w:sz w:val="44"/>
          <w:szCs w:val="44"/>
          <w:u w:val="single"/>
          <w:lang w:eastAsia="zh-CN"/>
          <w14:textFill>
            <w14:solidFill>
              <w14:schemeClr w14:val="tx1"/>
            </w14:solidFill>
          </w14:textFill>
        </w:rPr>
      </w:pPr>
      <w:r>
        <w:rPr>
          <w:rFonts w:hint="eastAsia" w:ascii="仿宋" w:hAnsi="仿宋" w:eastAsia="仿宋" w:cs="仿宋"/>
          <w:b/>
          <w:bCs/>
          <w:color w:val="000000" w:themeColor="text1"/>
          <w:sz w:val="44"/>
          <w:szCs w:val="44"/>
          <w:u w:val="none"/>
          <w14:textFill>
            <w14:solidFill>
              <w14:schemeClr w14:val="tx1"/>
            </w14:solidFill>
          </w14:textFill>
        </w:rPr>
        <w:t>采购项目名称：</w:t>
      </w:r>
      <w:r>
        <w:rPr>
          <w:rFonts w:hint="eastAsia" w:ascii="仿宋" w:hAnsi="仿宋" w:eastAsia="仿宋" w:cs="仿宋"/>
          <w:b/>
          <w:bCs/>
          <w:color w:val="000000" w:themeColor="text1"/>
          <w:sz w:val="44"/>
          <w:szCs w:val="44"/>
          <w:u w:val="none"/>
          <w:lang w:val="en-US" w:eastAsia="zh-CN"/>
          <w14:textFill>
            <w14:solidFill>
              <w14:schemeClr w14:val="tx1"/>
            </w14:solidFill>
          </w14:textFill>
        </w:rPr>
        <w:t>龙棠路口袋公园建设</w:t>
      </w:r>
    </w:p>
    <w:p w14:paraId="2D02B23E">
      <w:pPr>
        <w:pStyle w:val="61"/>
        <w:spacing w:line="360" w:lineRule="auto"/>
        <w:ind w:left="0" w:leftChars="0" w:firstLine="0" w:firstLineChars="0"/>
        <w:jc w:val="center"/>
        <w:rPr>
          <w:rFonts w:hint="eastAsia" w:ascii="仿宋" w:hAnsi="仿宋" w:eastAsia="仿宋" w:cs="仿宋"/>
          <w:b/>
          <w:bCs/>
          <w:color w:val="000000" w:themeColor="text1"/>
          <w:sz w:val="72"/>
          <w:szCs w:val="72"/>
          <w:lang w:val="en-US" w:eastAsia="zh-CN"/>
          <w14:textFill>
            <w14:solidFill>
              <w14:schemeClr w14:val="tx1"/>
            </w14:solidFill>
          </w14:textFill>
        </w:rPr>
      </w:pPr>
      <w:r>
        <w:rPr>
          <w:rFonts w:hint="eastAsia" w:ascii="仿宋" w:hAnsi="仿宋" w:eastAsia="仿宋" w:cs="仿宋"/>
          <w:b/>
          <w:bCs/>
          <w:color w:val="000000" w:themeColor="text1"/>
          <w:sz w:val="72"/>
          <w:szCs w:val="72"/>
          <w:lang w:val="en-US" w:eastAsia="zh-CN"/>
          <w14:textFill>
            <w14:solidFill>
              <w14:schemeClr w14:val="tx1"/>
            </w14:solidFill>
          </w14:textFill>
        </w:rPr>
        <w:t>竞</w:t>
      </w:r>
    </w:p>
    <w:p w14:paraId="36B853C0">
      <w:pPr>
        <w:pStyle w:val="61"/>
        <w:spacing w:line="360" w:lineRule="auto"/>
        <w:ind w:left="0" w:leftChars="0" w:firstLine="0" w:firstLineChars="0"/>
        <w:jc w:val="center"/>
        <w:rPr>
          <w:rFonts w:hint="eastAsia" w:ascii="仿宋" w:hAnsi="仿宋" w:eastAsia="仿宋" w:cs="仿宋"/>
          <w:b/>
          <w:bCs/>
          <w:color w:val="000000" w:themeColor="text1"/>
          <w:sz w:val="72"/>
          <w:szCs w:val="72"/>
          <w:lang w:val="en-US" w:eastAsia="zh-CN"/>
          <w14:textFill>
            <w14:solidFill>
              <w14:schemeClr w14:val="tx1"/>
            </w14:solidFill>
          </w14:textFill>
        </w:rPr>
      </w:pPr>
      <w:r>
        <w:rPr>
          <w:rFonts w:hint="eastAsia" w:ascii="仿宋" w:hAnsi="仿宋" w:eastAsia="仿宋" w:cs="仿宋"/>
          <w:b/>
          <w:bCs/>
          <w:color w:val="000000" w:themeColor="text1"/>
          <w:sz w:val="72"/>
          <w:szCs w:val="72"/>
          <w:lang w:val="en-US" w:eastAsia="zh-CN"/>
          <w14:textFill>
            <w14:solidFill>
              <w14:schemeClr w14:val="tx1"/>
            </w14:solidFill>
          </w14:textFill>
        </w:rPr>
        <w:t>争</w:t>
      </w:r>
    </w:p>
    <w:p w14:paraId="76F86FC3">
      <w:pPr>
        <w:pStyle w:val="61"/>
        <w:spacing w:line="360" w:lineRule="auto"/>
        <w:ind w:left="0" w:leftChars="0" w:firstLine="0" w:firstLineChars="0"/>
        <w:jc w:val="center"/>
        <w:rPr>
          <w:rFonts w:hint="eastAsia" w:ascii="仿宋" w:hAnsi="仿宋" w:eastAsia="仿宋" w:cs="仿宋"/>
          <w:b/>
          <w:bCs/>
          <w:color w:val="000000" w:themeColor="text1"/>
          <w:sz w:val="72"/>
          <w:szCs w:val="72"/>
          <w:lang w:val="en-US" w:eastAsia="zh-CN"/>
          <w14:textFill>
            <w14:solidFill>
              <w14:schemeClr w14:val="tx1"/>
            </w14:solidFill>
          </w14:textFill>
        </w:rPr>
      </w:pPr>
      <w:r>
        <w:rPr>
          <w:rFonts w:hint="eastAsia" w:ascii="仿宋" w:hAnsi="仿宋" w:eastAsia="仿宋" w:cs="仿宋"/>
          <w:b/>
          <w:bCs/>
          <w:color w:val="000000" w:themeColor="text1"/>
          <w:sz w:val="72"/>
          <w:szCs w:val="72"/>
          <w:lang w:val="en-US" w:eastAsia="zh-CN"/>
          <w14:textFill>
            <w14:solidFill>
              <w14:schemeClr w14:val="tx1"/>
            </w14:solidFill>
          </w14:textFill>
        </w:rPr>
        <w:t>性</w:t>
      </w:r>
    </w:p>
    <w:p w14:paraId="21BBB05E">
      <w:pPr>
        <w:pStyle w:val="61"/>
        <w:spacing w:line="360" w:lineRule="auto"/>
        <w:ind w:left="0" w:leftChars="0" w:firstLine="0" w:firstLineChars="0"/>
        <w:jc w:val="center"/>
        <w:rPr>
          <w:rFonts w:hint="eastAsia" w:ascii="仿宋" w:hAnsi="仿宋" w:eastAsia="仿宋" w:cs="仿宋"/>
          <w:b/>
          <w:bCs/>
          <w:color w:val="000000" w:themeColor="text1"/>
          <w:sz w:val="72"/>
          <w:szCs w:val="72"/>
          <w:lang w:val="en-US" w:eastAsia="zh-CN"/>
          <w14:textFill>
            <w14:solidFill>
              <w14:schemeClr w14:val="tx1"/>
            </w14:solidFill>
          </w14:textFill>
        </w:rPr>
      </w:pPr>
      <w:r>
        <w:rPr>
          <w:rFonts w:hint="eastAsia" w:ascii="仿宋" w:hAnsi="仿宋" w:eastAsia="仿宋" w:cs="仿宋"/>
          <w:b/>
          <w:bCs/>
          <w:color w:val="000000" w:themeColor="text1"/>
          <w:sz w:val="72"/>
          <w:szCs w:val="72"/>
          <w:lang w:val="en-US" w:eastAsia="zh-CN"/>
          <w14:textFill>
            <w14:solidFill>
              <w14:schemeClr w14:val="tx1"/>
            </w14:solidFill>
          </w14:textFill>
        </w:rPr>
        <w:t>比</w:t>
      </w:r>
    </w:p>
    <w:p w14:paraId="6E6B9481">
      <w:pPr>
        <w:pStyle w:val="61"/>
        <w:spacing w:line="360" w:lineRule="auto"/>
        <w:ind w:left="0" w:leftChars="0" w:firstLine="0" w:firstLineChars="0"/>
        <w:jc w:val="center"/>
        <w:rPr>
          <w:rFonts w:hint="eastAsia" w:ascii="仿宋" w:hAnsi="仿宋" w:eastAsia="仿宋" w:cs="仿宋"/>
          <w:b/>
          <w:bCs/>
          <w:color w:val="000000" w:themeColor="text1"/>
          <w:sz w:val="72"/>
          <w:szCs w:val="72"/>
          <w:lang w:val="en-US" w:eastAsia="zh-CN"/>
          <w14:textFill>
            <w14:solidFill>
              <w14:schemeClr w14:val="tx1"/>
            </w14:solidFill>
          </w14:textFill>
        </w:rPr>
      </w:pPr>
      <w:r>
        <w:rPr>
          <w:rFonts w:hint="eastAsia" w:ascii="仿宋" w:hAnsi="仿宋" w:eastAsia="仿宋" w:cs="仿宋"/>
          <w:b/>
          <w:bCs/>
          <w:color w:val="000000" w:themeColor="text1"/>
          <w:sz w:val="72"/>
          <w:szCs w:val="72"/>
          <w:lang w:val="en-US" w:eastAsia="zh-CN"/>
          <w14:textFill>
            <w14:solidFill>
              <w14:schemeClr w14:val="tx1"/>
            </w14:solidFill>
          </w14:textFill>
        </w:rPr>
        <w:t>选</w:t>
      </w:r>
    </w:p>
    <w:p w14:paraId="2BF7FF10">
      <w:pPr>
        <w:pStyle w:val="61"/>
        <w:spacing w:line="360" w:lineRule="auto"/>
        <w:ind w:left="0" w:leftChars="0" w:firstLine="0" w:firstLineChars="0"/>
        <w:jc w:val="center"/>
        <w:rPr>
          <w:rFonts w:hint="eastAsia" w:ascii="仿宋" w:hAnsi="仿宋" w:eastAsia="仿宋" w:cs="仿宋"/>
          <w:b/>
          <w:bCs/>
          <w:color w:val="000000" w:themeColor="text1"/>
          <w:sz w:val="72"/>
          <w:szCs w:val="72"/>
          <w:lang w:val="en-US" w:eastAsia="zh-CN"/>
          <w14:textFill>
            <w14:solidFill>
              <w14:schemeClr w14:val="tx1"/>
            </w14:solidFill>
          </w14:textFill>
        </w:rPr>
      </w:pPr>
      <w:r>
        <w:rPr>
          <w:rFonts w:hint="eastAsia" w:ascii="仿宋" w:hAnsi="仿宋" w:eastAsia="仿宋" w:cs="仿宋"/>
          <w:b/>
          <w:bCs/>
          <w:color w:val="000000" w:themeColor="text1"/>
          <w:sz w:val="72"/>
          <w:szCs w:val="72"/>
          <w:lang w:val="en-US" w:eastAsia="zh-CN"/>
          <w14:textFill>
            <w14:solidFill>
              <w14:schemeClr w14:val="tx1"/>
            </w14:solidFill>
          </w14:textFill>
        </w:rPr>
        <w:t>文</w:t>
      </w:r>
    </w:p>
    <w:p w14:paraId="0954D1FC">
      <w:pPr>
        <w:pStyle w:val="61"/>
        <w:spacing w:line="360" w:lineRule="auto"/>
        <w:ind w:left="0" w:leftChars="0" w:firstLine="0" w:firstLineChars="0"/>
        <w:jc w:val="center"/>
        <w:rPr>
          <w:rFonts w:hint="default" w:ascii="仿宋" w:hAnsi="仿宋" w:eastAsia="仿宋" w:cs="仿宋"/>
          <w:b/>
          <w:bCs/>
          <w:color w:val="000000" w:themeColor="text1"/>
          <w:sz w:val="72"/>
          <w:szCs w:val="72"/>
          <w:lang w:val="en-US" w:eastAsia="zh-CN"/>
          <w14:textFill>
            <w14:solidFill>
              <w14:schemeClr w14:val="tx1"/>
            </w14:solidFill>
          </w14:textFill>
        </w:rPr>
      </w:pPr>
      <w:r>
        <w:rPr>
          <w:rFonts w:hint="eastAsia" w:ascii="仿宋" w:hAnsi="仿宋" w:eastAsia="仿宋" w:cs="仿宋"/>
          <w:b/>
          <w:bCs/>
          <w:color w:val="000000" w:themeColor="text1"/>
          <w:sz w:val="72"/>
          <w:szCs w:val="72"/>
          <w:lang w:val="en-US" w:eastAsia="zh-CN"/>
          <w14:textFill>
            <w14:solidFill>
              <w14:schemeClr w14:val="tx1"/>
            </w14:solidFill>
          </w14:textFill>
        </w:rPr>
        <w:t>件</w:t>
      </w:r>
    </w:p>
    <w:p w14:paraId="32917EBE">
      <w:pPr>
        <w:rPr>
          <w:rFonts w:hint="eastAsia"/>
        </w:rPr>
      </w:pPr>
    </w:p>
    <w:p w14:paraId="1889DE24">
      <w:pPr>
        <w:spacing w:line="360" w:lineRule="auto"/>
        <w:rPr>
          <w:rFonts w:hint="eastAsia" w:ascii="仿宋" w:hAnsi="仿宋" w:eastAsia="仿宋" w:cs="仿宋"/>
          <w:b/>
          <w:bCs/>
          <w:color w:val="000000" w:themeColor="text1"/>
          <w:sz w:val="32"/>
          <w:szCs w:val="21"/>
          <w14:textFill>
            <w14:solidFill>
              <w14:schemeClr w14:val="tx1"/>
            </w14:solidFill>
          </w14:textFill>
        </w:rPr>
      </w:pPr>
    </w:p>
    <w:p w14:paraId="27721FFD">
      <w:pPr>
        <w:spacing w:line="360" w:lineRule="auto"/>
        <w:rPr>
          <w:rFonts w:hint="eastAsia" w:ascii="仿宋" w:hAnsi="仿宋" w:eastAsia="仿宋" w:cs="仿宋"/>
          <w:b/>
          <w:bCs/>
          <w:color w:val="000000" w:themeColor="text1"/>
          <w:sz w:val="32"/>
          <w:szCs w:val="21"/>
          <w:u w:val="single"/>
          <w:lang w:val="en-US"/>
          <w14:textFill>
            <w14:solidFill>
              <w14:schemeClr w14:val="tx1"/>
            </w14:solidFill>
          </w14:textFill>
        </w:rPr>
      </w:pPr>
      <w:r>
        <w:rPr>
          <w:rFonts w:hint="eastAsia" w:ascii="仿宋" w:hAnsi="仿宋" w:eastAsia="仿宋" w:cs="仿宋"/>
          <w:b/>
          <w:bCs/>
          <w:color w:val="000000" w:themeColor="text1"/>
          <w:sz w:val="32"/>
          <w:szCs w:val="21"/>
          <w14:textFill>
            <w14:solidFill>
              <w14:schemeClr w14:val="tx1"/>
            </w14:solidFill>
          </w14:textFill>
        </w:rPr>
        <w:t>采</w:t>
      </w:r>
      <w:r>
        <w:rPr>
          <w:rFonts w:hint="eastAsia" w:ascii="仿宋" w:hAnsi="仿宋" w:eastAsia="仿宋" w:cs="仿宋"/>
          <w:b/>
          <w:bCs/>
          <w:color w:val="000000" w:themeColor="text1"/>
          <w:sz w:val="32"/>
          <w:szCs w:val="21"/>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21"/>
          <w14:textFill>
            <w14:solidFill>
              <w14:schemeClr w14:val="tx1"/>
            </w14:solidFill>
          </w14:textFill>
        </w:rPr>
        <w:t>购</w:t>
      </w:r>
      <w:r>
        <w:rPr>
          <w:rFonts w:hint="eastAsia" w:ascii="仿宋" w:hAnsi="仿宋" w:eastAsia="仿宋" w:cs="仿宋"/>
          <w:b/>
          <w:bCs/>
          <w:color w:val="000000" w:themeColor="text1"/>
          <w:sz w:val="32"/>
          <w:szCs w:val="21"/>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21"/>
          <w14:textFill>
            <w14:solidFill>
              <w14:schemeClr w14:val="tx1"/>
            </w14:solidFill>
          </w14:textFill>
        </w:rPr>
        <w:t>人：</w:t>
      </w:r>
      <w:r>
        <w:rPr>
          <w:rFonts w:hint="eastAsia" w:ascii="仿宋" w:hAnsi="仿宋" w:eastAsia="仿宋" w:cs="仿宋"/>
          <w:b/>
          <w:bCs/>
          <w:color w:val="000000" w:themeColor="text1"/>
          <w:sz w:val="32"/>
          <w:szCs w:val="21"/>
          <w:u w:val="single"/>
          <w:lang w:eastAsia="zh-CN"/>
          <w14:textFill>
            <w14:solidFill>
              <w14:schemeClr w14:val="tx1"/>
            </w14:solidFill>
          </w14:textFill>
        </w:rPr>
        <w:t>重庆市大足区园林管理所（盖章）</w:t>
      </w:r>
    </w:p>
    <w:p w14:paraId="0806C5DD">
      <w:pPr>
        <w:spacing w:line="360" w:lineRule="auto"/>
        <w:rPr>
          <w:rFonts w:hint="eastAsia" w:ascii="仿宋" w:hAnsi="仿宋" w:eastAsia="仿宋" w:cs="仿宋"/>
          <w:b/>
          <w:bCs/>
          <w:color w:val="000000" w:themeColor="text1"/>
          <w:sz w:val="32"/>
          <w:szCs w:val="21"/>
          <w:u w:val="single"/>
          <w:lang w:val="en-US" w:eastAsia="zh-CN"/>
          <w14:textFill>
            <w14:solidFill>
              <w14:schemeClr w14:val="tx1"/>
            </w14:solidFill>
          </w14:textFill>
        </w:rPr>
      </w:pPr>
      <w:r>
        <w:rPr>
          <w:rFonts w:hint="eastAsia" w:ascii="仿宋" w:hAnsi="仿宋" w:eastAsia="仿宋" w:cs="仿宋"/>
          <w:b/>
          <w:bCs/>
          <w:color w:val="000000" w:themeColor="text1"/>
          <w:sz w:val="32"/>
          <w:szCs w:val="21"/>
          <w14:textFill>
            <w14:solidFill>
              <w14:schemeClr w14:val="tx1"/>
            </w14:solidFill>
          </w14:textFill>
        </w:rPr>
        <w:t>采购代理机构：</w:t>
      </w:r>
      <w:r>
        <w:rPr>
          <w:rFonts w:hint="eastAsia" w:ascii="仿宋" w:hAnsi="仿宋" w:eastAsia="仿宋" w:cs="仿宋"/>
          <w:b/>
          <w:bCs/>
          <w:color w:val="000000" w:themeColor="text1"/>
          <w:sz w:val="32"/>
          <w:szCs w:val="21"/>
          <w:u w:val="single"/>
          <w:lang w:val="en-US" w:eastAsia="zh-CN"/>
          <w14:textFill>
            <w14:solidFill>
              <w14:schemeClr w14:val="tx1"/>
            </w14:solidFill>
          </w14:textFill>
        </w:rPr>
        <w:t>重庆市新创工程咨询有限公司（盖章）</w:t>
      </w:r>
    </w:p>
    <w:p w14:paraId="1618CAF3">
      <w:pPr>
        <w:pStyle w:val="2"/>
        <w:rPr>
          <w:rFonts w:hint="eastAsia" w:ascii="仿宋" w:hAnsi="仿宋" w:eastAsia="仿宋" w:cs="仿宋"/>
          <w:b/>
          <w:bCs/>
          <w:color w:val="000000" w:themeColor="text1"/>
          <w:lang w:val="en-US" w:eastAsia="zh-CN"/>
          <w14:textFill>
            <w14:solidFill>
              <w14:schemeClr w14:val="tx1"/>
            </w14:solidFill>
          </w14:textFill>
        </w:rPr>
      </w:pPr>
    </w:p>
    <w:p w14:paraId="33B33A3C">
      <w:pPr>
        <w:spacing w:line="360" w:lineRule="auto"/>
        <w:jc w:val="center"/>
        <w:rPr>
          <w:rFonts w:hint="eastAsia" w:ascii="仿宋" w:hAnsi="仿宋" w:eastAsia="仿宋" w:cs="仿宋"/>
          <w:b/>
          <w:bCs/>
          <w:color w:val="000000" w:themeColor="text1"/>
          <w:kern w:val="2"/>
          <w:sz w:val="32"/>
          <w:szCs w:val="32"/>
          <w:lang w:val="en-US" w:eastAsia="zh-CN" w:bidi="ar-SA"/>
          <w14:textFill>
            <w14:solidFill>
              <w14:schemeClr w14:val="tx1"/>
            </w14:solidFill>
          </w14:textFill>
        </w:rPr>
        <w:sectPr>
          <w:pgSz w:w="11907" w:h="16840"/>
          <w:pgMar w:top="1134" w:right="1418" w:bottom="1134" w:left="1418" w:header="851" w:footer="992" w:gutter="0"/>
          <w:pgNumType w:fmt="decimal" w:start="1"/>
          <w:cols w:space="720" w:num="1"/>
          <w:titlePg/>
          <w:docGrid w:linePitch="381" w:charSpace="-5735"/>
        </w:sectPr>
      </w:pPr>
      <w:r>
        <w:rPr>
          <w:rFonts w:hint="eastAsia" w:ascii="仿宋" w:hAnsi="仿宋" w:eastAsia="仿宋" w:cs="仿宋"/>
          <w:b/>
          <w:bCs/>
          <w:color w:val="000000" w:themeColor="text1"/>
          <w:kern w:val="2"/>
          <w:sz w:val="32"/>
          <w:szCs w:val="32"/>
          <w:lang w:val="en-US" w:eastAsia="zh-CN" w:bidi="ar-SA"/>
          <w14:textFill>
            <w14:solidFill>
              <w14:schemeClr w14:val="tx1"/>
            </w14:solidFill>
          </w14:textFill>
        </w:rPr>
        <w:t>二零二六年八月</w:t>
      </w:r>
    </w:p>
    <w:p w14:paraId="67592E71">
      <w:pPr>
        <w:pStyle w:val="76"/>
        <w:rPr>
          <w:rFonts w:hint="eastAsia"/>
          <w:color w:val="000000" w:themeColor="text1"/>
          <w:lang w:val="en-US" w:eastAsia="zh-CN"/>
          <w14:textFill>
            <w14:solidFill>
              <w14:schemeClr w14:val="tx1"/>
            </w14:solidFill>
          </w14:textFill>
        </w:rPr>
      </w:pPr>
    </w:p>
    <w:p w14:paraId="78BD5A16">
      <w:pPr>
        <w:spacing w:line="360" w:lineRule="auto"/>
        <w:jc w:val="both"/>
        <w:outlineLvl w:val="0"/>
        <w:rPr>
          <w:rFonts w:hint="eastAsia" w:ascii="仿宋" w:hAnsi="仿宋" w:eastAsia="仿宋" w:cs="仿宋"/>
          <w:color w:val="000000" w:themeColor="text1"/>
          <w:sz w:val="24"/>
          <w:szCs w:val="24"/>
          <w14:textFill>
            <w14:solidFill>
              <w14:schemeClr w14:val="tx1"/>
            </w14:solidFill>
          </w14:textFill>
        </w:rPr>
        <w:sectPr>
          <w:pgSz w:w="11907" w:h="16840"/>
          <w:pgMar w:top="1134" w:right="1418" w:bottom="1134" w:left="1418" w:header="851" w:footer="992" w:gutter="0"/>
          <w:pgNumType w:fmt="decimal" w:start="1"/>
          <w:cols w:space="720" w:num="1"/>
          <w:titlePg/>
          <w:docGrid w:linePitch="381" w:charSpace="-5735"/>
        </w:sectPr>
      </w:pPr>
    </w:p>
    <w:p w14:paraId="53406522">
      <w:pPr>
        <w:spacing w:line="360" w:lineRule="auto"/>
        <w:jc w:val="both"/>
        <w:outlineLvl w:val="0"/>
        <w:rPr>
          <w:rFonts w:hint="eastAsia"/>
          <w:color w:val="000000" w:themeColor="text1"/>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w:t>
      </w:r>
    </w:p>
    <w:p w14:paraId="7DECA35E">
      <w:pPr>
        <w:spacing w:line="360" w:lineRule="auto"/>
        <w:jc w:val="center"/>
        <w:outlineLvl w:val="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 xml:space="preserve"> 目   录</w:t>
      </w:r>
    </w:p>
    <w:p w14:paraId="130F8247">
      <w:pPr>
        <w:pStyle w:val="50"/>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TOC \o "1-3" \h \z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_Toc24157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4"/>
          <w14:textFill>
            <w14:solidFill>
              <w14:schemeClr w14:val="tx1"/>
            </w14:solidFill>
          </w14:textFill>
        </w:rPr>
        <w:t xml:space="preserve">第一篇  </w:t>
      </w:r>
      <w:r>
        <w:rPr>
          <w:rFonts w:hint="eastAsia" w:ascii="仿宋" w:hAnsi="仿宋" w:eastAsia="仿宋" w:cs="仿宋"/>
          <w:color w:val="000000" w:themeColor="text1"/>
          <w:szCs w:val="24"/>
          <w:lang w:val="en-US" w:eastAsia="zh-CN"/>
          <w14:textFill>
            <w14:solidFill>
              <w14:schemeClr w14:val="tx1"/>
            </w14:solidFill>
          </w14:textFill>
        </w:rPr>
        <w:t>采购</w:t>
      </w:r>
      <w:r>
        <w:rPr>
          <w:rFonts w:hint="eastAsia" w:ascii="仿宋" w:hAnsi="仿宋" w:eastAsia="仿宋" w:cs="仿宋"/>
          <w:color w:val="000000" w:themeColor="text1"/>
          <w:szCs w:val="24"/>
          <w14:textFill>
            <w14:solidFill>
              <w14:schemeClr w14:val="tx1"/>
            </w14:solidFill>
          </w14:textFill>
        </w:rPr>
        <w:t>公告</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_Toc24157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34DE99E7">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_Toc20908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 xml:space="preserve">一、采购内容    </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_Toc20908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174685AF">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_Toc5408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二、供应商的资格条件</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_Toc5408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52E92432">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_Toc5968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三、采购的有关说明</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_Toc5968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439545FF">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_Toc32012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highlight w:val="none"/>
          <w:lang w:val="en-US" w:eastAsia="zh-CN"/>
          <w14:textFill>
            <w14:solidFill>
              <w14:schemeClr w14:val="tx1"/>
            </w14:solidFill>
          </w14:textFill>
        </w:rPr>
        <w:t>四、线上报价及线下投标程序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_Toc32012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2</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2502D567">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_Toc20769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五、投标保证金</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_Toc20769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2</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5C5CE616">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_Toc9845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六、其它有关规定</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_Toc9845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3</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75962C3B">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_Toc19824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七、联系方式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_Toc19824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3</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7959395F">
      <w:pPr>
        <w:pStyle w:val="31"/>
        <w:tabs>
          <w:tab w:val="right" w:leader="dot" w:pos="9071"/>
        </w:tabs>
        <w:spacing w:line="360" w:lineRule="auto"/>
        <w:ind w:left="0" w:leftChars="0" w:firstLine="560" w:firstLineChars="200"/>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_Toc20620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kern w:val="2"/>
          <w:szCs w:val="24"/>
          <w:lang w:val="en-US" w:eastAsia="zh-CN" w:bidi="ar-SA"/>
          <w14:textFill>
            <w14:solidFill>
              <w14:schemeClr w14:val="tx1"/>
            </w14:solidFill>
          </w14:textFill>
        </w:rPr>
        <w:t>第二篇 项目技术需求</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_Toc20620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4</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54720DE7">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_Toc22593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4"/>
          <w:lang w:eastAsia="zh-CN"/>
          <w14:textFill>
            <w14:solidFill>
              <w14:schemeClr w14:val="tx1"/>
            </w14:solidFill>
          </w14:textFill>
        </w:rPr>
        <w:t>一、</w:t>
      </w:r>
      <w:r>
        <w:rPr>
          <w:rFonts w:hint="eastAsia" w:ascii="仿宋" w:hAnsi="仿宋" w:eastAsia="仿宋" w:cs="仿宋"/>
          <w:color w:val="000000" w:themeColor="text1"/>
          <w:szCs w:val="24"/>
          <w14:textFill>
            <w14:solidFill>
              <w14:schemeClr w14:val="tx1"/>
            </w14:solidFill>
          </w14:textFill>
        </w:rPr>
        <w:t>项目</w:t>
      </w:r>
      <w:r>
        <w:rPr>
          <w:rFonts w:hint="eastAsia" w:ascii="仿宋" w:hAnsi="仿宋" w:eastAsia="仿宋" w:cs="仿宋"/>
          <w:color w:val="000000" w:themeColor="text1"/>
          <w:szCs w:val="24"/>
          <w:lang w:eastAsia="zh-CN"/>
          <w14:textFill>
            <w14:solidFill>
              <w14:schemeClr w14:val="tx1"/>
            </w14:solidFill>
          </w14:textFill>
        </w:rPr>
        <w:t>一览表</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_Toc22593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4</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76BD252A">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_Toc25204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4"/>
          <w:lang w:eastAsia="zh-CN"/>
          <w14:textFill>
            <w14:solidFill>
              <w14:schemeClr w14:val="tx1"/>
            </w14:solidFill>
          </w14:textFill>
        </w:rPr>
        <w:t>二</w:t>
      </w:r>
      <w:r>
        <w:rPr>
          <w:rFonts w:hint="eastAsia" w:ascii="仿宋" w:hAnsi="仿宋" w:eastAsia="仿宋" w:cs="仿宋"/>
          <w:color w:val="000000" w:themeColor="text1"/>
          <w:szCs w:val="24"/>
          <w14:textFill>
            <w14:solidFill>
              <w14:schemeClr w14:val="tx1"/>
            </w14:solidFill>
          </w14:textFill>
        </w:rPr>
        <w:t>、</w:t>
      </w:r>
      <w:r>
        <w:rPr>
          <w:rFonts w:hint="eastAsia" w:ascii="仿宋" w:hAnsi="仿宋" w:eastAsia="仿宋" w:cs="仿宋"/>
          <w:color w:val="000000" w:themeColor="text1"/>
          <w:szCs w:val="24"/>
          <w:lang w:val="en-US" w:eastAsia="zh-CN"/>
          <w14:textFill>
            <w14:solidFill>
              <w14:schemeClr w14:val="tx1"/>
            </w14:solidFill>
          </w14:textFill>
        </w:rPr>
        <w:t>采购</w:t>
      </w:r>
      <w:r>
        <w:rPr>
          <w:rFonts w:hint="eastAsia" w:ascii="仿宋" w:hAnsi="仿宋" w:eastAsia="仿宋" w:cs="仿宋"/>
          <w:color w:val="000000" w:themeColor="text1"/>
          <w:szCs w:val="24"/>
          <w14:textFill>
            <w14:solidFill>
              <w14:schemeClr w14:val="tx1"/>
            </w14:solidFill>
          </w14:textFill>
        </w:rPr>
        <w:t>内容</w:t>
      </w:r>
      <w:r>
        <w:rPr>
          <w:rFonts w:hint="eastAsia" w:ascii="仿宋" w:hAnsi="仿宋" w:eastAsia="仿宋" w:cs="仿宋"/>
          <w:color w:val="000000" w:themeColor="text1"/>
          <w:szCs w:val="24"/>
          <w:lang w:eastAsia="zh-CN"/>
          <w14:textFill>
            <w14:solidFill>
              <w14:schemeClr w14:val="tx1"/>
            </w14:solidFill>
          </w14:textFill>
        </w:rPr>
        <w:t>及工程量清单</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_Toc25204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4</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60ECA507">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_Toc8855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三、现场踏勘</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_Toc8855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4</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3B6291D9">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_Toc15849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四、安全要求</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_Toc15849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4</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6E2C0A0C">
      <w:pPr>
        <w:pStyle w:val="50"/>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_Toc12538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8"/>
          <w14:textFill>
            <w14:solidFill>
              <w14:schemeClr w14:val="tx1"/>
            </w14:solidFill>
          </w14:textFill>
        </w:rPr>
        <w:t>第三篇  项目商务需求</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_Toc12538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5</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52B86299">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_Toc16417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一、工期、建设地点及验收方式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_Toc16417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5</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0B2EE220">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_Toc29515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二、人员要求</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_Toc29515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5</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009A5884">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_Toc10973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三、 报价要求及结算方式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_Toc10973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6</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0525F434">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_Toc30759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四、付款方式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_Toc30759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7</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50CCFD88">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_Toc16057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highlight w:val="none"/>
          <w:lang w:val="en-US" w:eastAsia="zh-CN"/>
          <w14:textFill>
            <w14:solidFill>
              <w14:schemeClr w14:val="tx1"/>
            </w14:solidFill>
          </w14:textFill>
        </w:rPr>
        <w:t>五、履约担保</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_Toc16057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7</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0483205C">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_Toc98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六、知识产权</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_Toc98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7</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75C5FCCA">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_Toc22843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七、其他</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_Toc22843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7</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3BCD3B14">
      <w:pPr>
        <w:pStyle w:val="50"/>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_Toc7012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8"/>
          <w14:textFill>
            <w14:solidFill>
              <w14:schemeClr w14:val="tx1"/>
            </w14:solidFill>
          </w14:textFill>
        </w:rPr>
        <w:t xml:space="preserve">第四篇  </w:t>
      </w:r>
      <w:r>
        <w:rPr>
          <w:rFonts w:hint="eastAsia" w:ascii="仿宋" w:hAnsi="仿宋" w:eastAsia="仿宋" w:cs="仿宋"/>
          <w:color w:val="000000" w:themeColor="text1"/>
          <w:szCs w:val="28"/>
          <w:lang w:val="en-US" w:eastAsia="zh-CN"/>
          <w14:textFill>
            <w14:solidFill>
              <w14:schemeClr w14:val="tx1"/>
            </w14:solidFill>
          </w14:textFill>
        </w:rPr>
        <w:t>采购</w:t>
      </w:r>
      <w:r>
        <w:rPr>
          <w:rFonts w:hint="eastAsia" w:ascii="仿宋" w:hAnsi="仿宋" w:eastAsia="仿宋" w:cs="仿宋"/>
          <w:color w:val="000000" w:themeColor="text1"/>
          <w:szCs w:val="28"/>
          <w14:textFill>
            <w14:solidFill>
              <w14:schemeClr w14:val="tx1"/>
            </w14:solidFill>
          </w14:textFill>
        </w:rPr>
        <w:t>程序、成交原则、无效</w:t>
      </w:r>
      <w:r>
        <w:rPr>
          <w:rFonts w:hint="eastAsia" w:ascii="仿宋" w:hAnsi="仿宋" w:eastAsia="仿宋" w:cs="仿宋"/>
          <w:color w:val="000000" w:themeColor="text1"/>
          <w:szCs w:val="28"/>
          <w:lang w:val="en-US" w:eastAsia="zh-CN"/>
          <w14:textFill>
            <w14:solidFill>
              <w14:schemeClr w14:val="tx1"/>
            </w14:solidFill>
          </w14:textFill>
        </w:rPr>
        <w:t>采购</w:t>
      </w:r>
      <w:r>
        <w:rPr>
          <w:rFonts w:hint="eastAsia" w:ascii="仿宋" w:hAnsi="仿宋" w:eastAsia="仿宋" w:cs="仿宋"/>
          <w:color w:val="000000" w:themeColor="text1"/>
          <w:szCs w:val="28"/>
          <w14:textFill>
            <w14:solidFill>
              <w14:schemeClr w14:val="tx1"/>
            </w14:solidFill>
          </w14:textFill>
        </w:rPr>
        <w:t>及采购终止</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_Toc7012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9</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347D28E3">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_Toc15418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一、采购程序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_Toc15418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9</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5991DD31">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_Toc31602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二、成交原则</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_Toc31602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10</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29CA07A0">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_Toc4493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三、无效采购</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_Toc4493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12</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3B318389">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_Toc26913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四、采购终止</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_Toc26913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13</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45C8275A">
      <w:pPr>
        <w:pStyle w:val="50"/>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_Toc5413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32"/>
          <w14:textFill>
            <w14:solidFill>
              <w14:schemeClr w14:val="tx1"/>
            </w14:solidFill>
          </w14:textFill>
        </w:rPr>
        <w:t>第五篇  供应商须知</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_Toc5413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14</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562A15C8">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_Toc14218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一、采购费用</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_Toc14218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14</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78F6E1F9">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_Toc24828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二、采购文件</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_Toc24828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14</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1FD74452">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_Toc26358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三、网上采购要求</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_Toc26358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14</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50CFF5F2">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_Toc29059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四、成交供应商的确认和变更</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_Toc29059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15</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2179CD69">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_Toc21023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五、成交通知</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_Toc21023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16</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65D1ACC6">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_Toc28273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六、采购代理服务费</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_Toc28273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16</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0D7CE519">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_Toc25142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七、签订合同</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_Toc25142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16</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740C469E">
      <w:pPr>
        <w:pStyle w:val="50"/>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_Toc25382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8"/>
          <w:lang w:eastAsia="zh-CN"/>
          <w14:textFill>
            <w14:solidFill>
              <w14:schemeClr w14:val="tx1"/>
            </w14:solidFill>
          </w14:textFill>
        </w:rPr>
        <w:t>第六篇 合同条款及格式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_Toc25382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17</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785E3AC2">
      <w:pPr>
        <w:pStyle w:val="50"/>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_Toc26697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4"/>
          <w14:textFill>
            <w14:solidFill>
              <w14:schemeClr w14:val="tx1"/>
            </w14:solidFill>
          </w14:textFill>
        </w:rPr>
        <w:t>第七篇  响应文件编制要求</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_Toc26697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97</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1EF20937">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_Toc11002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4"/>
          <w:lang w:eastAsia="zh-CN"/>
          <w14:textFill>
            <w14:solidFill>
              <w14:schemeClr w14:val="tx1"/>
            </w14:solidFill>
          </w14:textFill>
        </w:rPr>
        <w:t>一</w:t>
      </w:r>
      <w:r>
        <w:rPr>
          <w:rFonts w:hint="eastAsia" w:ascii="仿宋" w:hAnsi="仿宋" w:eastAsia="仿宋" w:cs="仿宋"/>
          <w:color w:val="000000" w:themeColor="text1"/>
          <w:szCs w:val="24"/>
          <w14:textFill>
            <w14:solidFill>
              <w14:schemeClr w14:val="tx1"/>
            </w14:solidFill>
          </w14:textFill>
        </w:rPr>
        <w:t>、报价部分</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_Toc11002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99</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21E0CD89">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_Toc28359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4"/>
          <w:lang w:eastAsia="zh-CN"/>
          <w14:textFill>
            <w14:solidFill>
              <w14:schemeClr w14:val="tx1"/>
            </w14:solidFill>
          </w14:textFill>
        </w:rPr>
        <w:t>二</w:t>
      </w:r>
      <w:r>
        <w:rPr>
          <w:rFonts w:hint="eastAsia" w:ascii="仿宋" w:hAnsi="仿宋" w:eastAsia="仿宋" w:cs="仿宋"/>
          <w:color w:val="000000" w:themeColor="text1"/>
          <w:szCs w:val="24"/>
          <w14:textFill>
            <w14:solidFill>
              <w14:schemeClr w14:val="tx1"/>
            </w14:solidFill>
          </w14:textFill>
        </w:rPr>
        <w:t>、技术部分</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_Toc28359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101</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413ED97E">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_Toc14641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4"/>
          <w:lang w:eastAsia="zh-CN"/>
          <w14:textFill>
            <w14:solidFill>
              <w14:schemeClr w14:val="tx1"/>
            </w14:solidFill>
          </w14:textFill>
        </w:rPr>
        <w:t>三</w:t>
      </w:r>
      <w:r>
        <w:rPr>
          <w:rFonts w:hint="eastAsia" w:ascii="仿宋" w:hAnsi="仿宋" w:eastAsia="仿宋" w:cs="仿宋"/>
          <w:color w:val="000000" w:themeColor="text1"/>
          <w:szCs w:val="24"/>
          <w14:textFill>
            <w14:solidFill>
              <w14:schemeClr w14:val="tx1"/>
            </w14:solidFill>
          </w14:textFill>
        </w:rPr>
        <w:t>、商务部分</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_Toc14641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103</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2E01AED3">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_Toc11312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4"/>
          <w:lang w:eastAsia="zh-CN"/>
          <w14:textFill>
            <w14:solidFill>
              <w14:schemeClr w14:val="tx1"/>
            </w14:solidFill>
          </w14:textFill>
        </w:rPr>
        <w:t>四</w:t>
      </w:r>
      <w:r>
        <w:rPr>
          <w:rFonts w:hint="eastAsia" w:ascii="仿宋" w:hAnsi="仿宋" w:eastAsia="仿宋" w:cs="仿宋"/>
          <w:color w:val="000000" w:themeColor="text1"/>
          <w:szCs w:val="24"/>
          <w14:textFill>
            <w14:solidFill>
              <w14:schemeClr w14:val="tx1"/>
            </w14:solidFill>
          </w14:textFill>
        </w:rPr>
        <w:t>、资格条件及其他</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_Toc11312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105</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4BFAE6E0">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_Toc18481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szCs w:val="24"/>
          <w:lang w:eastAsia="zh-CN"/>
          <w14:textFill>
            <w14:solidFill>
              <w14:schemeClr w14:val="tx1"/>
            </w14:solidFill>
          </w14:textFill>
        </w:rPr>
        <w:t>五</w:t>
      </w:r>
      <w:r>
        <w:rPr>
          <w:rFonts w:hint="eastAsia" w:ascii="仿宋" w:hAnsi="仿宋" w:eastAsia="仿宋" w:cs="仿宋"/>
          <w:color w:val="000000" w:themeColor="text1"/>
          <w:szCs w:val="24"/>
          <w14:textFill>
            <w14:solidFill>
              <w14:schemeClr w14:val="tx1"/>
            </w14:solidFill>
          </w14:textFill>
        </w:rPr>
        <w:t>、其他应提供的资料</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_Toc18481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110</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4050EAF6">
      <w:pPr>
        <w:pStyle w:val="31"/>
        <w:tabs>
          <w:tab w:val="right" w:leader="dot" w:pos="9071"/>
        </w:tabs>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8"/>
          <w14:textFill>
            <w14:solidFill>
              <w14:schemeClr w14:val="tx1"/>
            </w14:solidFill>
          </w14:textFill>
        </w:rPr>
        <w:fldChar w:fldCharType="begin"/>
      </w:r>
      <w:r>
        <w:rPr>
          <w:rFonts w:hint="eastAsia" w:ascii="仿宋" w:hAnsi="仿宋" w:eastAsia="仿宋" w:cs="仿宋"/>
          <w:color w:val="000000" w:themeColor="text1"/>
          <w:szCs w:val="28"/>
          <w14:textFill>
            <w14:solidFill>
              <w14:schemeClr w14:val="tx1"/>
            </w14:solidFill>
          </w14:textFill>
        </w:rPr>
        <w:instrText xml:space="preserve"> HYPERLINK \l _Toc11483 </w:instrText>
      </w:r>
      <w:r>
        <w:rPr>
          <w:rFonts w:hint="eastAsia" w:ascii="仿宋" w:hAnsi="仿宋" w:eastAsia="仿宋" w:cs="仿宋"/>
          <w:color w:val="000000" w:themeColor="text1"/>
          <w:szCs w:val="28"/>
          <w14:textFill>
            <w14:solidFill>
              <w14:schemeClr w14:val="tx1"/>
            </w14:solidFill>
          </w14:textFill>
        </w:rPr>
        <w:fldChar w:fldCharType="separate"/>
      </w:r>
      <w:r>
        <w:rPr>
          <w:rFonts w:hint="eastAsia" w:ascii="仿宋" w:hAnsi="仿宋" w:eastAsia="仿宋" w:cs="仿宋"/>
          <w:color w:val="000000" w:themeColor="text1"/>
          <w:lang w:val="en-US" w:eastAsia="zh-CN"/>
          <w14:textFill>
            <w14:solidFill>
              <w14:schemeClr w14:val="tx1"/>
            </w14:solidFill>
          </w14:textFill>
        </w:rPr>
        <w:t>附件一：文件发售登记表</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_Toc11483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111</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szCs w:val="28"/>
          <w14:textFill>
            <w14:solidFill>
              <w14:schemeClr w14:val="tx1"/>
            </w14:solidFill>
          </w14:textFill>
        </w:rPr>
        <w:fldChar w:fldCharType="end"/>
      </w:r>
    </w:p>
    <w:p w14:paraId="7C81E6C4">
      <w:pPr>
        <w:pStyle w:val="50"/>
        <w:tabs>
          <w:tab w:val="right" w:leader="dot" w:pos="9000"/>
        </w:tabs>
        <w:spacing w:line="360" w:lineRule="auto"/>
        <w:ind w:left="462" w:leftChars="65" w:hanging="280" w:hangingChars="100"/>
        <w:rPr>
          <w:rFonts w:hint="eastAsia" w:ascii="仿宋" w:hAnsi="仿宋" w:eastAsia="仿宋" w:cs="仿宋"/>
          <w:color w:val="000000" w:themeColor="text1"/>
          <w:sz w:val="24"/>
          <w:szCs w:val="24"/>
          <w14:textFill>
            <w14:solidFill>
              <w14:schemeClr w14:val="tx1"/>
            </w14:solidFill>
          </w14:textFill>
        </w:rPr>
        <w:sectPr>
          <w:footerReference r:id="rId4" w:type="first"/>
          <w:footerReference r:id="rId3" w:type="default"/>
          <w:pgSz w:w="11907" w:h="16840"/>
          <w:pgMar w:top="1134" w:right="1418" w:bottom="1134" w:left="1418" w:header="851" w:footer="992" w:gutter="0"/>
          <w:pgNumType w:fmt="upperRoman" w:start="1"/>
          <w:cols w:space="720" w:num="1"/>
          <w:docGrid w:linePitch="381" w:charSpace="-5735"/>
        </w:sectPr>
      </w:pPr>
      <w:r>
        <w:rPr>
          <w:rFonts w:hint="eastAsia" w:ascii="仿宋" w:hAnsi="仿宋" w:eastAsia="仿宋" w:cs="仿宋"/>
          <w:color w:val="000000" w:themeColor="text1"/>
          <w:szCs w:val="28"/>
          <w14:textFill>
            <w14:solidFill>
              <w14:schemeClr w14:val="tx1"/>
            </w14:solidFill>
          </w14:textFill>
        </w:rPr>
        <w:fldChar w:fldCharType="end"/>
      </w:r>
    </w:p>
    <w:p w14:paraId="4115F5D3">
      <w:pPr>
        <w:pStyle w:val="4"/>
        <w:tabs>
          <w:tab w:val="left" w:pos="945"/>
          <w:tab w:val="center" w:pos="4900"/>
        </w:tabs>
        <w:spacing w:line="360" w:lineRule="auto"/>
        <w:jc w:val="left"/>
        <w:rPr>
          <w:rFonts w:hint="eastAsia" w:ascii="仿宋" w:hAnsi="仿宋" w:eastAsia="仿宋" w:cs="仿宋"/>
          <w:color w:val="000000" w:themeColor="text1"/>
          <w:sz w:val="24"/>
          <w:szCs w:val="24"/>
          <w14:textFill>
            <w14:solidFill>
              <w14:schemeClr w14:val="tx1"/>
            </w14:solidFill>
          </w14:textFill>
        </w:rPr>
      </w:pPr>
      <w:bookmarkStart w:id="0" w:name="_Toc11641050"/>
      <w:bookmarkStart w:id="1" w:name="_Toc12789052"/>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ab/>
      </w:r>
      <w:bookmarkStart w:id="2" w:name="_Toc24157"/>
      <w:r>
        <w:rPr>
          <w:rFonts w:hint="eastAsia" w:ascii="仿宋" w:hAnsi="仿宋" w:eastAsia="仿宋" w:cs="仿宋"/>
          <w:b/>
          <w:bCs w:val="0"/>
          <w:color w:val="000000" w:themeColor="text1"/>
          <w:sz w:val="28"/>
          <w:szCs w:val="28"/>
          <w14:textFill>
            <w14:solidFill>
              <w14:schemeClr w14:val="tx1"/>
            </w14:solidFill>
          </w14:textFill>
        </w:rPr>
        <w:t xml:space="preserve">第一篇  </w:t>
      </w:r>
      <w:bookmarkEnd w:id="0"/>
      <w:bookmarkEnd w:id="1"/>
      <w:r>
        <w:rPr>
          <w:rFonts w:hint="eastAsia" w:ascii="仿宋" w:hAnsi="仿宋" w:eastAsia="仿宋" w:cs="仿宋"/>
          <w:b/>
          <w:bCs w:val="0"/>
          <w:color w:val="000000" w:themeColor="text1"/>
          <w:sz w:val="28"/>
          <w:szCs w:val="28"/>
          <w:lang w:val="en-US" w:eastAsia="zh-CN"/>
          <w14:textFill>
            <w14:solidFill>
              <w14:schemeClr w14:val="tx1"/>
            </w14:solidFill>
          </w14:textFill>
        </w:rPr>
        <w:t>竞争性比选</w:t>
      </w:r>
      <w:r>
        <w:rPr>
          <w:rFonts w:hint="eastAsia" w:ascii="仿宋" w:hAnsi="仿宋" w:eastAsia="仿宋" w:cs="仿宋"/>
          <w:b/>
          <w:bCs w:val="0"/>
          <w:color w:val="000000" w:themeColor="text1"/>
          <w:sz w:val="28"/>
          <w:szCs w:val="28"/>
          <w14:textFill>
            <w14:solidFill>
              <w14:schemeClr w14:val="tx1"/>
            </w14:solidFill>
          </w14:textFill>
        </w:rPr>
        <w:t>公告</w:t>
      </w:r>
      <w:bookmarkEnd w:id="2"/>
    </w:p>
    <w:p w14:paraId="17B6E851">
      <w:pPr>
        <w:keepNext w:val="0"/>
        <w:keepLines w:val="0"/>
        <w:widowControl/>
        <w:suppressLineNumbers w:val="0"/>
        <w:spacing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b/>
          <w:bCs/>
          <w:color w:val="000000" w:themeColor="text1"/>
          <w:sz w:val="24"/>
          <w:szCs w:val="32"/>
          <w:u w:val="single"/>
          <w:lang w:val="en-US" w:eastAsia="zh-CN"/>
          <w14:textFill>
            <w14:solidFill>
              <w14:schemeClr w14:val="tx1"/>
            </w14:solidFill>
          </w14:textFill>
        </w:rPr>
        <w:t>重庆市新创工程咨询有限公司</w:t>
      </w:r>
      <w:r>
        <w:rPr>
          <w:rFonts w:hint="eastAsia" w:ascii="仿宋" w:hAnsi="仿宋" w:eastAsia="仿宋" w:cs="仿宋"/>
          <w:color w:val="000000" w:themeColor="text1"/>
          <w:sz w:val="24"/>
          <w:szCs w:val="24"/>
          <w14:textFill>
            <w14:solidFill>
              <w14:schemeClr w14:val="tx1"/>
            </w14:solidFill>
          </w14:textFill>
        </w:rPr>
        <w:t>（以下简称：采购代理机构）受</w:t>
      </w:r>
      <w:r>
        <w:rPr>
          <w:rFonts w:hint="eastAsia" w:eastAsia="仿宋"/>
          <w:b/>
          <w:bCs/>
          <w:color w:val="000000" w:themeColor="text1"/>
          <w:sz w:val="24"/>
          <w:szCs w:val="32"/>
          <w:u w:val="single"/>
          <w:lang w:eastAsia="zh-CN"/>
          <w14:textFill>
            <w14:solidFill>
              <w14:schemeClr w14:val="tx1"/>
            </w14:solidFill>
          </w14:textFill>
        </w:rPr>
        <w:t>重庆市大足区园林管理所</w:t>
      </w:r>
      <w:r>
        <w:rPr>
          <w:rFonts w:hint="eastAsia" w:ascii="仿宋" w:hAnsi="仿宋" w:eastAsia="仿宋" w:cs="仿宋"/>
          <w:color w:val="000000" w:themeColor="text1"/>
          <w:sz w:val="24"/>
          <w:szCs w:val="24"/>
          <w14:textFill>
            <w14:solidFill>
              <w14:schemeClr w14:val="tx1"/>
            </w14:solidFill>
          </w14:textFill>
        </w:rPr>
        <w:t>（以下简称：采购人）的委托，对</w:t>
      </w:r>
      <w:r>
        <w:rPr>
          <w:rFonts w:hint="eastAsia"/>
          <w:b/>
          <w:bCs/>
          <w:color w:val="000000" w:themeColor="text1"/>
          <w:sz w:val="24"/>
          <w:szCs w:val="32"/>
          <w:u w:val="single"/>
          <w:lang w:val="en-US" w:eastAsia="zh-CN"/>
          <w14:textFill>
            <w14:solidFill>
              <w14:schemeClr w14:val="tx1"/>
            </w14:solidFill>
          </w14:textFill>
        </w:rPr>
        <w:t>龙棠路口袋公园建设</w:t>
      </w:r>
      <w:r>
        <w:rPr>
          <w:rFonts w:hint="eastAsia" w:ascii="仿宋" w:hAnsi="仿宋" w:eastAsia="仿宋" w:cs="仿宋"/>
          <w:color w:val="000000" w:themeColor="text1"/>
          <w:sz w:val="24"/>
          <w:szCs w:val="24"/>
          <w:lang w:val="en-US" w:eastAsia="zh-CN"/>
          <w14:textFill>
            <w14:solidFill>
              <w14:schemeClr w14:val="tx1"/>
            </w14:solidFill>
          </w14:textFill>
        </w:rPr>
        <w:t>进行竞争性比选</w:t>
      </w:r>
      <w:r>
        <w:rPr>
          <w:rFonts w:hint="eastAsia" w:ascii="仿宋" w:hAnsi="仿宋" w:eastAsia="仿宋" w:cs="仿宋"/>
          <w:color w:val="000000" w:themeColor="text1"/>
          <w:sz w:val="24"/>
          <w:szCs w:val="24"/>
          <w14:textFill>
            <w14:solidFill>
              <w14:schemeClr w14:val="tx1"/>
            </w14:solidFill>
          </w14:textFill>
        </w:rPr>
        <w:t>。欢迎有资格的供应商前来参加。</w:t>
      </w:r>
    </w:p>
    <w:p w14:paraId="5B00002F">
      <w:pPr>
        <w:widowControl/>
        <w:spacing w:line="360" w:lineRule="auto"/>
        <w:jc w:val="left"/>
        <w:rPr>
          <w:rFonts w:hint="default" w:ascii="仿宋" w:hAnsi="仿宋" w:eastAsia="仿宋" w:cs="仿宋"/>
          <w:color w:val="000000" w:themeColor="text1"/>
          <w:sz w:val="24"/>
          <w:szCs w:val="24"/>
          <w:lang w:val="en-US" w:eastAsia="zh-CN"/>
          <w14:textFill>
            <w14:solidFill>
              <w14:schemeClr w14:val="tx1"/>
            </w14:solidFill>
          </w14:textFill>
        </w:rPr>
      </w:pPr>
      <w:bookmarkStart w:id="3" w:name="_Toc317775175"/>
      <w:bookmarkStart w:id="4" w:name="_Toc313893526"/>
      <w:bookmarkStart w:id="5" w:name="_Toc51660705"/>
      <w:bookmarkStart w:id="6" w:name="_Toc20908"/>
      <w:r>
        <w:rPr>
          <w:rStyle w:val="74"/>
          <w:rFonts w:hint="eastAsia"/>
          <w:color w:val="000000" w:themeColor="text1"/>
          <w:lang w:val="en-US" w:eastAsia="zh-CN"/>
          <w14:textFill>
            <w14:solidFill>
              <w14:schemeClr w14:val="tx1"/>
            </w14:solidFill>
          </w14:textFill>
        </w:rPr>
        <w:t>一、采购内容</w:t>
      </w:r>
      <w:bookmarkEnd w:id="3"/>
      <w:bookmarkEnd w:id="4"/>
      <w:bookmarkEnd w:id="5"/>
      <w:r>
        <w:rPr>
          <w:rStyle w:val="74"/>
          <w:rFonts w:hint="eastAsia"/>
          <w:color w:val="000000" w:themeColor="text1"/>
          <w:lang w:val="en-US" w:eastAsia="zh-CN"/>
          <w14:textFill>
            <w14:solidFill>
              <w14:schemeClr w14:val="tx1"/>
            </w14:solidFill>
          </w14:textFill>
        </w:rPr>
        <w:t xml:space="preserve">    </w:t>
      </w:r>
      <w:bookmarkEnd w:id="6"/>
      <w:r>
        <w:rPr>
          <w:rFonts w:hint="eastAsia" w:ascii="仿宋" w:hAnsi="仿宋" w:eastAsia="仿宋" w:cs="仿宋"/>
          <w:color w:val="000000" w:themeColor="text1"/>
          <w:sz w:val="24"/>
          <w:szCs w:val="24"/>
          <w:lang w:val="en-US" w:eastAsia="zh-CN"/>
          <w14:textFill>
            <w14:solidFill>
              <w14:schemeClr w14:val="tx1"/>
            </w14:solidFill>
          </w14:textFill>
        </w:rPr>
        <w:t xml:space="preserve">           </w:t>
      </w:r>
    </w:p>
    <w:tbl>
      <w:tblPr>
        <w:tblStyle w:val="63"/>
        <w:tblW w:w="10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4595"/>
        <w:gridCol w:w="1632"/>
        <w:gridCol w:w="2176"/>
        <w:gridCol w:w="739"/>
      </w:tblGrid>
      <w:tr w14:paraId="21A0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935" w:type="dxa"/>
            <w:tcBorders>
              <w:top w:val="single" w:color="auto" w:sz="4" w:space="0"/>
              <w:left w:val="single" w:color="auto" w:sz="4" w:space="0"/>
              <w:right w:val="single" w:color="auto" w:sz="4" w:space="0"/>
            </w:tcBorders>
            <w:vAlign w:val="center"/>
          </w:tcPr>
          <w:p w14:paraId="24170830">
            <w:pPr>
              <w:snapToGrid w:val="0"/>
              <w:spacing w:line="360" w:lineRule="auto"/>
              <w:jc w:val="center"/>
              <w:rPr>
                <w:rFonts w:hint="eastAsia" w:ascii="仿宋" w:hAnsi="仿宋" w:eastAsia="仿宋" w:cs="仿宋"/>
                <w:b/>
                <w:color w:val="000000" w:themeColor="text1"/>
                <w:kern w:val="0"/>
                <w:sz w:val="22"/>
                <w:szCs w:val="22"/>
                <w14:textFill>
                  <w14:solidFill>
                    <w14:schemeClr w14:val="tx1"/>
                  </w14:solidFill>
                </w14:textFill>
              </w:rPr>
            </w:pPr>
            <w:r>
              <w:rPr>
                <w:rFonts w:hint="eastAsia" w:ascii="仿宋" w:hAnsi="仿宋" w:eastAsia="仿宋" w:cs="仿宋"/>
                <w:b/>
                <w:color w:val="000000" w:themeColor="text1"/>
                <w:kern w:val="0"/>
                <w:sz w:val="22"/>
                <w:szCs w:val="22"/>
                <w14:textFill>
                  <w14:solidFill>
                    <w14:schemeClr w14:val="tx1"/>
                  </w14:solidFill>
                </w14:textFill>
              </w:rPr>
              <w:t>序号</w:t>
            </w:r>
          </w:p>
        </w:tc>
        <w:tc>
          <w:tcPr>
            <w:tcW w:w="4595" w:type="dxa"/>
            <w:tcBorders>
              <w:top w:val="single" w:color="auto" w:sz="4" w:space="0"/>
              <w:left w:val="single" w:color="auto" w:sz="4" w:space="0"/>
              <w:right w:val="single" w:color="auto" w:sz="4" w:space="0"/>
            </w:tcBorders>
            <w:vAlign w:val="center"/>
          </w:tcPr>
          <w:p w14:paraId="23C79DAA">
            <w:pPr>
              <w:snapToGrid w:val="0"/>
              <w:spacing w:line="360" w:lineRule="auto"/>
              <w:jc w:val="center"/>
              <w:rPr>
                <w:rFonts w:hint="eastAsia" w:ascii="仿宋" w:hAnsi="仿宋" w:eastAsia="仿宋" w:cs="仿宋"/>
                <w:b/>
                <w:color w:val="000000" w:themeColor="text1"/>
                <w:kern w:val="0"/>
                <w:sz w:val="22"/>
                <w:szCs w:val="22"/>
                <w14:textFill>
                  <w14:solidFill>
                    <w14:schemeClr w14:val="tx1"/>
                  </w14:solidFill>
                </w14:textFill>
              </w:rPr>
            </w:pPr>
            <w:r>
              <w:rPr>
                <w:rFonts w:hint="eastAsia" w:ascii="仿宋" w:hAnsi="仿宋" w:eastAsia="仿宋" w:cs="仿宋"/>
                <w:b/>
                <w:color w:val="000000" w:themeColor="text1"/>
                <w:kern w:val="0"/>
                <w:sz w:val="22"/>
                <w:szCs w:val="22"/>
                <w:lang w:eastAsia="zh-CN"/>
                <w14:textFill>
                  <w14:solidFill>
                    <w14:schemeClr w14:val="tx1"/>
                  </w14:solidFill>
                </w14:textFill>
              </w:rPr>
              <w:t>竞采</w:t>
            </w:r>
            <w:r>
              <w:rPr>
                <w:rFonts w:hint="eastAsia" w:ascii="仿宋" w:hAnsi="仿宋" w:eastAsia="仿宋" w:cs="仿宋"/>
                <w:b/>
                <w:color w:val="000000" w:themeColor="text1"/>
                <w:kern w:val="0"/>
                <w:sz w:val="22"/>
                <w:szCs w:val="22"/>
                <w14:textFill>
                  <w14:solidFill>
                    <w14:schemeClr w14:val="tx1"/>
                  </w14:solidFill>
                </w14:textFill>
              </w:rPr>
              <w:t>内容</w:t>
            </w:r>
          </w:p>
        </w:tc>
        <w:tc>
          <w:tcPr>
            <w:tcW w:w="1632" w:type="dxa"/>
            <w:tcBorders>
              <w:top w:val="single" w:color="auto" w:sz="4" w:space="0"/>
              <w:left w:val="single" w:color="auto" w:sz="4" w:space="0"/>
              <w:right w:val="single" w:color="auto" w:sz="4" w:space="0"/>
            </w:tcBorders>
            <w:vAlign w:val="center"/>
          </w:tcPr>
          <w:p w14:paraId="748761DC">
            <w:pPr>
              <w:snapToGrid w:val="0"/>
              <w:spacing w:line="360" w:lineRule="auto"/>
              <w:jc w:val="center"/>
              <w:rPr>
                <w:rFonts w:hint="eastAsia" w:ascii="仿宋" w:hAnsi="仿宋" w:eastAsia="仿宋" w:cs="仿宋"/>
                <w:b/>
                <w:color w:val="000000" w:themeColor="text1"/>
                <w:kern w:val="0"/>
                <w:sz w:val="22"/>
                <w:szCs w:val="22"/>
                <w14:textFill>
                  <w14:solidFill>
                    <w14:schemeClr w14:val="tx1"/>
                  </w14:solidFill>
                </w14:textFill>
              </w:rPr>
            </w:pPr>
            <w:r>
              <w:rPr>
                <w:rFonts w:hint="eastAsia" w:ascii="仿宋" w:hAnsi="仿宋" w:eastAsia="仿宋" w:cs="仿宋"/>
                <w:b/>
                <w:color w:val="000000" w:themeColor="text1"/>
                <w:kern w:val="0"/>
                <w:sz w:val="22"/>
                <w:szCs w:val="22"/>
                <w14:textFill>
                  <w14:solidFill>
                    <w14:schemeClr w14:val="tx1"/>
                  </w14:solidFill>
                </w14:textFill>
              </w:rPr>
              <w:t>最高限价</w:t>
            </w:r>
          </w:p>
          <w:p w14:paraId="28E180E5">
            <w:pPr>
              <w:snapToGrid w:val="0"/>
              <w:spacing w:line="360" w:lineRule="auto"/>
              <w:jc w:val="center"/>
              <w:rPr>
                <w:rFonts w:hint="eastAsia" w:ascii="仿宋" w:hAnsi="仿宋" w:eastAsia="仿宋" w:cs="仿宋"/>
                <w:b/>
                <w:color w:val="000000" w:themeColor="text1"/>
                <w:kern w:val="0"/>
                <w:sz w:val="22"/>
                <w:szCs w:val="22"/>
                <w14:textFill>
                  <w14:solidFill>
                    <w14:schemeClr w14:val="tx1"/>
                  </w14:solidFill>
                </w14:textFill>
              </w:rPr>
            </w:pPr>
            <w:r>
              <w:rPr>
                <w:rFonts w:hint="eastAsia" w:ascii="仿宋" w:hAnsi="仿宋" w:eastAsia="仿宋" w:cs="仿宋"/>
                <w:b/>
                <w:color w:val="000000" w:themeColor="text1"/>
                <w:kern w:val="0"/>
                <w:sz w:val="22"/>
                <w:szCs w:val="22"/>
                <w14:textFill>
                  <w14:solidFill>
                    <w14:schemeClr w14:val="tx1"/>
                  </w14:solidFill>
                </w14:textFill>
              </w:rPr>
              <w:t>（元）</w:t>
            </w:r>
          </w:p>
        </w:tc>
        <w:tc>
          <w:tcPr>
            <w:tcW w:w="2176" w:type="dxa"/>
            <w:tcBorders>
              <w:top w:val="single" w:color="auto" w:sz="4" w:space="0"/>
              <w:left w:val="single" w:color="auto" w:sz="4" w:space="0"/>
              <w:right w:val="single" w:color="auto" w:sz="4" w:space="0"/>
            </w:tcBorders>
            <w:vAlign w:val="center"/>
          </w:tcPr>
          <w:p w14:paraId="58630794">
            <w:pPr>
              <w:snapToGrid w:val="0"/>
              <w:spacing w:line="360" w:lineRule="auto"/>
              <w:jc w:val="center"/>
              <w:rPr>
                <w:rFonts w:hint="eastAsia" w:ascii="仿宋" w:hAnsi="仿宋" w:eastAsia="仿宋" w:cs="仿宋"/>
                <w:b/>
                <w:color w:val="000000" w:themeColor="text1"/>
                <w:kern w:val="0"/>
                <w:sz w:val="22"/>
                <w:szCs w:val="22"/>
                <w14:textFill>
                  <w14:solidFill>
                    <w14:schemeClr w14:val="tx1"/>
                  </w14:solidFill>
                </w14:textFill>
              </w:rPr>
            </w:pPr>
            <w:r>
              <w:rPr>
                <w:rFonts w:hint="eastAsia" w:ascii="仿宋" w:hAnsi="仿宋" w:eastAsia="仿宋" w:cs="仿宋"/>
                <w:b/>
                <w:color w:val="000000" w:themeColor="text1"/>
                <w:kern w:val="0"/>
                <w:sz w:val="22"/>
                <w:szCs w:val="22"/>
                <w14:textFill>
                  <w14:solidFill>
                    <w14:schemeClr w14:val="tx1"/>
                  </w14:solidFill>
                </w14:textFill>
              </w:rPr>
              <w:t>资金来源</w:t>
            </w:r>
          </w:p>
        </w:tc>
        <w:tc>
          <w:tcPr>
            <w:tcW w:w="739" w:type="dxa"/>
            <w:tcBorders>
              <w:top w:val="single" w:color="auto" w:sz="4" w:space="0"/>
              <w:left w:val="single" w:color="auto" w:sz="4" w:space="0"/>
              <w:right w:val="single" w:color="auto" w:sz="4" w:space="0"/>
            </w:tcBorders>
            <w:vAlign w:val="center"/>
          </w:tcPr>
          <w:p w14:paraId="729F394F">
            <w:pPr>
              <w:snapToGrid w:val="0"/>
              <w:spacing w:line="360" w:lineRule="auto"/>
              <w:jc w:val="center"/>
              <w:rPr>
                <w:rFonts w:hint="eastAsia" w:ascii="仿宋" w:hAnsi="仿宋" w:eastAsia="仿宋" w:cs="仿宋"/>
                <w:b/>
                <w:color w:val="000000" w:themeColor="text1"/>
                <w:kern w:val="0"/>
                <w:sz w:val="22"/>
                <w:szCs w:val="22"/>
                <w14:textFill>
                  <w14:solidFill>
                    <w14:schemeClr w14:val="tx1"/>
                  </w14:solidFill>
                </w14:textFill>
              </w:rPr>
            </w:pPr>
            <w:r>
              <w:rPr>
                <w:rFonts w:hint="eastAsia" w:ascii="仿宋" w:hAnsi="仿宋" w:eastAsia="仿宋" w:cs="仿宋"/>
                <w:b/>
                <w:color w:val="000000" w:themeColor="text1"/>
                <w:kern w:val="0"/>
                <w:sz w:val="22"/>
                <w:szCs w:val="22"/>
                <w14:textFill>
                  <w14:solidFill>
                    <w14:schemeClr w14:val="tx1"/>
                  </w14:solidFill>
                </w14:textFill>
              </w:rPr>
              <w:t>备注</w:t>
            </w:r>
          </w:p>
        </w:tc>
      </w:tr>
      <w:tr w14:paraId="110D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35" w:type="dxa"/>
            <w:tcBorders>
              <w:top w:val="single" w:color="auto" w:sz="4" w:space="0"/>
              <w:left w:val="single" w:color="auto" w:sz="4" w:space="0"/>
              <w:bottom w:val="single" w:color="auto" w:sz="4" w:space="0"/>
              <w:right w:val="single" w:color="auto" w:sz="4" w:space="0"/>
            </w:tcBorders>
            <w:vAlign w:val="center"/>
          </w:tcPr>
          <w:p w14:paraId="0A20425E">
            <w:pPr>
              <w:widowControl/>
              <w:spacing w:line="360" w:lineRule="auto"/>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1</w:t>
            </w:r>
          </w:p>
        </w:tc>
        <w:tc>
          <w:tcPr>
            <w:tcW w:w="4595" w:type="dxa"/>
            <w:tcBorders>
              <w:top w:val="single" w:color="auto" w:sz="4" w:space="0"/>
              <w:left w:val="single" w:color="auto" w:sz="4" w:space="0"/>
              <w:bottom w:val="single" w:color="auto" w:sz="4" w:space="0"/>
              <w:right w:val="single" w:color="auto" w:sz="4" w:space="0"/>
            </w:tcBorders>
            <w:vAlign w:val="center"/>
          </w:tcPr>
          <w:p w14:paraId="365ECCC8">
            <w:pPr>
              <w:snapToGrid w:val="0"/>
              <w:spacing w:line="360" w:lineRule="auto"/>
              <w:jc w:val="center"/>
              <w:rPr>
                <w:rFonts w:hint="eastAsia" w:ascii="仿宋" w:hAnsi="仿宋" w:eastAsia="仿宋" w:cs="仿宋"/>
                <w:b/>
                <w:color w:val="000000" w:themeColor="text1"/>
                <w:kern w:val="0"/>
                <w:sz w:val="22"/>
                <w:szCs w:val="22"/>
                <w:lang w:val="en-US" w:eastAsia="zh-CN"/>
                <w14:textFill>
                  <w14:solidFill>
                    <w14:schemeClr w14:val="tx1"/>
                  </w14:solidFill>
                </w14:textFill>
              </w:rPr>
            </w:pPr>
          </w:p>
          <w:p w14:paraId="190C54A9">
            <w:pPr>
              <w:snapToGrid w:val="0"/>
              <w:spacing w:line="360" w:lineRule="auto"/>
              <w:jc w:val="center"/>
              <w:rPr>
                <w:rFonts w:hint="eastAsia" w:ascii="仿宋" w:hAnsi="仿宋" w:eastAsia="仿宋" w:cs="仿宋"/>
                <w:b/>
                <w:color w:val="000000" w:themeColor="text1"/>
                <w:kern w:val="0"/>
                <w:sz w:val="22"/>
                <w:szCs w:val="22"/>
                <w14:textFill>
                  <w14:solidFill>
                    <w14:schemeClr w14:val="tx1"/>
                  </w14:solidFill>
                </w14:textFill>
              </w:rPr>
            </w:pPr>
            <w:r>
              <w:rPr>
                <w:rFonts w:hint="eastAsia" w:ascii="仿宋" w:hAnsi="仿宋" w:eastAsia="仿宋" w:cs="仿宋"/>
                <w:b/>
                <w:color w:val="000000" w:themeColor="text1"/>
                <w:kern w:val="0"/>
                <w:sz w:val="22"/>
                <w:szCs w:val="22"/>
                <w:lang w:val="en-US" w:eastAsia="zh-CN"/>
                <w14:textFill>
                  <w14:solidFill>
                    <w14:schemeClr w14:val="tx1"/>
                  </w14:solidFill>
                </w14:textFill>
              </w:rPr>
              <w:t>龙棠路口袋公园建设</w:t>
            </w:r>
          </w:p>
          <w:p w14:paraId="5DF4F05C">
            <w:pPr>
              <w:snapToGrid w:val="0"/>
              <w:spacing w:line="360" w:lineRule="auto"/>
              <w:jc w:val="center"/>
              <w:rPr>
                <w:rFonts w:hint="eastAsia" w:ascii="仿宋" w:hAnsi="仿宋" w:eastAsia="仿宋" w:cs="仿宋"/>
                <w:b/>
                <w:color w:val="000000" w:themeColor="text1"/>
                <w:kern w:val="0"/>
                <w:sz w:val="22"/>
                <w:szCs w:val="22"/>
                <w:lang w:val="en-US" w:eastAsia="zh-CN"/>
                <w14:textFill>
                  <w14:solidFill>
                    <w14:schemeClr w14:val="tx1"/>
                  </w14:solidFill>
                </w14:textFill>
              </w:rPr>
            </w:pPr>
          </w:p>
        </w:tc>
        <w:tc>
          <w:tcPr>
            <w:tcW w:w="1632" w:type="dxa"/>
            <w:tcBorders>
              <w:top w:val="single" w:color="auto" w:sz="4" w:space="0"/>
              <w:left w:val="single" w:color="auto" w:sz="4" w:space="0"/>
              <w:bottom w:val="single" w:color="auto" w:sz="4" w:space="0"/>
              <w:right w:val="single" w:color="auto" w:sz="4" w:space="0"/>
            </w:tcBorders>
            <w:vAlign w:val="center"/>
          </w:tcPr>
          <w:p w14:paraId="74DC7E1C">
            <w:pPr>
              <w:snapToGrid w:val="0"/>
              <w:spacing w:line="360" w:lineRule="auto"/>
              <w:jc w:val="center"/>
              <w:rPr>
                <w:rFonts w:hint="eastAsia" w:ascii="仿宋" w:hAnsi="仿宋" w:eastAsia="仿宋" w:cs="仿宋"/>
                <w:b/>
                <w:color w:val="000000" w:themeColor="text1"/>
                <w:kern w:val="0"/>
                <w:sz w:val="22"/>
                <w:szCs w:val="22"/>
                <w:lang w:val="en-US" w:eastAsia="zh-CN"/>
                <w14:textFill>
                  <w14:solidFill>
                    <w14:schemeClr w14:val="tx1"/>
                  </w14:solidFill>
                </w14:textFill>
              </w:rPr>
            </w:pPr>
          </w:p>
          <w:p w14:paraId="1D23CC76">
            <w:pPr>
              <w:snapToGrid w:val="0"/>
              <w:spacing w:line="360" w:lineRule="auto"/>
              <w:jc w:val="center"/>
              <w:rPr>
                <w:rFonts w:hint="eastAsia" w:ascii="仿宋" w:hAnsi="仿宋" w:eastAsia="仿宋" w:cs="仿宋"/>
                <w:b/>
                <w:color w:val="000000" w:themeColor="text1"/>
                <w:kern w:val="0"/>
                <w:sz w:val="22"/>
                <w:szCs w:val="22"/>
                <w14:textFill>
                  <w14:solidFill>
                    <w14:schemeClr w14:val="tx1"/>
                  </w14:solidFill>
                </w14:textFill>
              </w:rPr>
            </w:pPr>
            <w:r>
              <w:rPr>
                <w:rFonts w:hint="eastAsia" w:ascii="仿宋" w:hAnsi="仿宋" w:eastAsia="仿宋" w:cs="仿宋"/>
                <w:b/>
                <w:color w:val="000000" w:themeColor="text1"/>
                <w:kern w:val="0"/>
                <w:sz w:val="22"/>
                <w:szCs w:val="22"/>
                <w:lang w:val="en-US" w:eastAsia="zh-CN"/>
                <w14:textFill>
                  <w14:solidFill>
                    <w14:schemeClr w14:val="tx1"/>
                  </w14:solidFill>
                </w14:textFill>
              </w:rPr>
              <w:t>383355.59</w:t>
            </w:r>
          </w:p>
          <w:p w14:paraId="0297DEBF">
            <w:pPr>
              <w:snapToGrid w:val="0"/>
              <w:spacing w:line="360" w:lineRule="auto"/>
              <w:jc w:val="center"/>
              <w:rPr>
                <w:rFonts w:hint="default" w:ascii="仿宋" w:hAnsi="仿宋" w:eastAsia="仿宋" w:cs="仿宋"/>
                <w:b/>
                <w:color w:val="000000" w:themeColor="text1"/>
                <w:kern w:val="0"/>
                <w:sz w:val="22"/>
                <w:szCs w:val="22"/>
                <w:lang w:val="en-US" w:eastAsia="zh-CN"/>
                <w14:textFill>
                  <w14:solidFill>
                    <w14:schemeClr w14:val="tx1"/>
                  </w14:solidFill>
                </w14:textFill>
              </w:rPr>
            </w:pPr>
          </w:p>
        </w:tc>
        <w:tc>
          <w:tcPr>
            <w:tcW w:w="2176" w:type="dxa"/>
            <w:tcBorders>
              <w:top w:val="single" w:color="auto" w:sz="4" w:space="0"/>
              <w:left w:val="single" w:color="auto" w:sz="4" w:space="0"/>
              <w:bottom w:val="single" w:color="auto" w:sz="4" w:space="0"/>
              <w:right w:val="single" w:color="auto" w:sz="4" w:space="0"/>
            </w:tcBorders>
            <w:vAlign w:val="center"/>
          </w:tcPr>
          <w:p w14:paraId="2956330D">
            <w:pPr>
              <w:snapToGrid w:val="0"/>
              <w:spacing w:line="360" w:lineRule="auto"/>
              <w:jc w:val="center"/>
              <w:rPr>
                <w:rFonts w:hint="eastAsia" w:ascii="仿宋" w:hAnsi="仿宋" w:eastAsia="仿宋" w:cs="仿宋"/>
                <w:b/>
                <w:color w:val="000000" w:themeColor="text1"/>
                <w:kern w:val="0"/>
                <w:sz w:val="22"/>
                <w:szCs w:val="22"/>
                <w:lang w:val="en-US" w:eastAsia="zh-CN"/>
                <w14:textFill>
                  <w14:solidFill>
                    <w14:schemeClr w14:val="tx1"/>
                  </w14:solidFill>
                </w14:textFill>
              </w:rPr>
            </w:pPr>
          </w:p>
          <w:p w14:paraId="5584C9E1">
            <w:pPr>
              <w:snapToGrid w:val="0"/>
              <w:spacing w:line="360" w:lineRule="auto"/>
              <w:jc w:val="center"/>
              <w:rPr>
                <w:rFonts w:hint="eastAsia" w:ascii="仿宋" w:hAnsi="仿宋" w:eastAsia="仿宋" w:cs="仿宋"/>
                <w:b/>
                <w:color w:val="000000" w:themeColor="text1"/>
                <w:kern w:val="0"/>
                <w:sz w:val="22"/>
                <w:szCs w:val="22"/>
                <w:lang w:eastAsia="zh-CN"/>
                <w14:textFill>
                  <w14:solidFill>
                    <w14:schemeClr w14:val="tx1"/>
                  </w14:solidFill>
                </w14:textFill>
              </w:rPr>
            </w:pPr>
          </w:p>
        </w:tc>
        <w:tc>
          <w:tcPr>
            <w:tcW w:w="739" w:type="dxa"/>
            <w:tcBorders>
              <w:top w:val="single" w:color="auto" w:sz="4" w:space="0"/>
              <w:left w:val="single" w:color="auto" w:sz="4" w:space="0"/>
              <w:bottom w:val="single" w:color="auto" w:sz="4" w:space="0"/>
              <w:right w:val="single" w:color="auto" w:sz="4" w:space="0"/>
            </w:tcBorders>
            <w:vAlign w:val="center"/>
          </w:tcPr>
          <w:p w14:paraId="2FC74F48">
            <w:pPr>
              <w:snapToGrid w:val="0"/>
              <w:spacing w:line="360" w:lineRule="auto"/>
              <w:jc w:val="center"/>
              <w:rPr>
                <w:rFonts w:hint="eastAsia" w:ascii="仿宋" w:hAnsi="仿宋" w:eastAsia="仿宋" w:cs="仿宋"/>
                <w:b/>
                <w:color w:val="000000" w:themeColor="text1"/>
                <w:kern w:val="0"/>
                <w:sz w:val="22"/>
                <w:szCs w:val="22"/>
                <w14:textFill>
                  <w14:solidFill>
                    <w14:schemeClr w14:val="tx1"/>
                  </w14:solidFill>
                </w14:textFill>
              </w:rPr>
            </w:pPr>
          </w:p>
        </w:tc>
      </w:tr>
    </w:tbl>
    <w:p w14:paraId="6B72E400">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7" w:name="_Toc51660707"/>
      <w:bookmarkStart w:id="8" w:name="_Toc5408"/>
      <w:bookmarkStart w:id="9" w:name="_Toc373860293"/>
      <w:bookmarkStart w:id="10" w:name="_Toc317775178"/>
      <w:r>
        <w:rPr>
          <w:rStyle w:val="74"/>
          <w:rFonts w:hint="eastAsia" w:ascii="Times New Roman" w:hAnsi="Times New Roman" w:eastAsia="宋体"/>
          <w:color w:val="000000" w:themeColor="text1"/>
          <w:lang w:val="en-US" w:eastAsia="zh-CN"/>
          <w14:textFill>
            <w14:solidFill>
              <w14:schemeClr w14:val="tx1"/>
            </w14:solidFill>
          </w14:textFill>
        </w:rPr>
        <w:t>二、供应商的资格条件</w:t>
      </w:r>
      <w:bookmarkEnd w:id="7"/>
    </w:p>
    <w:bookmarkEnd w:id="8"/>
    <w:p w14:paraId="37FA9F72">
      <w:pPr>
        <w:spacing w:line="360" w:lineRule="auto"/>
        <w:ind w:firstLine="482" w:firstLineChars="2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（一）一般资质条件</w:t>
      </w:r>
    </w:p>
    <w:p w14:paraId="4CB51DF7">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供应商是指向采购人提供货物、工程或者服务的法人、其他组织或者自然人。合格的供应商应符合政府采购法第二十二条规定的基本条件：</w:t>
      </w:r>
    </w:p>
    <w:p w14:paraId="599EEEDD">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1.具有独立承担民事责任的能力；</w:t>
      </w:r>
    </w:p>
    <w:p w14:paraId="0982B7C1">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2.具有良好的商业信誉和健全的财务会计制度；</w:t>
      </w:r>
    </w:p>
    <w:p w14:paraId="7FBEFA34">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3.具有履行合同所必需的设备和专业技术能力；</w:t>
      </w:r>
    </w:p>
    <w:p w14:paraId="4F63F708">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4.有依法缴纳税收和社会保障资金的良好记录；</w:t>
      </w:r>
    </w:p>
    <w:p w14:paraId="357904B0">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5.参加政府采购活动前三年内，在经营活动中没有重大违法记录；</w:t>
      </w:r>
    </w:p>
    <w:p w14:paraId="08AA46B3">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6.法律、行政法规规定的其他条件。</w:t>
      </w:r>
    </w:p>
    <w:p w14:paraId="214181B0">
      <w:pPr>
        <w:spacing w:line="360" w:lineRule="auto"/>
        <w:ind w:firstLine="482" w:firstLineChars="2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（二）特定资格条件</w:t>
      </w:r>
    </w:p>
    <w:p w14:paraId="28096E64">
      <w:pPr>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1.供应商应具备建设行政主管部门颁发的</w:t>
      </w:r>
      <w:r>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t>市政公用工程施工总承包叁级及以上资质</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53E68C79">
      <w:pPr>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注：须提供有效的资质证书副本复印件并加盖公章</w:t>
      </w:r>
    </w:p>
    <w:p w14:paraId="05335A84">
      <w:pPr>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2.供应商具备有效的企业法人营业执照。</w:t>
      </w:r>
    </w:p>
    <w:p w14:paraId="7859292F">
      <w:pPr>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注：提供有效的营业执照副本复印件并加盖公章</w:t>
      </w:r>
    </w:p>
    <w:p w14:paraId="12853EFB">
      <w:pPr>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3.供应商具备行业主管部门颁发的有效的安全生产许可证。</w:t>
      </w:r>
    </w:p>
    <w:p w14:paraId="45E7C338">
      <w:p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注：须提供有效的安全生产许可证复印件并加盖公章</w:t>
      </w:r>
    </w:p>
    <w:p w14:paraId="231C596F">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11" w:name="_Toc51660708"/>
      <w:bookmarkStart w:id="12" w:name="_Toc5968"/>
      <w:r>
        <w:rPr>
          <w:rStyle w:val="74"/>
          <w:rFonts w:hint="eastAsia" w:ascii="Times New Roman" w:hAnsi="Times New Roman" w:eastAsia="宋体"/>
          <w:color w:val="000000" w:themeColor="text1"/>
          <w:lang w:val="en-US" w:eastAsia="zh-CN"/>
          <w14:textFill>
            <w14:solidFill>
              <w14:schemeClr w14:val="tx1"/>
            </w14:solidFill>
          </w14:textFill>
        </w:rPr>
        <w:t>三、</w:t>
      </w:r>
      <w:r>
        <w:rPr>
          <w:rStyle w:val="74"/>
          <w:rFonts w:hint="eastAsia"/>
          <w:color w:val="000000" w:themeColor="text1"/>
          <w:lang w:val="en-US" w:eastAsia="zh-CN"/>
          <w14:textFill>
            <w14:solidFill>
              <w14:schemeClr w14:val="tx1"/>
            </w14:solidFill>
          </w14:textFill>
        </w:rPr>
        <w:t>采购</w:t>
      </w:r>
      <w:r>
        <w:rPr>
          <w:rStyle w:val="74"/>
          <w:rFonts w:hint="eastAsia" w:ascii="Times New Roman" w:hAnsi="Times New Roman" w:eastAsia="宋体"/>
          <w:color w:val="000000" w:themeColor="text1"/>
          <w:lang w:val="en-US" w:eastAsia="zh-CN"/>
          <w14:textFill>
            <w14:solidFill>
              <w14:schemeClr w14:val="tx1"/>
            </w14:solidFill>
          </w14:textFill>
        </w:rPr>
        <w:t>的有关说明</w:t>
      </w:r>
      <w:bookmarkEnd w:id="9"/>
      <w:bookmarkEnd w:id="11"/>
    </w:p>
    <w:bookmarkEnd w:id="12"/>
    <w:p w14:paraId="5B3285D3">
      <w:pPr>
        <w:pStyle w:val="61"/>
        <w:spacing w:line="360" w:lineRule="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w:t>
      </w:r>
      <w:r>
        <w:rPr>
          <w:rFonts w:hint="eastAsia" w:ascii="宋体" w:hAnsi="宋体"/>
          <w:snapToGrid w:val="0"/>
          <w:kern w:val="0"/>
          <w:szCs w:val="21"/>
        </w:rPr>
        <w:t>凡有意参加的供应商，</w:t>
      </w:r>
      <w:r>
        <w:rPr>
          <w:rFonts w:hint="eastAsia" w:ascii="宋体" w:hAnsi="宋体" w:cs="Times New Roman"/>
          <w:snapToGrid w:val="0"/>
          <w:color w:val="auto"/>
          <w:kern w:val="0"/>
          <w:szCs w:val="21"/>
          <w:highlight w:val="none"/>
        </w:rPr>
        <w:t>应通过“行采家”平台（https://www.gec123.com）进行注册，成为行采家平台供应商</w:t>
      </w:r>
      <w:r>
        <w:rPr>
          <w:rFonts w:hint="eastAsia" w:ascii="宋体" w:hAnsi="宋体" w:cs="Times New Roman"/>
          <w:snapToGrid w:val="0"/>
          <w:color w:val="auto"/>
          <w:kern w:val="0"/>
          <w:szCs w:val="21"/>
          <w:highlight w:val="none"/>
          <w:lang w:eastAsia="zh-CN"/>
        </w:rPr>
        <w:t>；</w:t>
      </w:r>
      <w:r>
        <w:rPr>
          <w:rFonts w:hint="eastAsia" w:ascii="宋体" w:hAnsi="宋体"/>
          <w:snapToGrid w:val="0"/>
          <w:color w:val="auto"/>
          <w:kern w:val="0"/>
          <w:szCs w:val="21"/>
          <w:highlight w:val="none"/>
        </w:rPr>
        <w:t>请于</w:t>
      </w:r>
      <w:r>
        <w:rPr>
          <w:rFonts w:hint="eastAsia" w:ascii="宋体" w:hAnsi="宋体"/>
          <w:snapToGrid w:val="0"/>
          <w:color w:val="auto"/>
          <w:kern w:val="0"/>
          <w:szCs w:val="21"/>
          <w:highlight w:val="none"/>
          <w:u w:val="single"/>
        </w:rPr>
        <w:t>202</w:t>
      </w:r>
      <w:r>
        <w:rPr>
          <w:rFonts w:hint="eastAsia" w:ascii="宋体" w:hAnsi="宋体"/>
          <w:snapToGrid w:val="0"/>
          <w:color w:val="auto"/>
          <w:kern w:val="0"/>
          <w:szCs w:val="21"/>
          <w:highlight w:val="none"/>
          <w:u w:val="single"/>
          <w:lang w:val="en-US" w:eastAsia="zh-CN"/>
        </w:rPr>
        <w:t>6</w:t>
      </w:r>
      <w:r>
        <w:rPr>
          <w:rFonts w:hint="eastAsia" w:ascii="宋体" w:hAnsi="宋体"/>
          <w:snapToGrid w:val="0"/>
          <w:color w:val="auto"/>
          <w:kern w:val="0"/>
          <w:szCs w:val="21"/>
          <w:highlight w:val="none"/>
        </w:rPr>
        <w:t>年</w:t>
      </w:r>
      <w:r>
        <w:rPr>
          <w:rFonts w:hint="eastAsia" w:ascii="宋体" w:hAnsi="宋体"/>
          <w:snapToGrid w:val="0"/>
          <w:color w:val="auto"/>
          <w:kern w:val="0"/>
          <w:szCs w:val="21"/>
          <w:highlight w:val="none"/>
          <w:u w:val="single"/>
          <w:lang w:val="en-US" w:eastAsia="zh-CN"/>
        </w:rPr>
        <w:t>8</w:t>
      </w:r>
      <w:r>
        <w:rPr>
          <w:rFonts w:hint="eastAsia" w:ascii="宋体" w:hAnsi="宋体"/>
          <w:snapToGrid w:val="0"/>
          <w:color w:val="auto"/>
          <w:kern w:val="0"/>
          <w:szCs w:val="21"/>
          <w:highlight w:val="none"/>
        </w:rPr>
        <w:t>月</w:t>
      </w:r>
      <w:r>
        <w:rPr>
          <w:rFonts w:hint="eastAsia" w:ascii="宋体" w:hAnsi="宋体"/>
          <w:snapToGrid w:val="0"/>
          <w:color w:val="auto"/>
          <w:kern w:val="0"/>
          <w:szCs w:val="21"/>
          <w:highlight w:val="none"/>
          <w:u w:val="single"/>
          <w:lang w:val="en-US" w:eastAsia="zh-CN"/>
        </w:rPr>
        <w:t xml:space="preserve">  </w:t>
      </w:r>
      <w:r>
        <w:rPr>
          <w:rFonts w:hint="eastAsia" w:ascii="宋体" w:hAnsi="宋体" w:cs="Times New Roman"/>
          <w:snapToGrid w:val="0"/>
          <w:color w:val="auto"/>
          <w:kern w:val="0"/>
          <w:szCs w:val="21"/>
          <w:highlight w:val="none"/>
        </w:rPr>
        <w:t>日起</w:t>
      </w:r>
      <w:r>
        <w:rPr>
          <w:rFonts w:hint="eastAsia" w:ascii="宋体" w:hAnsi="宋体" w:cs="Times New Roman"/>
          <w:snapToGrid w:val="0"/>
          <w:color w:val="auto"/>
          <w:kern w:val="0"/>
          <w:szCs w:val="21"/>
          <w:highlight w:val="none"/>
          <w:lang w:eastAsia="zh-CN"/>
        </w:rPr>
        <w:t>，</w:t>
      </w:r>
      <w:r>
        <w:rPr>
          <w:rFonts w:hint="eastAsia" w:ascii="宋体" w:hAnsi="宋体"/>
          <w:snapToGrid w:val="0"/>
          <w:kern w:val="0"/>
          <w:szCs w:val="21"/>
        </w:rPr>
        <w:t>在</w:t>
      </w:r>
      <w:r>
        <w:rPr>
          <w:rFonts w:hint="eastAsia" w:ascii="宋体" w:hAnsi="宋体" w:cs="宋体"/>
          <w:kern w:val="0"/>
          <w:szCs w:val="21"/>
          <w:u w:val="single"/>
        </w:rPr>
        <w:t>“行采家”平台（http://www.gec123.com）</w:t>
      </w:r>
      <w:r>
        <w:rPr>
          <w:rFonts w:hint="eastAsia" w:ascii="宋体" w:hAnsi="宋体"/>
          <w:snapToGrid w:val="0"/>
          <w:kern w:val="0"/>
          <w:szCs w:val="21"/>
        </w:rPr>
        <w:t>下载本项目竞争性比选文件以及图纸、工程量清单、澄清等比选前公布的所有项目资料，无论供应商下载与否，均视为已知晓所有比选实质性要求内容。</w:t>
      </w:r>
    </w:p>
    <w:p w14:paraId="3D6A2CDF">
      <w:pPr>
        <w:spacing w:line="360" w:lineRule="auto"/>
        <w:ind w:firstLine="480" w:firstLineChars="200"/>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val="en-US" w:eastAsia="zh-CN"/>
          <w14:textFill>
            <w14:solidFill>
              <w14:schemeClr w14:val="tx1"/>
            </w14:solidFill>
          </w14:textFill>
        </w:rPr>
        <w:t>二</w:t>
      </w:r>
      <w:r>
        <w:rPr>
          <w:rFonts w:hint="eastAsia" w:ascii="仿宋" w:hAnsi="仿宋" w:eastAsia="仿宋" w:cs="仿宋"/>
          <w:color w:val="000000" w:themeColor="text1"/>
          <w:sz w:val="24"/>
          <w:szCs w:val="24"/>
          <w:highlight w:val="none"/>
          <w14:textFill>
            <w14:solidFill>
              <w14:schemeClr w14:val="tx1"/>
            </w14:solidFill>
          </w14:textFill>
        </w:rPr>
        <w:t>）报名及</w:t>
      </w:r>
      <w:r>
        <w:rPr>
          <w:rFonts w:hint="eastAsia" w:ascii="仿宋" w:hAnsi="仿宋" w:eastAsia="仿宋" w:cs="仿宋"/>
          <w:color w:val="000000" w:themeColor="text1"/>
          <w:sz w:val="24"/>
          <w:szCs w:val="24"/>
          <w:highlight w:val="none"/>
          <w:lang w:eastAsia="zh-CN"/>
          <w14:textFill>
            <w14:solidFill>
              <w14:schemeClr w14:val="tx1"/>
            </w14:solidFill>
          </w14:textFill>
        </w:rPr>
        <w:t>采购</w:t>
      </w:r>
      <w:r>
        <w:rPr>
          <w:rFonts w:hint="eastAsia" w:ascii="仿宋" w:hAnsi="仿宋" w:eastAsia="仿宋" w:cs="仿宋"/>
          <w:color w:val="000000" w:themeColor="text1"/>
          <w:sz w:val="24"/>
          <w:szCs w:val="24"/>
          <w:highlight w:val="none"/>
          <w14:textFill>
            <w14:solidFill>
              <w14:schemeClr w14:val="tx1"/>
            </w14:solidFill>
          </w14:textFill>
        </w:rPr>
        <w:t>文件发售</w:t>
      </w:r>
    </w:p>
    <w:p w14:paraId="5C1915E5">
      <w:pPr>
        <w:pStyle w:val="61"/>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采购文件发售期：</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2026</w:t>
      </w:r>
      <w:r>
        <w:rPr>
          <w:rFonts w:hint="eastAsia" w:ascii="仿宋" w:hAnsi="仿宋" w:eastAsia="仿宋" w:cs="仿宋"/>
          <w:color w:val="000000" w:themeColor="text1"/>
          <w:kern w:val="2"/>
          <w:sz w:val="24"/>
          <w:szCs w:val="24"/>
          <w:highlight w:val="none"/>
          <w:u w:val="single"/>
          <w:lang w:val="en-US" w:eastAsia="zh-CN" w:bidi="ar-SA"/>
          <w14:textFill>
            <w14:solidFill>
              <w14:schemeClr w14:val="tx1"/>
            </w14:solidFill>
          </w14:textFill>
        </w:rPr>
        <w:t>年8月  日至 2026年  月  日17:00</w:t>
      </w:r>
      <w:r>
        <w:rPr>
          <w:rFonts w:hint="eastAsia" w:ascii="仿宋" w:hAnsi="仿宋" w:eastAsia="仿宋" w:cs="仿宋"/>
          <w:color w:val="000000" w:themeColor="text1"/>
          <w:sz w:val="24"/>
          <w:szCs w:val="24"/>
          <w:highlight w:val="none"/>
          <w14:textFill>
            <w14:solidFill>
              <w14:schemeClr w14:val="tx1"/>
            </w14:solidFill>
          </w14:textFill>
        </w:rPr>
        <w:t>（工作时间）。</w:t>
      </w:r>
    </w:p>
    <w:p w14:paraId="13BE0887">
      <w:pPr>
        <w:pStyle w:val="61"/>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宋体" w:hAnsi="宋体"/>
          <w:snapToGrid w:val="0"/>
          <w:kern w:val="0"/>
          <w:szCs w:val="21"/>
        </w:rPr>
        <w:t>比选文件售价：人民币</w:t>
      </w:r>
      <w:r>
        <w:rPr>
          <w:rFonts w:hint="eastAsia"/>
          <w:snapToGrid w:val="0"/>
          <w:kern w:val="0"/>
          <w:szCs w:val="21"/>
          <w:lang w:val="en-US" w:eastAsia="zh-CN"/>
        </w:rPr>
        <w:t>5</w:t>
      </w:r>
      <w:r>
        <w:rPr>
          <w:rFonts w:hint="eastAsia" w:ascii="宋体" w:hAnsi="宋体"/>
          <w:snapToGrid w:val="0"/>
          <w:kern w:val="0"/>
          <w:szCs w:val="21"/>
        </w:rPr>
        <w:t>00元/份（售后不退），在递交响应文件时缴纳</w:t>
      </w:r>
    </w:p>
    <w:p w14:paraId="2BF8C2DE">
      <w:pPr>
        <w:pStyle w:val="61"/>
        <w:spacing w:line="360" w:lineRule="auto"/>
        <w:rPr>
          <w:rFonts w:hint="eastAsia"/>
          <w:color w:val="000000" w:themeColor="text1"/>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采购文件</w:t>
      </w:r>
      <w:r>
        <w:rPr>
          <w:rFonts w:hint="eastAsia" w:ascii="仿宋" w:hAnsi="仿宋" w:eastAsia="仿宋" w:cs="仿宋"/>
          <w:color w:val="000000" w:themeColor="text1"/>
          <w:sz w:val="24"/>
          <w:szCs w:val="24"/>
          <w:highlight w:val="none"/>
          <w14:textFill>
            <w14:solidFill>
              <w14:schemeClr w14:val="tx1"/>
            </w14:solidFill>
          </w14:textFill>
        </w:rPr>
        <w:t>提供期限内，</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将《文件发售登记表》（详见附件</w:t>
      </w:r>
      <w:r>
        <w:rPr>
          <w:rFonts w:hint="eastAsia" w:ascii="仿宋" w:hAnsi="仿宋" w:eastAsia="仿宋" w:cs="仿宋"/>
          <w:color w:val="000000" w:themeColor="text1"/>
          <w:sz w:val="24"/>
          <w:szCs w:val="24"/>
          <w:highlight w:val="none"/>
          <w:lang w:eastAsia="zh-CN"/>
          <w14:textFill>
            <w14:solidFill>
              <w14:schemeClr w14:val="tx1"/>
            </w14:solidFill>
          </w14:textFill>
        </w:rPr>
        <w:t>一</w:t>
      </w:r>
      <w:r>
        <w:rPr>
          <w:rFonts w:hint="eastAsia" w:ascii="仿宋" w:hAnsi="仿宋" w:eastAsia="仿宋" w:cs="仿宋"/>
          <w:color w:val="000000" w:themeColor="text1"/>
          <w:sz w:val="24"/>
          <w:szCs w:val="24"/>
          <w:highlight w:val="none"/>
          <w14:textFill>
            <w14:solidFill>
              <w14:schemeClr w14:val="tx1"/>
            </w14:solidFill>
          </w14:textFill>
        </w:rPr>
        <w:t>）（加盖</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公章）扫描后发送至</w:t>
      </w:r>
      <w:r>
        <w:rPr>
          <w:rFonts w:hint="eastAsia"/>
          <w:color w:val="000000" w:themeColor="text1"/>
          <w:highlight w:val="none"/>
          <w:lang w:val="en-US" w:eastAsia="zh-CN"/>
          <w14:textFill>
            <w14:solidFill>
              <w14:schemeClr w14:val="tx1"/>
            </w14:solidFill>
          </w14:textFill>
        </w:rPr>
        <w:t>1424253262@qq.com</w:t>
      </w:r>
      <w:r>
        <w:rPr>
          <w:rFonts w:hint="eastAsia" w:ascii="仿宋" w:hAnsi="仿宋" w:eastAsia="仿宋" w:cs="仿宋"/>
          <w:color w:val="000000" w:themeColor="text1"/>
          <w:sz w:val="24"/>
          <w:szCs w:val="24"/>
          <w:highlight w:val="none"/>
          <w14:textFill>
            <w14:solidFill>
              <w14:schemeClr w14:val="tx1"/>
            </w14:solidFill>
          </w14:textFill>
        </w:rPr>
        <w:t>（邮箱）。</w:t>
      </w:r>
    </w:p>
    <w:p w14:paraId="0D140C23">
      <w:pPr>
        <w:widowControl/>
        <w:spacing w:line="360" w:lineRule="auto"/>
        <w:jc w:val="left"/>
        <w:rPr>
          <w:rStyle w:val="74"/>
          <w:rFonts w:hint="eastAsia"/>
          <w:color w:val="000000" w:themeColor="text1"/>
          <w:highlight w:val="none"/>
          <w:lang w:val="en-US" w:eastAsia="zh-CN"/>
          <w14:textFill>
            <w14:solidFill>
              <w14:schemeClr w14:val="tx1"/>
            </w14:solidFill>
          </w14:textFill>
        </w:rPr>
      </w:pPr>
      <w:bookmarkStart w:id="13" w:name="_Toc32012"/>
      <w:r>
        <w:rPr>
          <w:rStyle w:val="74"/>
          <w:rFonts w:hint="eastAsia"/>
          <w:color w:val="000000" w:themeColor="text1"/>
          <w:highlight w:val="none"/>
          <w:lang w:val="en-US" w:eastAsia="zh-CN"/>
          <w14:textFill>
            <w14:solidFill>
              <w14:schemeClr w14:val="tx1"/>
            </w14:solidFill>
          </w14:textFill>
        </w:rPr>
        <w:t>四、线上报价及线下投标程序</w:t>
      </w:r>
    </w:p>
    <w:bookmarkEnd w:id="13"/>
    <w:p w14:paraId="75E36EEC">
      <w:p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（一）线上报价</w:t>
      </w:r>
    </w:p>
    <w:p w14:paraId="0DAD82C8">
      <w:pPr>
        <w:spacing w:line="360" w:lineRule="auto"/>
        <w:ind w:firstLine="480" w:firstLineChars="200"/>
        <w:rPr>
          <w:rFonts w:hint="default" w:ascii="仿宋" w:hAnsi="仿宋" w:eastAsia="仿宋" w:cs="仿宋"/>
          <w:color w:val="000000" w:themeColor="text1"/>
          <w:sz w:val="24"/>
          <w:szCs w:val="24"/>
          <w:highlight w:val="none"/>
          <w:u w:val="singl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1、线上报价时间：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2026</w:t>
      </w:r>
      <w:r>
        <w:rPr>
          <w:rFonts w:hint="eastAsia" w:ascii="仿宋" w:hAnsi="仿宋" w:eastAsia="仿宋" w:cs="仿宋"/>
          <w:color w:val="000000" w:themeColor="text1"/>
          <w:sz w:val="24"/>
          <w:szCs w:val="24"/>
          <w:highlight w:val="none"/>
          <w:u w:val="single"/>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u w:val="single"/>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日</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9:00至14:30(北京时间）</w:t>
      </w:r>
      <w:r>
        <w:rPr>
          <w:rFonts w:hint="eastAsia" w:ascii="仿宋" w:hAnsi="仿宋" w:eastAsia="仿宋" w:cs="仿宋"/>
          <w:color w:val="000000" w:themeColor="text1"/>
          <w:sz w:val="24"/>
          <w:szCs w:val="24"/>
          <w:highlight w:val="none"/>
          <w:u w:val="none"/>
          <w:lang w:eastAsia="zh-CN"/>
          <w14:textFill>
            <w14:solidFill>
              <w14:schemeClr w14:val="tx1"/>
            </w14:solidFill>
          </w14:textFill>
        </w:rPr>
        <w:t>。</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 xml:space="preserve">  </w:t>
      </w:r>
    </w:p>
    <w:p w14:paraId="5D493408">
      <w:p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2、线上报价要求：按本项目规定的时间在“行采家”平台（https://www.gec123.com）进行</w:t>
      </w:r>
      <w:r>
        <w:rPr>
          <w:rFonts w:hint="eastAsia" w:ascii="仿宋" w:hAnsi="仿宋" w:eastAsia="仿宋" w:cs="仿宋"/>
          <w:b/>
          <w:bCs/>
          <w:color w:val="000000" w:themeColor="text1"/>
          <w:sz w:val="24"/>
          <w:szCs w:val="24"/>
          <w:highlight w:val="none"/>
          <w14:textFill>
            <w14:solidFill>
              <w14:schemeClr w14:val="tx1"/>
            </w14:solidFill>
          </w14:textFill>
        </w:rPr>
        <w:t>网上报价及上传</w:t>
      </w:r>
      <w:r>
        <w:rPr>
          <w:rFonts w:hint="eastAsia" w:ascii="仿宋" w:hAnsi="仿宋" w:eastAsia="仿宋" w:cs="仿宋"/>
          <w:b/>
          <w:color w:val="000000" w:themeColor="text1"/>
          <w:sz w:val="24"/>
          <w:szCs w:val="24"/>
          <w:highlight w:val="none"/>
          <w14:textFill>
            <w14:solidFill>
              <w14:schemeClr w14:val="tx1"/>
            </w14:solidFill>
          </w14:textFill>
        </w:rPr>
        <w:t>电子响应文件</w:t>
      </w:r>
      <w:r>
        <w:rPr>
          <w:rFonts w:hint="eastAsia" w:ascii="仿宋" w:hAnsi="仿宋" w:eastAsia="仿宋" w:cs="仿宋"/>
          <w:b/>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电子文档内容必须与纸质文件正本一致</w:t>
      </w:r>
      <w:r>
        <w:rPr>
          <w:rFonts w:hint="eastAsia" w:ascii="仿宋" w:hAnsi="仿宋" w:eastAsia="仿宋" w:cs="仿宋"/>
          <w:color w:val="000000" w:themeColor="text1"/>
          <w:sz w:val="24"/>
          <w:szCs w:val="24"/>
          <w:lang w:eastAsia="zh-CN"/>
          <w14:textFill>
            <w14:solidFill>
              <w14:schemeClr w14:val="tx1"/>
            </w14:solidFill>
          </w14:textFill>
        </w:rPr>
        <w:t>，如不一致，以线下正本为准</w:t>
      </w:r>
      <w:r>
        <w:rPr>
          <w:rFonts w:hint="eastAsia" w:ascii="仿宋" w:hAnsi="仿宋" w:eastAsia="仿宋" w:cs="仿宋"/>
          <w:b/>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，未在规定时间内报价及上传电子响应文件的供应商将失去成交供应商资格。</w:t>
      </w:r>
    </w:p>
    <w:p w14:paraId="61FA638C">
      <w:p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（二）</w:t>
      </w:r>
      <w:r>
        <w:rPr>
          <w:rFonts w:hint="eastAsia" w:ascii="仿宋" w:hAnsi="仿宋" w:eastAsia="仿宋" w:cs="仿宋"/>
          <w:color w:val="000000" w:themeColor="text1"/>
          <w:sz w:val="24"/>
          <w:szCs w:val="24"/>
          <w:highlight w:val="none"/>
          <w:lang w:val="en-US" w:eastAsia="zh-CN"/>
          <w14:textFill>
            <w14:solidFill>
              <w14:schemeClr w14:val="tx1"/>
            </w14:solidFill>
          </w14:textFill>
        </w:rPr>
        <w:t>线下递交响应文件要求</w:t>
      </w:r>
    </w:p>
    <w:p w14:paraId="25A408C0">
      <w:pPr>
        <w:spacing w:line="360" w:lineRule="auto"/>
        <w:ind w:firstLine="480" w:firstLineChars="200"/>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r>
        <w:rPr>
          <w:rFonts w:hint="eastAsia" w:ascii="仿宋" w:hAnsi="仿宋" w:eastAsia="仿宋" w:cs="仿宋"/>
          <w:color w:val="000000" w:themeColor="text1"/>
          <w:sz w:val="24"/>
          <w:szCs w:val="24"/>
          <w:highlight w:val="none"/>
          <w:lang w:eastAsia="zh-CN"/>
          <w14:textFill>
            <w14:solidFill>
              <w14:schemeClr w14:val="tx1"/>
            </w14:solidFill>
          </w14:textFill>
        </w:rPr>
        <w:t>响应文件</w:t>
      </w:r>
      <w:r>
        <w:rPr>
          <w:rFonts w:hint="eastAsia" w:ascii="仿宋" w:hAnsi="仿宋" w:eastAsia="仿宋" w:cs="仿宋"/>
          <w:color w:val="000000" w:themeColor="text1"/>
          <w:sz w:val="24"/>
          <w:szCs w:val="24"/>
          <w:highlight w:val="none"/>
          <w14:textFill>
            <w14:solidFill>
              <w14:schemeClr w14:val="tx1"/>
            </w14:solidFill>
          </w14:textFill>
        </w:rPr>
        <w:t>线下递交时间：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2026</w:t>
      </w:r>
      <w:r>
        <w:rPr>
          <w:rFonts w:hint="eastAsia" w:ascii="仿宋" w:hAnsi="仿宋" w:eastAsia="仿宋" w:cs="仿宋"/>
          <w:color w:val="000000" w:themeColor="text1"/>
          <w:sz w:val="24"/>
          <w:szCs w:val="24"/>
          <w:highlight w:val="none"/>
          <w:u w:val="single"/>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u w:val="single"/>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日</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14:00</w:t>
      </w:r>
      <w:r>
        <w:rPr>
          <w:rFonts w:hint="eastAsia" w:ascii="仿宋" w:hAnsi="仿宋" w:eastAsia="仿宋" w:cs="仿宋"/>
          <w:color w:val="000000" w:themeColor="text1"/>
          <w:sz w:val="24"/>
          <w:szCs w:val="24"/>
          <w:highlight w:val="none"/>
          <w14:textFill>
            <w14:solidFill>
              <w14:schemeClr w14:val="tx1"/>
            </w14:solidFill>
          </w14:textFill>
        </w:rPr>
        <w:t>至</w:t>
      </w:r>
      <w:r>
        <w:rPr>
          <w:rFonts w:hint="eastAsia" w:ascii="仿宋" w:hAnsi="仿宋" w:eastAsia="仿宋" w:cs="仿宋"/>
          <w:color w:val="000000" w:themeColor="text1"/>
          <w:sz w:val="24"/>
          <w:szCs w:val="24"/>
          <w:highlight w:val="none"/>
          <w:u w:val="single"/>
          <w14:textFill>
            <w14:solidFill>
              <w14:schemeClr w14:val="tx1"/>
            </w14:solidFill>
          </w14:textFill>
        </w:rPr>
        <w:t>1</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4:30</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(北京时间）</w:t>
      </w:r>
    </w:p>
    <w:p w14:paraId="2C220C8A">
      <w:pPr>
        <w:spacing w:line="360" w:lineRule="auto"/>
        <w:ind w:firstLine="480" w:firstLineChars="200"/>
        <w:rPr>
          <w:rFonts w:hint="default" w:ascii="仿宋" w:hAnsi="仿宋" w:eastAsia="仿宋" w:cs="仿宋"/>
          <w:color w:val="000000" w:themeColor="text1"/>
          <w:sz w:val="24"/>
          <w:szCs w:val="24"/>
          <w:highlight w:val="yellow"/>
          <w:u w:val="singl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响应文件</w:t>
      </w:r>
      <w:r>
        <w:rPr>
          <w:rFonts w:hint="eastAsia" w:ascii="仿宋" w:hAnsi="仿宋" w:eastAsia="仿宋" w:cs="仿宋"/>
          <w:color w:val="000000" w:themeColor="text1"/>
          <w:sz w:val="24"/>
          <w:szCs w:val="24"/>
          <w:highlight w:val="none"/>
          <w14:textFill>
            <w14:solidFill>
              <w14:schemeClr w14:val="tx1"/>
            </w14:solidFill>
          </w14:textFill>
        </w:rPr>
        <w:t>截止时间：</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2026</w:t>
      </w:r>
      <w:r>
        <w:rPr>
          <w:rFonts w:hint="eastAsia" w:ascii="仿宋" w:hAnsi="仿宋" w:eastAsia="仿宋" w:cs="仿宋"/>
          <w:color w:val="000000" w:themeColor="text1"/>
          <w:sz w:val="24"/>
          <w:szCs w:val="24"/>
          <w:highlight w:val="none"/>
          <w:u w:val="single"/>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u w:val="single"/>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日</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14:30(北京时间）</w:t>
      </w:r>
    </w:p>
    <w:p w14:paraId="3C7787C5">
      <w:pPr>
        <w:spacing w:line="360" w:lineRule="auto"/>
        <w:ind w:firstLine="480" w:firstLineChars="200"/>
        <w:rPr>
          <w:rFonts w:hint="eastAsia" w:ascii="仿宋" w:hAnsi="仿宋" w:eastAsia="仿宋" w:cs="仿宋"/>
          <w:color w:val="000000" w:themeColor="text1"/>
          <w:sz w:val="24"/>
          <w:szCs w:val="24"/>
          <w:highlight w:val="yellow"/>
          <w:u w:val="singl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w:t>
      </w:r>
      <w:r>
        <w:rPr>
          <w:rFonts w:hint="eastAsia" w:ascii="仿宋" w:hAnsi="仿宋" w:eastAsia="仿宋" w:cs="仿宋"/>
          <w:color w:val="000000" w:themeColor="text1"/>
          <w:sz w:val="24"/>
          <w:szCs w:val="24"/>
          <w:highlight w:val="none"/>
          <w:lang w:val="en-US" w:eastAsia="zh-CN"/>
          <w14:textFill>
            <w14:solidFill>
              <w14:schemeClr w14:val="tx1"/>
            </w14:solidFill>
          </w14:textFill>
        </w:rPr>
        <w:t>线下采购开始时间</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2026</w:t>
      </w:r>
      <w:r>
        <w:rPr>
          <w:rFonts w:hint="eastAsia" w:ascii="仿宋" w:hAnsi="仿宋" w:eastAsia="仿宋" w:cs="仿宋"/>
          <w:color w:val="000000" w:themeColor="text1"/>
          <w:sz w:val="24"/>
          <w:szCs w:val="24"/>
          <w:highlight w:val="none"/>
          <w:u w:val="single"/>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u w:val="single"/>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日</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14:30(北京时间）</w:t>
      </w:r>
    </w:p>
    <w:p w14:paraId="3F13B445">
      <w:pPr>
        <w:snapToGrid w:val="0"/>
        <w:spacing w:line="360" w:lineRule="auto"/>
        <w:ind w:firstLine="1200" w:firstLineChars="500"/>
        <w:rPr>
          <w:rFonts w:hint="eastAsia" w:ascii="仿宋" w:hAnsi="仿宋" w:eastAsia="仿宋" w:cs="仿宋"/>
          <w:b/>
          <w:bCs/>
          <w:color w:val="000000" w:themeColor="text1"/>
          <w:sz w:val="24"/>
          <w:szCs w:val="24"/>
          <w:u w:val="singl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4、线下</w:t>
      </w:r>
      <w:r>
        <w:rPr>
          <w:rFonts w:hint="eastAsia" w:ascii="仿宋" w:hAnsi="仿宋" w:eastAsia="仿宋" w:cs="仿宋"/>
          <w:color w:val="000000" w:themeColor="text1"/>
          <w:sz w:val="24"/>
          <w:szCs w:val="24"/>
          <w:highlight w:val="none"/>
          <w:lang w:val="en-US" w:eastAsia="zh-CN"/>
          <w14:textFill>
            <w14:solidFill>
              <w14:schemeClr w14:val="tx1"/>
            </w14:solidFill>
          </w14:textFill>
        </w:rPr>
        <w:t>竞采地点</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t>重庆市新创工程咨询有限公司会议室(重庆市大足区棠香街道五星大道南段73号附93号2-6)</w:t>
      </w:r>
      <w:r>
        <w:rPr>
          <w:rFonts w:hint="eastAsia" w:ascii="仿宋" w:hAnsi="仿宋" w:eastAsia="仿宋" w:cs="仿宋"/>
          <w:b/>
          <w:bCs/>
          <w:color w:val="000000" w:themeColor="text1"/>
          <w:sz w:val="24"/>
          <w:szCs w:val="24"/>
          <w:highlight w:val="none"/>
          <w:u w:val="single"/>
          <w14:textFill>
            <w14:solidFill>
              <w14:schemeClr w14:val="tx1"/>
            </w14:solidFill>
          </w14:textFill>
        </w:rPr>
        <w:t>。</w:t>
      </w:r>
    </w:p>
    <w:p w14:paraId="03865454">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（三）供应商须满足以下三种要件，其响应文件才被接受：</w:t>
      </w:r>
    </w:p>
    <w:p w14:paraId="44E80520">
      <w:p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bookmarkStart w:id="14" w:name="_Toc373860294"/>
      <w:bookmarkStart w:id="15" w:name="_Toc51660709"/>
      <w:r>
        <w:rPr>
          <w:rFonts w:hint="eastAsia" w:ascii="仿宋" w:hAnsi="仿宋" w:eastAsia="仿宋" w:cs="仿宋"/>
          <w:color w:val="000000" w:themeColor="text1"/>
          <w:sz w:val="24"/>
          <w:szCs w:val="24"/>
          <w:highlight w:val="none"/>
          <w14:textFill>
            <w14:solidFill>
              <w14:schemeClr w14:val="tx1"/>
            </w14:solidFill>
          </w14:textFill>
        </w:rPr>
        <w:t>1.按时在“行采家”平台报名，并上传了响应文件电子档；</w:t>
      </w:r>
    </w:p>
    <w:p w14:paraId="7273CCAB">
      <w:pPr>
        <w:spacing w:line="360" w:lineRule="auto"/>
        <w:ind w:firstLine="480" w:firstLineChars="2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2.在采购文件发售期内，按时间要求将《文件发售登记表》（详见附件</w:t>
      </w:r>
      <w:r>
        <w:rPr>
          <w:rFonts w:hint="eastAsia" w:ascii="仿宋" w:hAnsi="仿宋" w:eastAsia="仿宋" w:cs="仿宋"/>
          <w:color w:val="000000" w:themeColor="text1"/>
          <w:sz w:val="24"/>
          <w:szCs w:val="24"/>
          <w:highlight w:val="none"/>
          <w:lang w:eastAsia="zh-CN"/>
          <w14:textFill>
            <w14:solidFill>
              <w14:schemeClr w14:val="tx1"/>
            </w14:solidFill>
          </w14:textFill>
        </w:rPr>
        <w:t>一</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加盖</w:t>
      </w: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公章）扫描后发送至</w:t>
      </w:r>
      <w:r>
        <w:rPr>
          <w:rFonts w:hint="eastAsia" w:ascii="仿宋" w:hAnsi="仿宋" w:eastAsia="仿宋" w:cs="仿宋"/>
          <w:color w:val="000000" w:themeColor="text1"/>
          <w:sz w:val="24"/>
          <w:szCs w:val="24"/>
          <w:lang w:val="en-US" w:eastAsia="zh-CN"/>
          <w14:textFill>
            <w14:solidFill>
              <w14:schemeClr w14:val="tx1"/>
            </w14:solidFill>
          </w14:textFill>
        </w:rPr>
        <w:t>1424253262@qq.com</w:t>
      </w:r>
      <w:r>
        <w:rPr>
          <w:rFonts w:hint="eastAsia" w:ascii="仿宋" w:hAnsi="仿宋" w:eastAsia="仿宋" w:cs="仿宋"/>
          <w:color w:val="000000" w:themeColor="text1"/>
          <w:sz w:val="24"/>
          <w:szCs w:val="24"/>
          <w14:textFill>
            <w14:solidFill>
              <w14:schemeClr w14:val="tx1"/>
            </w14:solidFill>
          </w14:textFill>
        </w:rPr>
        <w:t>（邮箱）</w:t>
      </w:r>
      <w:r>
        <w:rPr>
          <w:rFonts w:hint="eastAsia" w:ascii="仿宋" w:hAnsi="仿宋" w:eastAsia="仿宋" w:cs="仿宋"/>
          <w:color w:val="000000" w:themeColor="text1"/>
          <w:sz w:val="24"/>
          <w:szCs w:val="24"/>
          <w:lang w:eastAsia="zh-CN"/>
          <w14:textFill>
            <w14:solidFill>
              <w14:schemeClr w14:val="tx1"/>
            </w14:solidFill>
          </w14:textFill>
        </w:rPr>
        <w:t>；</w:t>
      </w:r>
    </w:p>
    <w:p w14:paraId="20304802">
      <w:pPr>
        <w:spacing w:line="360" w:lineRule="auto"/>
        <w:ind w:firstLine="480" w:firstLineChars="2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3.按时</w:t>
      </w:r>
      <w:r>
        <w:rPr>
          <w:rFonts w:hint="eastAsia" w:ascii="仿宋" w:hAnsi="仿宋" w:eastAsia="仿宋" w:cs="仿宋"/>
          <w:color w:val="000000" w:themeColor="text1"/>
          <w:sz w:val="24"/>
          <w:szCs w:val="24"/>
          <w:lang w:eastAsia="zh-CN"/>
          <w14:textFill>
            <w14:solidFill>
              <w14:schemeClr w14:val="tx1"/>
            </w14:solidFill>
          </w14:textFill>
        </w:rPr>
        <w:t>在线下</w:t>
      </w:r>
      <w:r>
        <w:rPr>
          <w:rFonts w:hint="eastAsia" w:ascii="仿宋" w:hAnsi="仿宋" w:eastAsia="仿宋" w:cs="仿宋"/>
          <w:color w:val="000000" w:themeColor="text1"/>
          <w:sz w:val="24"/>
          <w:szCs w:val="24"/>
          <w:lang w:val="en-US" w:eastAsia="zh-CN"/>
          <w14:textFill>
            <w14:solidFill>
              <w14:schemeClr w14:val="tx1"/>
            </w14:solidFill>
          </w14:textFill>
        </w:rPr>
        <w:t>采购地点</w:t>
      </w:r>
      <w:r>
        <w:rPr>
          <w:rFonts w:hint="eastAsia" w:ascii="仿宋" w:hAnsi="仿宋" w:eastAsia="仿宋" w:cs="仿宋"/>
          <w:color w:val="000000" w:themeColor="text1"/>
          <w:sz w:val="24"/>
          <w:szCs w:val="24"/>
          <w14:textFill>
            <w14:solidFill>
              <w14:schemeClr w14:val="tx1"/>
            </w14:solidFill>
          </w14:textFill>
        </w:rPr>
        <w:t>递交了纸质版响应文件</w:t>
      </w:r>
      <w:r>
        <w:rPr>
          <w:rFonts w:hint="eastAsia" w:ascii="仿宋" w:hAnsi="仿宋" w:eastAsia="仿宋" w:cs="仿宋"/>
          <w:color w:val="000000" w:themeColor="text1"/>
          <w:sz w:val="24"/>
          <w:szCs w:val="24"/>
          <w:lang w:eastAsia="zh-CN"/>
          <w14:textFill>
            <w14:solidFill>
              <w14:schemeClr w14:val="tx1"/>
            </w14:solidFill>
          </w14:textFill>
        </w:rPr>
        <w:t>。</w:t>
      </w:r>
    </w:p>
    <w:p w14:paraId="20242C79">
      <w:pPr>
        <w:pStyle w:val="61"/>
        <w:spacing w:line="36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注：未按以上要求递交相关资料的供应商，将无法成为成交供应商。</w:t>
      </w:r>
    </w:p>
    <w:p w14:paraId="62F8C7E6">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16" w:name="_Toc20769"/>
      <w:r>
        <w:rPr>
          <w:rStyle w:val="74"/>
          <w:rFonts w:hint="eastAsia"/>
          <w:color w:val="000000" w:themeColor="text1"/>
          <w:lang w:val="en-US" w:eastAsia="zh-CN"/>
          <w14:textFill>
            <w14:solidFill>
              <w14:schemeClr w14:val="tx1"/>
            </w14:solidFill>
          </w14:textFill>
        </w:rPr>
        <w:t>五、投标</w:t>
      </w:r>
      <w:r>
        <w:rPr>
          <w:rStyle w:val="74"/>
          <w:rFonts w:hint="eastAsia" w:ascii="Times New Roman" w:hAnsi="Times New Roman" w:eastAsia="宋体"/>
          <w:color w:val="000000" w:themeColor="text1"/>
          <w:lang w:val="en-US" w:eastAsia="zh-CN"/>
          <w14:textFill>
            <w14:solidFill>
              <w14:schemeClr w14:val="tx1"/>
            </w14:solidFill>
          </w14:textFill>
        </w:rPr>
        <w:t>保证金</w:t>
      </w:r>
      <w:bookmarkEnd w:id="14"/>
      <w:bookmarkEnd w:id="15"/>
    </w:p>
    <w:bookmarkEnd w:id="16"/>
    <w:p w14:paraId="2549360C">
      <w:pPr>
        <w:snapToGrid w:val="0"/>
        <w:spacing w:line="360" w:lineRule="auto"/>
        <w:ind w:firstLine="480" w:firstLineChars="2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根据重庆市财政局发布的关于重庆市政府采购网上竞采板块落实优化营商环境政策的通知，本项目不设置投标保证金。</w:t>
      </w:r>
    </w:p>
    <w:p w14:paraId="7FADA10F">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17" w:name="_Toc51660711"/>
      <w:bookmarkStart w:id="18" w:name="_Toc9845"/>
      <w:r>
        <w:rPr>
          <w:rStyle w:val="74"/>
          <w:rFonts w:hint="eastAsia" w:ascii="Times New Roman" w:hAnsi="Times New Roman" w:eastAsia="宋体"/>
          <w:color w:val="000000" w:themeColor="text1"/>
          <w:lang w:val="en-US" w:eastAsia="zh-CN"/>
          <w14:textFill>
            <w14:solidFill>
              <w14:schemeClr w14:val="tx1"/>
            </w14:solidFill>
          </w14:textFill>
        </w:rPr>
        <w:t>六、</w:t>
      </w:r>
      <w:bookmarkEnd w:id="10"/>
      <w:r>
        <w:rPr>
          <w:rStyle w:val="74"/>
          <w:rFonts w:hint="eastAsia" w:ascii="Times New Roman" w:hAnsi="Times New Roman" w:eastAsia="宋体"/>
          <w:color w:val="000000" w:themeColor="text1"/>
          <w:lang w:val="en-US" w:eastAsia="zh-CN"/>
          <w14:textFill>
            <w14:solidFill>
              <w14:schemeClr w14:val="tx1"/>
            </w14:solidFill>
          </w14:textFill>
        </w:rPr>
        <w:t>其它有关规定</w:t>
      </w:r>
      <w:bookmarkEnd w:id="17"/>
    </w:p>
    <w:bookmarkEnd w:id="18"/>
    <w:p w14:paraId="10641AB7">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（一）单位负责人为同一人或者存在直接控股、管理关系的不同供应商，不得参加同一合同项（分包）下的政府采购活动，否则均为无效响应。</w:t>
      </w:r>
    </w:p>
    <w:p w14:paraId="626F5FEA">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（二）为采购项目提供整体设计、规范编制或者项目管理、监理、检测等服务的供应商，不得再参加本项目的采购活动，否则均为无效响应。</w:t>
      </w:r>
    </w:p>
    <w:p w14:paraId="24AFF593">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（三）本项目在响应文件提交截止时间前发布的采购文件及补遗文件（如果有）一律在</w:t>
      </w:r>
      <w:r>
        <w:rPr>
          <w:rFonts w:hint="eastAsia" w:ascii="仿宋" w:hAnsi="仿宋" w:eastAsia="仿宋" w:cs="仿宋"/>
          <w:color w:val="000000" w:themeColor="text1"/>
          <w:sz w:val="24"/>
          <w:szCs w:val="24"/>
          <w:highlight w:val="none"/>
          <w14:textFill>
            <w14:solidFill>
              <w14:schemeClr w14:val="tx1"/>
            </w14:solidFill>
          </w14:textFill>
        </w:rPr>
        <w:t>“行采家”平台（https://www.gec123.com）</w:t>
      </w:r>
      <w:r>
        <w:rPr>
          <w:rFonts w:hint="eastAsia" w:ascii="仿宋" w:hAnsi="仿宋" w:eastAsia="仿宋" w:cs="仿宋"/>
          <w:color w:val="000000" w:themeColor="text1"/>
          <w:sz w:val="24"/>
          <w:szCs w:val="24"/>
          <w14:textFill>
            <w14:solidFill>
              <w14:schemeClr w14:val="tx1"/>
            </w14:solidFill>
          </w14:textFill>
        </w:rPr>
        <w:t>上发布，请各供应商注意下载；无论供应商下载与否，均视同供应商已知晓本项目采购文件、补遗文件（如果有）的内容。</w:t>
      </w:r>
    </w:p>
    <w:p w14:paraId="6B634438">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（四）超过响应文件截止时间递交的响应文件，恕不接收。</w:t>
      </w:r>
    </w:p>
    <w:p w14:paraId="43813EFE">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（五）</w:t>
      </w:r>
      <w:r>
        <w:rPr>
          <w:rFonts w:hint="eastAsia" w:ascii="仿宋" w:hAnsi="仿宋" w:eastAsia="仿宋" w:cs="仿宋"/>
          <w:color w:val="000000" w:themeColor="text1"/>
          <w:sz w:val="24"/>
          <w:szCs w:val="24"/>
          <w:lang w:val="en-US"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费用：无论</w:t>
      </w:r>
      <w:r>
        <w:rPr>
          <w:rFonts w:hint="eastAsia" w:ascii="仿宋" w:hAnsi="仿宋" w:eastAsia="仿宋" w:cs="仿宋"/>
          <w:color w:val="000000" w:themeColor="text1"/>
          <w:sz w:val="24"/>
          <w:szCs w:val="24"/>
          <w:lang w:val="en-US"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结果如何，供应商参与本项目</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的所有费用均应由供应商自行承担。</w:t>
      </w:r>
    </w:p>
    <w:p w14:paraId="1A8E327D">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（六）本项目不接受联合体参与</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w:t>
      </w:r>
    </w:p>
    <w:p w14:paraId="1335B080">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七）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18C775C">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19" w:name="_Toc51660712"/>
      <w:bookmarkStart w:id="20" w:name="_Toc19824"/>
      <w:r>
        <w:rPr>
          <w:rStyle w:val="74"/>
          <w:rFonts w:hint="eastAsia" w:ascii="Times New Roman" w:hAnsi="Times New Roman" w:eastAsia="宋体"/>
          <w:color w:val="000000" w:themeColor="text1"/>
          <w:lang w:val="en-US" w:eastAsia="zh-CN"/>
          <w14:textFill>
            <w14:solidFill>
              <w14:schemeClr w14:val="tx1"/>
            </w14:solidFill>
          </w14:textFill>
        </w:rPr>
        <w:t>七、联系方式</w:t>
      </w:r>
      <w:bookmarkEnd w:id="19"/>
    </w:p>
    <w:bookmarkEnd w:id="20"/>
    <w:p w14:paraId="5B4C1F0E">
      <w:pPr>
        <w:pStyle w:val="61"/>
        <w:spacing w:line="360" w:lineRule="auto"/>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（一）采购人：</w:t>
      </w:r>
      <w:r>
        <w:rPr>
          <w:rFonts w:hint="eastAsia" w:ascii="仿宋" w:hAnsi="仿宋" w:eastAsia="仿宋" w:cs="仿宋"/>
          <w:color w:val="000000" w:themeColor="text1"/>
          <w:sz w:val="24"/>
          <w:szCs w:val="24"/>
          <w:lang w:eastAsia="zh-CN"/>
          <w14:textFill>
            <w14:solidFill>
              <w14:schemeClr w14:val="tx1"/>
            </w14:solidFill>
          </w14:textFill>
        </w:rPr>
        <w:t>重庆市大足区园林管理所</w:t>
      </w:r>
    </w:p>
    <w:p w14:paraId="0CB0FD4D">
      <w:pPr>
        <w:pStyle w:val="61"/>
        <w:spacing w:line="360" w:lineRule="auto"/>
        <w:ind w:firstLine="1200" w:firstLineChars="500"/>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地  址：重庆市大足区龙岗街道草街子路1号</w:t>
      </w:r>
    </w:p>
    <w:p w14:paraId="0DA53A36">
      <w:pPr>
        <w:snapToGrid w:val="0"/>
        <w:spacing w:line="360" w:lineRule="auto"/>
        <w:ind w:firstLine="1200" w:firstLineChars="500"/>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联系人：梁老师</w:t>
      </w:r>
    </w:p>
    <w:p w14:paraId="4E0ADA3F">
      <w:pPr>
        <w:snapToGrid w:val="0"/>
        <w:spacing w:line="360" w:lineRule="auto"/>
        <w:ind w:firstLine="1200" w:firstLineChars="500"/>
        <w:rPr>
          <w:rFonts w:hint="default"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电  话：19112285997</w:t>
      </w:r>
    </w:p>
    <w:p w14:paraId="4C283DBE">
      <w:pPr>
        <w:snapToGrid w:val="0"/>
        <w:spacing w:line="360"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21" w:name="_Toc102227313"/>
      <w:r>
        <w:rPr>
          <w:rFonts w:hint="eastAsia" w:ascii="仿宋" w:hAnsi="仿宋" w:eastAsia="仿宋" w:cs="仿宋"/>
          <w:color w:val="000000" w:themeColor="text1"/>
          <w:sz w:val="24"/>
          <w:szCs w:val="24"/>
          <w14:textFill>
            <w14:solidFill>
              <w14:schemeClr w14:val="tx1"/>
            </w14:solidFill>
          </w14:textFill>
        </w:rPr>
        <w:t>（二）采购代理机构：</w:t>
      </w:r>
      <w:r>
        <w:rPr>
          <w:rFonts w:hint="eastAsia" w:ascii="仿宋" w:hAnsi="仿宋" w:eastAsia="仿宋" w:cs="仿宋"/>
          <w:color w:val="000000" w:themeColor="text1"/>
          <w:sz w:val="24"/>
          <w:szCs w:val="24"/>
          <w:highlight w:val="none"/>
          <w:lang w:val="en-US" w:eastAsia="zh-CN"/>
          <w14:textFill>
            <w14:solidFill>
              <w14:schemeClr w14:val="tx1"/>
            </w14:solidFill>
          </w14:textFill>
        </w:rPr>
        <w:t>重庆市新创工程咨询有限公司</w:t>
      </w:r>
    </w:p>
    <w:p w14:paraId="5B7B4AB8">
      <w:pPr>
        <w:snapToGrid w:val="0"/>
        <w:spacing w:line="360" w:lineRule="auto"/>
        <w:ind w:firstLine="1200" w:firstLineChars="5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地  址：重庆市大足区棠香街道五星大道南段73号附93号2-6</w:t>
      </w:r>
    </w:p>
    <w:p w14:paraId="56B89B3D">
      <w:pPr>
        <w:snapToGrid w:val="0"/>
        <w:spacing w:line="360" w:lineRule="auto"/>
        <w:ind w:firstLine="1200" w:firstLineChars="5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联系人：</w:t>
      </w:r>
      <w:r>
        <w:rPr>
          <w:rFonts w:hint="eastAsia" w:ascii="仿宋" w:hAnsi="仿宋" w:eastAsia="仿宋" w:cs="仿宋"/>
          <w:color w:val="000000" w:themeColor="text1"/>
          <w:sz w:val="24"/>
          <w:szCs w:val="24"/>
          <w:highlight w:val="none"/>
          <w:lang w:val="en-US" w:eastAsia="zh-CN"/>
          <w14:textFill>
            <w14:solidFill>
              <w14:schemeClr w14:val="tx1"/>
            </w14:solidFill>
          </w14:textFill>
        </w:rPr>
        <w:t>覃老师</w:t>
      </w:r>
    </w:p>
    <w:p w14:paraId="12809021">
      <w:pPr>
        <w:snapToGrid w:val="0"/>
        <w:spacing w:line="360" w:lineRule="auto"/>
        <w:ind w:firstLine="1200" w:firstLineChars="5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  话：</w:t>
      </w:r>
      <w:r>
        <w:rPr>
          <w:rFonts w:hint="eastAsia" w:ascii="仿宋" w:hAnsi="仿宋" w:eastAsia="仿宋" w:cs="仿宋"/>
          <w:color w:val="000000" w:themeColor="text1"/>
          <w:sz w:val="24"/>
          <w:szCs w:val="24"/>
          <w:highlight w:val="none"/>
          <w:lang w:val="en-US" w:eastAsia="zh-CN"/>
          <w14:textFill>
            <w14:solidFill>
              <w14:schemeClr w14:val="tx1"/>
            </w14:solidFill>
          </w14:textFill>
        </w:rPr>
        <w:t>19923303633</w:t>
      </w:r>
      <w:r>
        <w:rPr>
          <w:rFonts w:hint="eastAsia" w:ascii="仿宋" w:hAnsi="仿宋" w:eastAsia="仿宋" w:cs="仿宋"/>
          <w:color w:val="000000" w:themeColor="text1"/>
          <w:sz w:val="24"/>
          <w:szCs w:val="24"/>
          <w14:textFill>
            <w14:solidFill>
              <w14:schemeClr w14:val="tx1"/>
            </w14:solidFill>
          </w14:textFill>
        </w:rPr>
        <w:br w:type="page"/>
      </w:r>
    </w:p>
    <w:p w14:paraId="08E60FC5">
      <w:pPr>
        <w:pStyle w:val="5"/>
        <w:spacing w:before="0" w:beforeLines="0" w:beforeAutospacing="0" w:after="0" w:afterLines="0" w:afterAutospacing="0" w:line="360" w:lineRule="auto"/>
        <w:jc w:val="center"/>
        <w:rPr>
          <w:rFonts w:hint="eastAsia" w:ascii="仿宋" w:hAnsi="仿宋" w:eastAsia="仿宋" w:cs="仿宋"/>
          <w:b/>
          <w:color w:val="000000" w:themeColor="text1"/>
          <w:kern w:val="2"/>
          <w:sz w:val="28"/>
          <w:szCs w:val="28"/>
          <w:lang w:val="en-US" w:eastAsia="zh-CN" w:bidi="ar-SA"/>
          <w14:textFill>
            <w14:solidFill>
              <w14:schemeClr w14:val="tx1"/>
            </w14:solidFill>
          </w14:textFill>
        </w:rPr>
      </w:pPr>
      <w:bookmarkStart w:id="22" w:name="_Toc20620"/>
      <w:r>
        <w:rPr>
          <w:rFonts w:hint="eastAsia" w:ascii="仿宋" w:hAnsi="仿宋" w:eastAsia="仿宋" w:cs="仿宋"/>
          <w:b/>
          <w:color w:val="000000" w:themeColor="text1"/>
          <w:kern w:val="2"/>
          <w:sz w:val="28"/>
          <w:szCs w:val="28"/>
          <w:lang w:val="en-US" w:eastAsia="zh-CN" w:bidi="ar-SA"/>
          <w14:textFill>
            <w14:solidFill>
              <w14:schemeClr w14:val="tx1"/>
            </w14:solidFill>
          </w14:textFill>
        </w:rPr>
        <w:t xml:space="preserve">第二篇 </w:t>
      </w:r>
      <w:bookmarkEnd w:id="21"/>
      <w:r>
        <w:rPr>
          <w:rFonts w:hint="eastAsia" w:ascii="仿宋" w:hAnsi="仿宋" w:eastAsia="仿宋" w:cs="仿宋"/>
          <w:b/>
          <w:color w:val="000000" w:themeColor="text1"/>
          <w:kern w:val="2"/>
          <w:sz w:val="28"/>
          <w:szCs w:val="28"/>
          <w:lang w:val="en-US" w:eastAsia="zh-CN" w:bidi="ar-SA"/>
          <w14:textFill>
            <w14:solidFill>
              <w14:schemeClr w14:val="tx1"/>
            </w14:solidFill>
          </w14:textFill>
        </w:rPr>
        <w:t>项目技术需求</w:t>
      </w:r>
      <w:bookmarkEnd w:id="22"/>
    </w:p>
    <w:p w14:paraId="5532BEA0">
      <w:pPr>
        <w:pStyle w:val="5"/>
        <w:spacing w:before="0" w:beforeLines="0" w:beforeAutospacing="0" w:after="0" w:afterLines="0" w:afterAutospacing="0" w:line="360" w:lineRule="auto"/>
        <w:rPr>
          <w:rFonts w:hint="eastAsia" w:ascii="仿宋" w:hAnsi="仿宋" w:eastAsia="仿宋" w:cs="Times New Roman"/>
          <w:color w:val="000000" w:themeColor="text1"/>
          <w:sz w:val="24"/>
          <w:szCs w:val="24"/>
          <w14:textFill>
            <w14:solidFill>
              <w14:schemeClr w14:val="tx1"/>
            </w14:solidFill>
          </w14:textFill>
        </w:rPr>
      </w:pPr>
      <w:bookmarkStart w:id="23" w:name="_Toc22593"/>
      <w:bookmarkStart w:id="24" w:name="_Toc427852462"/>
      <w:bookmarkStart w:id="25" w:name="_Toc345321101"/>
      <w:r>
        <w:rPr>
          <w:rFonts w:hint="eastAsia" w:ascii="仿宋" w:hAnsi="仿宋" w:eastAsia="仿宋" w:cs="Times New Roman"/>
          <w:color w:val="000000" w:themeColor="text1"/>
          <w:sz w:val="24"/>
          <w:szCs w:val="24"/>
          <w:lang w:eastAsia="zh-CN"/>
          <w14:textFill>
            <w14:solidFill>
              <w14:schemeClr w14:val="tx1"/>
            </w14:solidFill>
          </w14:textFill>
        </w:rPr>
        <w:t>一、</w:t>
      </w:r>
      <w:r>
        <w:rPr>
          <w:rFonts w:hint="eastAsia" w:ascii="仿宋" w:hAnsi="仿宋" w:eastAsia="仿宋" w:cs="Times New Roman"/>
          <w:color w:val="000000" w:themeColor="text1"/>
          <w:sz w:val="24"/>
          <w:szCs w:val="24"/>
          <w14:textFill>
            <w14:solidFill>
              <w14:schemeClr w14:val="tx1"/>
            </w14:solidFill>
          </w14:textFill>
        </w:rPr>
        <w:t>项目</w:t>
      </w:r>
      <w:r>
        <w:rPr>
          <w:rFonts w:hint="eastAsia" w:ascii="仿宋" w:hAnsi="仿宋" w:eastAsia="仿宋" w:cs="Times New Roman"/>
          <w:color w:val="000000" w:themeColor="text1"/>
          <w:sz w:val="24"/>
          <w:szCs w:val="24"/>
          <w:lang w:eastAsia="zh-CN"/>
          <w14:textFill>
            <w14:solidFill>
              <w14:schemeClr w14:val="tx1"/>
            </w14:solidFill>
          </w14:textFill>
        </w:rPr>
        <w:t>一览表</w:t>
      </w:r>
      <w:bookmarkEnd w:id="23"/>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5"/>
        <w:gridCol w:w="1838"/>
        <w:gridCol w:w="2128"/>
      </w:tblGrid>
      <w:tr w14:paraId="0CF4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5645" w:type="dxa"/>
            <w:tcBorders>
              <w:top w:val="single" w:color="auto" w:sz="4" w:space="0"/>
              <w:left w:val="single" w:color="auto" w:sz="4" w:space="0"/>
              <w:right w:val="single" w:color="auto" w:sz="4" w:space="0"/>
            </w:tcBorders>
            <w:noWrap w:val="0"/>
            <w:vAlign w:val="center"/>
          </w:tcPr>
          <w:p w14:paraId="17154DD1">
            <w:pPr>
              <w:bidi w:val="0"/>
              <w:spacing w:line="360" w:lineRule="auto"/>
              <w:ind w:firstLine="2400" w:firstLineChars="10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项目内容</w:t>
            </w:r>
          </w:p>
        </w:tc>
        <w:tc>
          <w:tcPr>
            <w:tcW w:w="1838" w:type="dxa"/>
            <w:tcBorders>
              <w:top w:val="single" w:color="auto" w:sz="4" w:space="0"/>
              <w:left w:val="single" w:color="auto" w:sz="4" w:space="0"/>
              <w:right w:val="single" w:color="auto" w:sz="4" w:space="0"/>
            </w:tcBorders>
            <w:noWrap w:val="0"/>
            <w:vAlign w:val="center"/>
          </w:tcPr>
          <w:p w14:paraId="1C4CF183">
            <w:pPr>
              <w:bidi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数量/单位</w:t>
            </w:r>
          </w:p>
        </w:tc>
        <w:tc>
          <w:tcPr>
            <w:tcW w:w="2128" w:type="dxa"/>
            <w:tcBorders>
              <w:top w:val="single" w:color="auto" w:sz="4" w:space="0"/>
              <w:left w:val="single" w:color="auto" w:sz="4" w:space="0"/>
              <w:right w:val="single" w:color="auto" w:sz="4" w:space="0"/>
            </w:tcBorders>
            <w:noWrap w:val="0"/>
            <w:vAlign w:val="top"/>
          </w:tcPr>
          <w:p w14:paraId="57F0955A">
            <w:pPr>
              <w:bidi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备注</w:t>
            </w:r>
          </w:p>
        </w:tc>
      </w:tr>
      <w:tr w14:paraId="78A2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645" w:type="dxa"/>
            <w:tcBorders>
              <w:top w:val="single" w:color="auto" w:sz="4" w:space="0"/>
              <w:left w:val="single" w:color="auto" w:sz="4" w:space="0"/>
              <w:right w:val="single" w:color="auto" w:sz="4" w:space="0"/>
            </w:tcBorders>
            <w:noWrap w:val="0"/>
            <w:vAlign w:val="center"/>
          </w:tcPr>
          <w:p w14:paraId="6B033529">
            <w:pPr>
              <w:snapToGrid w:val="0"/>
              <w:spacing w:line="360" w:lineRule="auto"/>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kern w:val="0"/>
                <w:sz w:val="22"/>
                <w:szCs w:val="22"/>
                <w:lang w:val="en-US" w:eastAsia="zh-CN"/>
                <w14:textFill>
                  <w14:solidFill>
                    <w14:schemeClr w14:val="tx1"/>
                  </w14:solidFill>
                </w14:textFill>
              </w:rPr>
              <w:t>龙棠路口袋公园建设</w:t>
            </w:r>
          </w:p>
        </w:tc>
        <w:tc>
          <w:tcPr>
            <w:tcW w:w="1838" w:type="dxa"/>
            <w:tcBorders>
              <w:top w:val="single" w:color="auto" w:sz="4" w:space="0"/>
              <w:left w:val="single" w:color="auto" w:sz="4" w:space="0"/>
              <w:right w:val="single" w:color="auto" w:sz="4" w:space="0"/>
            </w:tcBorders>
            <w:noWrap w:val="0"/>
            <w:vAlign w:val="center"/>
          </w:tcPr>
          <w:p w14:paraId="2C6C1B24">
            <w:pPr>
              <w:bidi w:val="0"/>
              <w:spacing w:line="360" w:lineRule="auto"/>
              <w:ind w:firstLine="720" w:firstLine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1项</w:t>
            </w:r>
          </w:p>
        </w:tc>
        <w:tc>
          <w:tcPr>
            <w:tcW w:w="2128" w:type="dxa"/>
            <w:tcBorders>
              <w:top w:val="single" w:color="auto" w:sz="4" w:space="0"/>
              <w:left w:val="single" w:color="auto" w:sz="4" w:space="0"/>
              <w:right w:val="single" w:color="auto" w:sz="4" w:space="0"/>
            </w:tcBorders>
            <w:noWrap w:val="0"/>
            <w:vAlign w:val="center"/>
          </w:tcPr>
          <w:p w14:paraId="17F71867">
            <w:pPr>
              <w:bidi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详见下文</w:t>
            </w:r>
          </w:p>
        </w:tc>
      </w:tr>
    </w:tbl>
    <w:p w14:paraId="3C33F8F3">
      <w:pPr>
        <w:pStyle w:val="5"/>
        <w:pageBreakBefore w:val="0"/>
        <w:kinsoku/>
        <w:wordWrap/>
        <w:overflowPunct/>
        <w:topLinePunct w:val="0"/>
        <w:autoSpaceDE/>
        <w:autoSpaceDN/>
        <w:bidi w:val="0"/>
        <w:adjustRightInd/>
        <w:snapToGrid/>
        <w:spacing w:line="360" w:lineRule="auto"/>
        <w:textAlignment w:val="auto"/>
        <w:rPr>
          <w:rStyle w:val="74"/>
          <w:rFonts w:hint="eastAsia" w:ascii="仿宋" w:hAnsi="仿宋" w:eastAsia="仿宋" w:cs="仿宋"/>
          <w:b/>
          <w:color w:val="000000" w:themeColor="text1"/>
          <w:sz w:val="24"/>
          <w:szCs w:val="24"/>
          <w14:textFill>
            <w14:solidFill>
              <w14:schemeClr w14:val="tx1"/>
            </w14:solidFill>
          </w14:textFill>
        </w:rPr>
      </w:pPr>
      <w:bookmarkStart w:id="26" w:name="_Toc25204"/>
      <w:r>
        <w:rPr>
          <w:rStyle w:val="74"/>
          <w:rFonts w:hint="eastAsia" w:ascii="仿宋" w:hAnsi="仿宋" w:eastAsia="仿宋" w:cs="仿宋"/>
          <w:b/>
          <w:color w:val="000000" w:themeColor="text1"/>
          <w:sz w:val="24"/>
          <w:szCs w:val="24"/>
          <w:lang w:eastAsia="zh-CN"/>
          <w14:textFill>
            <w14:solidFill>
              <w14:schemeClr w14:val="tx1"/>
            </w14:solidFill>
          </w14:textFill>
        </w:rPr>
        <w:t>二</w:t>
      </w:r>
      <w:r>
        <w:rPr>
          <w:rStyle w:val="74"/>
          <w:rFonts w:hint="eastAsia" w:ascii="仿宋" w:hAnsi="仿宋" w:eastAsia="仿宋" w:cs="仿宋"/>
          <w:b/>
          <w:color w:val="000000" w:themeColor="text1"/>
          <w:sz w:val="24"/>
          <w:szCs w:val="24"/>
          <w14:textFill>
            <w14:solidFill>
              <w14:schemeClr w14:val="tx1"/>
            </w14:solidFill>
          </w14:textFill>
        </w:rPr>
        <w:t>、</w:t>
      </w:r>
      <w:r>
        <w:rPr>
          <w:rStyle w:val="74"/>
          <w:rFonts w:hint="eastAsia" w:ascii="仿宋" w:hAnsi="仿宋" w:eastAsia="仿宋" w:cs="仿宋"/>
          <w:b/>
          <w:color w:val="000000" w:themeColor="text1"/>
          <w:sz w:val="24"/>
          <w:szCs w:val="24"/>
          <w:lang w:val="en-US" w:eastAsia="zh-CN"/>
          <w14:textFill>
            <w14:solidFill>
              <w14:schemeClr w14:val="tx1"/>
            </w14:solidFill>
          </w14:textFill>
        </w:rPr>
        <w:t>采购</w:t>
      </w:r>
      <w:r>
        <w:rPr>
          <w:rStyle w:val="74"/>
          <w:rFonts w:hint="eastAsia" w:ascii="仿宋" w:hAnsi="仿宋" w:eastAsia="仿宋" w:cs="仿宋"/>
          <w:b/>
          <w:color w:val="000000" w:themeColor="text1"/>
          <w:sz w:val="24"/>
          <w:szCs w:val="24"/>
          <w14:textFill>
            <w14:solidFill>
              <w14:schemeClr w14:val="tx1"/>
            </w14:solidFill>
          </w14:textFill>
        </w:rPr>
        <w:t>内容</w:t>
      </w:r>
      <w:r>
        <w:rPr>
          <w:rStyle w:val="74"/>
          <w:rFonts w:hint="eastAsia" w:ascii="仿宋" w:hAnsi="仿宋" w:eastAsia="仿宋" w:cs="仿宋"/>
          <w:b/>
          <w:color w:val="000000" w:themeColor="text1"/>
          <w:sz w:val="24"/>
          <w:szCs w:val="24"/>
          <w:lang w:eastAsia="zh-CN"/>
          <w14:textFill>
            <w14:solidFill>
              <w14:schemeClr w14:val="tx1"/>
            </w14:solidFill>
          </w14:textFill>
        </w:rPr>
        <w:t>及工程量清单</w:t>
      </w:r>
      <w:bookmarkEnd w:id="26"/>
    </w:p>
    <w:p w14:paraId="63F1D765">
      <w:pPr>
        <w:spacing w:line="360" w:lineRule="auto"/>
        <w:ind w:firstLine="480" w:firstLineChars="200"/>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（一）采购内容</w:t>
      </w:r>
    </w:p>
    <w:p w14:paraId="104CE729">
      <w:pPr>
        <w:pStyle w:val="79"/>
        <w:spacing w:line="360" w:lineRule="auto"/>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1.项目名称：龙棠路口袋公园建设</w:t>
      </w:r>
    </w:p>
    <w:p w14:paraId="35F9B4CE">
      <w:pPr>
        <w:pStyle w:val="79"/>
        <w:spacing w:line="360" w:lineRule="auto"/>
        <w:rPr>
          <w:rFonts w:hint="default"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2.建设地点：大足区口袋公园</w:t>
      </w:r>
    </w:p>
    <w:p w14:paraId="61BFB364">
      <w:pPr>
        <w:pStyle w:val="79"/>
        <w:spacing w:line="360" w:lineRule="auto"/>
        <w:rPr>
          <w:rFonts w:hint="default"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3.工程概况</w:t>
      </w: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：本项目包括市政工程、电气设备安装工程等建设内容，具体详见工程量清单</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 xml:space="preserve">                </w:t>
      </w:r>
      <w:r>
        <w:rPr>
          <w:rFonts w:hint="eastAsia" w:ascii="仿宋" w:hAnsi="仿宋" w:eastAsia="仿宋" w:cs="仿宋"/>
          <w:color w:val="000000" w:themeColor="text1"/>
          <w:kern w:val="2"/>
          <w:sz w:val="24"/>
          <w:szCs w:val="24"/>
          <w:lang w:val="en-US" w:eastAsia="zh-CN" w:bidi="ar-SA"/>
          <w14:textFill>
            <w14:solidFill>
              <w14:schemeClr w14:val="tx1"/>
            </w14:solidFill>
          </w14:textFill>
        </w:rPr>
        <w:t xml:space="preserve">                 </w:t>
      </w:r>
    </w:p>
    <w:p w14:paraId="724F066D">
      <w:pPr>
        <w:pStyle w:val="79"/>
        <w:spacing w:line="360" w:lineRule="auto"/>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4.招标范围：具体以采购人提供的竞争性比选</w:t>
      </w:r>
      <w:r>
        <w:rPr>
          <w:rFonts w:hint="eastAsia" w:ascii="仿宋" w:hAnsi="仿宋" w:eastAsia="仿宋" w:cs="仿宋"/>
          <w:color w:val="000000" w:themeColor="text1"/>
          <w:sz w:val="24"/>
          <w:szCs w:val="24"/>
          <w:lang w:val="en-US" w:eastAsia="zh-CN"/>
          <w14:textFill>
            <w14:solidFill>
              <w14:schemeClr w14:val="tx1"/>
            </w14:solidFill>
          </w14:textFill>
        </w:rPr>
        <w:t>文件、</w:t>
      </w:r>
      <w:r>
        <w:rPr>
          <w:rFonts w:hint="eastAsia" w:ascii="仿宋" w:hAnsi="仿宋" w:eastAsia="仿宋" w:cs="仿宋"/>
          <w:color w:val="000000" w:themeColor="text1"/>
          <w:kern w:val="2"/>
          <w:sz w:val="24"/>
          <w:szCs w:val="24"/>
          <w:lang w:val="en-US" w:eastAsia="zh-CN" w:bidi="ar-SA"/>
          <w14:textFill>
            <w14:solidFill>
              <w14:schemeClr w14:val="tx1"/>
            </w14:solidFill>
          </w14:textFill>
        </w:rPr>
        <w:t>工程量清单、答疑资料、澄清资料、其他补遗资料等相关内容为准。</w:t>
      </w:r>
    </w:p>
    <w:p w14:paraId="5619B5BC">
      <w:pPr>
        <w:numPr>
          <w:ilvl w:val="0"/>
          <w:numId w:val="14"/>
        </w:numPr>
        <w:spacing w:line="360" w:lineRule="auto"/>
        <w:ind w:left="80" w:leftChars="0" w:firstLine="480" w:firstLineChars="0"/>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工程量清单</w:t>
      </w:r>
    </w:p>
    <w:p w14:paraId="17D829AD">
      <w:pPr>
        <w:widowControl/>
        <w:spacing w:line="360" w:lineRule="auto"/>
        <w:ind w:firstLine="720" w:firstLineChars="3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详见采购人发布的工程量清单</w:t>
      </w:r>
    </w:p>
    <w:p w14:paraId="5823DC3F">
      <w:pPr>
        <w:widowControl/>
        <w:spacing w:line="360" w:lineRule="auto"/>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注：工程量清单的数量为暂定量，最终结算以实际发生的数量为准。</w:t>
      </w:r>
    </w:p>
    <w:p w14:paraId="5B1BB738">
      <w:pPr>
        <w:widowControl/>
        <w:spacing w:line="360" w:lineRule="auto"/>
        <w:ind w:firstLine="482" w:firstLineChars="200"/>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27" w:name="_Toc8855"/>
      <w:r>
        <w:rPr>
          <w:rStyle w:val="74"/>
          <w:rFonts w:hint="eastAsia" w:ascii="Times New Roman" w:hAnsi="Times New Roman" w:eastAsia="宋体"/>
          <w:color w:val="000000" w:themeColor="text1"/>
          <w:lang w:val="en-US" w:eastAsia="zh-CN"/>
          <w14:textFill>
            <w14:solidFill>
              <w14:schemeClr w14:val="tx1"/>
            </w14:solidFill>
          </w14:textFill>
        </w:rPr>
        <w:t>三、</w:t>
      </w:r>
      <w:bookmarkStart w:id="28" w:name="_Toc80863889"/>
      <w:r>
        <w:rPr>
          <w:rStyle w:val="74"/>
          <w:rFonts w:hint="eastAsia" w:ascii="Times New Roman" w:hAnsi="Times New Roman" w:eastAsia="宋体"/>
          <w:color w:val="000000" w:themeColor="text1"/>
          <w:lang w:val="en-US" w:eastAsia="zh-CN"/>
          <w14:textFill>
            <w14:solidFill>
              <w14:schemeClr w14:val="tx1"/>
            </w14:solidFill>
          </w14:textFill>
        </w:rPr>
        <w:t>现场踏勘</w:t>
      </w:r>
      <w:bookmarkEnd w:id="28"/>
    </w:p>
    <w:bookmarkEnd w:id="24"/>
    <w:bookmarkEnd w:id="25"/>
    <w:bookmarkEnd w:id="27"/>
    <w:p w14:paraId="2CA24BA8">
      <w:pPr>
        <w:spacing w:line="360" w:lineRule="auto"/>
        <w:ind w:firstLine="480" w:firstLineChars="200"/>
        <w:rPr>
          <w:rFonts w:hint="eastAsia" w:ascii="仿宋" w:hAnsi="仿宋" w:eastAsia="仿宋" w:cs="仿宋"/>
          <w:color w:val="000000" w:themeColor="text1"/>
          <w:kern w:val="2"/>
          <w:sz w:val="24"/>
          <w:szCs w:val="24"/>
          <w:lang w:val="en-US" w:eastAsia="zh-CN" w:bidi="ar-SA"/>
          <w14:textFill>
            <w14:solidFill>
              <w14:schemeClr w14:val="tx1"/>
            </w14:solidFill>
          </w14:textFill>
        </w:rPr>
      </w:pPr>
      <w:bookmarkStart w:id="29" w:name="_Toc12789058"/>
      <w:r>
        <w:rPr>
          <w:rFonts w:hint="eastAsia" w:ascii="仿宋" w:hAnsi="仿宋" w:eastAsia="仿宋" w:cs="仿宋"/>
          <w:color w:val="000000" w:themeColor="text1"/>
          <w:kern w:val="2"/>
          <w:sz w:val="24"/>
          <w:szCs w:val="24"/>
          <w:lang w:val="en-US" w:eastAsia="zh-CN" w:bidi="ar-SA"/>
          <w14:textFill>
            <w14:solidFill>
              <w14:schemeClr w14:val="tx1"/>
            </w14:solidFill>
          </w14:textFill>
        </w:rPr>
        <w:t>（一）采购人不组织现场踏勘，由各供应商在采购开始前自行到现场进行踏勘了解实际情况，根据实际踏勘情况做服务方案。踏勘产生的费用和风险等均由供应商自行承担。</w:t>
      </w:r>
    </w:p>
    <w:p w14:paraId="463EB027">
      <w:pPr>
        <w:spacing w:line="360" w:lineRule="auto"/>
        <w:ind w:firstLine="480" w:firstLineChars="200"/>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（二）无论供应商是否踏勘过现场，均视为在响应截止时间之前踏勘过现场且对本项目潜在的风险和义务已完全了解，并在其响应文件中</w:t>
      </w:r>
      <w:r>
        <w:rPr>
          <w:rFonts w:hint="eastAsia" w:ascii="仿宋" w:hAnsi="仿宋" w:eastAsia="仿宋" w:cs="仿宋"/>
          <w:b/>
          <w:bCs/>
          <w:color w:val="000000" w:themeColor="text1"/>
          <w:kern w:val="2"/>
          <w:sz w:val="24"/>
          <w:szCs w:val="24"/>
          <w:lang w:val="en-US" w:eastAsia="zh-CN" w:bidi="ar-SA"/>
          <w14:textFill>
            <w14:solidFill>
              <w14:schemeClr w14:val="tx1"/>
            </w14:solidFill>
          </w14:textFill>
        </w:rPr>
        <w:t>自行承诺（格式自拟）</w:t>
      </w:r>
      <w:r>
        <w:rPr>
          <w:rFonts w:hint="eastAsia" w:ascii="仿宋" w:hAnsi="仿宋" w:eastAsia="仿宋" w:cs="仿宋"/>
          <w:color w:val="000000" w:themeColor="text1"/>
          <w:kern w:val="2"/>
          <w:sz w:val="24"/>
          <w:szCs w:val="24"/>
          <w:lang w:val="en-US" w:eastAsia="zh-CN" w:bidi="ar-SA"/>
          <w14:textFill>
            <w14:solidFill>
              <w14:schemeClr w14:val="tx1"/>
            </w14:solidFill>
          </w14:textFill>
        </w:rPr>
        <w:t>已充分考虑了本项目可能面临的不确定因素可能导致的风险，成交供应商不得以不完全了解现场情况为借口而提出延长服务期限或提出额外赔偿等要求。</w:t>
      </w:r>
    </w:p>
    <w:p w14:paraId="623B2E57">
      <w:pPr>
        <w:widowControl/>
        <w:spacing w:line="360" w:lineRule="auto"/>
        <w:ind w:firstLine="482" w:firstLineChars="200"/>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30" w:name="_Toc11993"/>
      <w:bookmarkStart w:id="31" w:name="_Toc15849"/>
      <w:r>
        <w:rPr>
          <w:rStyle w:val="74"/>
          <w:rFonts w:hint="eastAsia" w:ascii="Times New Roman" w:hAnsi="Times New Roman" w:eastAsia="宋体"/>
          <w:color w:val="000000" w:themeColor="text1"/>
          <w:lang w:val="en-US" w:eastAsia="zh-CN"/>
          <w14:textFill>
            <w14:solidFill>
              <w14:schemeClr w14:val="tx1"/>
            </w14:solidFill>
          </w14:textFill>
        </w:rPr>
        <w:t>四、安全要求</w:t>
      </w:r>
      <w:bookmarkEnd w:id="30"/>
    </w:p>
    <w:bookmarkEnd w:id="31"/>
    <w:p w14:paraId="57323A10">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供应商在响应文件中</w:t>
      </w:r>
      <w:r>
        <w:rPr>
          <w:rFonts w:hint="eastAsia" w:ascii="仿宋" w:hAnsi="仿宋" w:eastAsia="仿宋" w:cs="仿宋"/>
          <w:b/>
          <w:bCs/>
          <w:color w:val="000000" w:themeColor="text1"/>
          <w:kern w:val="2"/>
          <w:sz w:val="24"/>
          <w:szCs w:val="24"/>
          <w:lang w:val="en-US" w:eastAsia="zh-CN" w:bidi="ar-SA"/>
          <w14:textFill>
            <w14:solidFill>
              <w14:schemeClr w14:val="tx1"/>
            </w14:solidFill>
          </w14:textFill>
        </w:rPr>
        <w:t>自行承诺（格式自拟）</w:t>
      </w:r>
      <w:r>
        <w:rPr>
          <w:rFonts w:hint="eastAsia" w:ascii="仿宋" w:hAnsi="仿宋" w:eastAsia="仿宋" w:cs="仿宋"/>
          <w:color w:val="000000" w:themeColor="text1"/>
          <w:kern w:val="2"/>
          <w:sz w:val="24"/>
          <w:szCs w:val="24"/>
          <w:lang w:val="en-US" w:eastAsia="zh-CN" w:bidi="ar-SA"/>
          <w14:textFill>
            <w14:solidFill>
              <w14:schemeClr w14:val="tx1"/>
            </w14:solidFill>
          </w14:textFill>
        </w:rPr>
        <w:t>遵守安全生产的有关管理规定，严格按照安全标准组织实施，采取必要的安全防护措施，消除隐患。在施工过程中由于供应商管理或安全措施不力造成周边环境破坏或事故责任和因此发生的费用，由供应商承担。供应商负责进入现场实施人员及财物安全，发生任何伤亡事故与采购人无关，供应商自行解决并承担相应的法律责任和财产损失。如因施工导致第三人人身、财产损失由成交供应商承担相关的赔偿责任。</w:t>
      </w:r>
      <w:r>
        <w:rPr>
          <w:rFonts w:hint="eastAsia" w:ascii="仿宋" w:hAnsi="仿宋" w:eastAsia="仿宋" w:cs="仿宋"/>
          <w:color w:val="000000" w:themeColor="text1"/>
          <w:sz w:val="24"/>
          <w:szCs w:val="24"/>
          <w14:textFill>
            <w14:solidFill>
              <w14:schemeClr w14:val="tx1"/>
            </w14:solidFill>
          </w14:textFill>
        </w:rPr>
        <w:br w:type="page"/>
      </w:r>
    </w:p>
    <w:p w14:paraId="687A6BF0">
      <w:pPr>
        <w:pStyle w:val="4"/>
        <w:spacing w:line="360" w:lineRule="auto"/>
        <w:jc w:val="center"/>
        <w:rPr>
          <w:rFonts w:hint="eastAsia" w:ascii="仿宋" w:hAnsi="仿宋" w:eastAsia="仿宋" w:cs="仿宋"/>
          <w:color w:val="000000" w:themeColor="text1"/>
          <w:sz w:val="28"/>
          <w:szCs w:val="28"/>
          <w14:textFill>
            <w14:solidFill>
              <w14:schemeClr w14:val="tx1"/>
            </w14:solidFill>
          </w14:textFill>
        </w:rPr>
      </w:pPr>
      <w:bookmarkStart w:id="32" w:name="_Toc12538"/>
      <w:r>
        <w:rPr>
          <w:rFonts w:hint="eastAsia" w:ascii="仿宋" w:hAnsi="仿宋" w:eastAsia="仿宋" w:cs="仿宋"/>
          <w:color w:val="000000" w:themeColor="text1"/>
          <w:sz w:val="28"/>
          <w:szCs w:val="28"/>
          <w14:textFill>
            <w14:solidFill>
              <w14:schemeClr w14:val="tx1"/>
            </w14:solidFill>
          </w14:textFill>
        </w:rPr>
        <w:t>第三篇  项目商务需求</w:t>
      </w:r>
      <w:bookmarkEnd w:id="29"/>
      <w:bookmarkEnd w:id="32"/>
    </w:p>
    <w:p w14:paraId="331295E5">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33" w:name="_Toc15498"/>
      <w:bookmarkStart w:id="34" w:name="_Toc51655840"/>
      <w:bookmarkStart w:id="35" w:name="_Toc16417"/>
      <w:bookmarkStart w:id="36" w:name="_Toc267320049"/>
      <w:bookmarkStart w:id="37" w:name="_Toc486325801"/>
      <w:bookmarkStart w:id="38" w:name="_Toc344475123"/>
      <w:bookmarkStart w:id="39" w:name="_Toc525909820"/>
      <w:bookmarkStart w:id="40" w:name="_Toc344475120"/>
      <w:bookmarkStart w:id="41" w:name="_Toc11641055"/>
      <w:bookmarkStart w:id="42" w:name="_Toc12789059"/>
      <w:r>
        <w:rPr>
          <w:rStyle w:val="74"/>
          <w:rFonts w:hint="eastAsia" w:ascii="Times New Roman" w:hAnsi="Times New Roman" w:eastAsia="宋体"/>
          <w:color w:val="000000" w:themeColor="text1"/>
          <w:lang w:val="en-US" w:eastAsia="zh-CN"/>
          <w14:textFill>
            <w14:solidFill>
              <w14:schemeClr w14:val="tx1"/>
            </w14:solidFill>
          </w14:textFill>
        </w:rPr>
        <w:t>一、</w:t>
      </w:r>
      <w:r>
        <w:rPr>
          <w:rStyle w:val="74"/>
          <w:rFonts w:hint="eastAsia"/>
          <w:color w:val="000000" w:themeColor="text1"/>
          <w:lang w:val="en-US" w:eastAsia="zh-CN"/>
          <w14:textFill>
            <w14:solidFill>
              <w14:schemeClr w14:val="tx1"/>
            </w14:solidFill>
          </w14:textFill>
        </w:rPr>
        <w:t>工期</w:t>
      </w:r>
      <w:r>
        <w:rPr>
          <w:rStyle w:val="74"/>
          <w:rFonts w:hint="eastAsia" w:ascii="Times New Roman" w:hAnsi="Times New Roman" w:eastAsia="宋体"/>
          <w:color w:val="000000" w:themeColor="text1"/>
          <w:lang w:val="en-US" w:eastAsia="zh-CN"/>
          <w14:textFill>
            <w14:solidFill>
              <w14:schemeClr w14:val="tx1"/>
            </w14:solidFill>
          </w14:textFill>
        </w:rPr>
        <w:t>、</w:t>
      </w:r>
      <w:r>
        <w:rPr>
          <w:rStyle w:val="74"/>
          <w:rFonts w:hint="eastAsia"/>
          <w:color w:val="000000" w:themeColor="text1"/>
          <w:lang w:val="en-US" w:eastAsia="zh-CN"/>
          <w14:textFill>
            <w14:solidFill>
              <w14:schemeClr w14:val="tx1"/>
            </w14:solidFill>
          </w14:textFill>
        </w:rPr>
        <w:t>建设</w:t>
      </w:r>
      <w:r>
        <w:rPr>
          <w:rStyle w:val="74"/>
          <w:rFonts w:hint="eastAsia" w:ascii="Times New Roman" w:hAnsi="Times New Roman" w:eastAsia="宋体"/>
          <w:color w:val="000000" w:themeColor="text1"/>
          <w:lang w:val="en-US" w:eastAsia="zh-CN"/>
          <w14:textFill>
            <w14:solidFill>
              <w14:schemeClr w14:val="tx1"/>
            </w14:solidFill>
          </w14:textFill>
        </w:rPr>
        <w:t>地点及验收方式</w:t>
      </w:r>
      <w:bookmarkEnd w:id="33"/>
      <w:bookmarkEnd w:id="34"/>
    </w:p>
    <w:bookmarkEnd w:id="35"/>
    <w:p w14:paraId="75AA187B">
      <w:pPr>
        <w:numPr>
          <w:ilvl w:val="0"/>
          <w:numId w:val="0"/>
        </w:numPr>
        <w:snapToGrid w:val="0"/>
        <w:spacing w:line="360" w:lineRule="auto"/>
        <w:ind w:left="560" w:leftChars="0"/>
        <w:jc w:val="left"/>
        <w:rPr>
          <w:rFonts w:hint="default" w:ascii="仿宋" w:hAnsi="仿宋" w:eastAsia="仿宋" w:cs="仿宋"/>
          <w:color w:val="000000" w:themeColor="text1"/>
          <w:kern w:val="2"/>
          <w:sz w:val="24"/>
          <w:szCs w:val="24"/>
          <w:highlight w:val="yellow"/>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（一）服务期限：合同签订后30个日历天内完工</w:t>
      </w:r>
    </w:p>
    <w:p w14:paraId="45C12C1A">
      <w:pPr>
        <w:numPr>
          <w:ilvl w:val="0"/>
          <w:numId w:val="0"/>
        </w:numPr>
        <w:snapToGrid w:val="0"/>
        <w:spacing w:line="360" w:lineRule="auto"/>
        <w:ind w:left="560" w:leftChars="0"/>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（二）建设</w:t>
      </w:r>
      <w:r>
        <w:rPr>
          <w:rFonts w:hint="eastAsia" w:ascii="仿宋" w:hAnsi="仿宋" w:eastAsia="仿宋" w:cs="仿宋"/>
          <w:color w:val="000000" w:themeColor="text1"/>
          <w:sz w:val="24"/>
          <w:szCs w:val="24"/>
          <w14:textFill>
            <w14:solidFill>
              <w14:schemeClr w14:val="tx1"/>
            </w14:solidFill>
          </w14:textFill>
        </w:rPr>
        <w:t>地点：</w:t>
      </w:r>
      <w:r>
        <w:rPr>
          <w:rFonts w:hint="eastAsia" w:ascii="仿宋" w:hAnsi="仿宋" w:eastAsia="仿宋" w:cs="仿宋"/>
          <w:color w:val="000000" w:themeColor="text1"/>
          <w:sz w:val="24"/>
          <w:szCs w:val="24"/>
          <w:lang w:val="en-US" w:eastAsia="zh-CN"/>
          <w14:textFill>
            <w14:solidFill>
              <w14:schemeClr w14:val="tx1"/>
            </w14:solidFill>
          </w14:textFill>
        </w:rPr>
        <w:t>大足区口袋公园</w:t>
      </w:r>
    </w:p>
    <w:p w14:paraId="0AA841EF">
      <w:pPr>
        <w:numPr>
          <w:ilvl w:val="0"/>
          <w:numId w:val="0"/>
        </w:numPr>
        <w:snapToGrid w:val="0"/>
        <w:spacing w:line="360" w:lineRule="auto"/>
        <w:ind w:left="560" w:leftChars="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（三）</w:t>
      </w:r>
      <w:r>
        <w:rPr>
          <w:rFonts w:hint="eastAsia" w:ascii="仿宋" w:hAnsi="仿宋" w:eastAsia="仿宋" w:cs="仿宋"/>
          <w:color w:val="000000" w:themeColor="text1"/>
          <w:sz w:val="24"/>
          <w:szCs w:val="24"/>
          <w14:textFill>
            <w14:solidFill>
              <w14:schemeClr w14:val="tx1"/>
            </w14:solidFill>
          </w14:textFill>
        </w:rPr>
        <w:t>验收方式</w:t>
      </w:r>
    </w:p>
    <w:p w14:paraId="74450AC8">
      <w:pPr>
        <w:pStyle w:val="61"/>
        <w:spacing w:line="360" w:lineRule="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1.验收单位：采购人组织验收。如验收不合格，对采购人造成损失的，成交单位应承担修复、重做、赔偿损失等责任，采购人不再另行付费。</w:t>
      </w:r>
    </w:p>
    <w:p w14:paraId="142382F3">
      <w:pPr>
        <w:pStyle w:val="61"/>
        <w:spacing w:line="360" w:lineRule="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2.验收标准：达到国家现行规范及验收合格标准。</w:t>
      </w:r>
    </w:p>
    <w:p w14:paraId="4FE3464F">
      <w:pPr>
        <w:pStyle w:val="61"/>
        <w:spacing w:line="360" w:lineRule="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3.验收解决：采购人对工程质量提出异议要求检验或检测的：结果为合格的，费用由采购人承担。结果为不合格或达不到本条标准的，其费用由承包人承担。</w:t>
      </w:r>
    </w:p>
    <w:p w14:paraId="03633150">
      <w:pPr>
        <w:pStyle w:val="61"/>
        <w:spacing w:line="360" w:lineRule="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施工单位须和建设单位等相关施工参与部门一起做好施工全过程中相关工程资料的留存，须有施工现场的施工前后及期间相应节点的对比影像资料（特别是隐蔽工程及暂列金额工程）用于后期结算。因缺少影像资料造成无法办理相关工程内容结算的损失由施工单位自行承担。</w:t>
      </w:r>
    </w:p>
    <w:p w14:paraId="39604B33">
      <w:pPr>
        <w:pStyle w:val="61"/>
        <w:spacing w:line="360" w:lineRule="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5.质量要求：</w:t>
      </w:r>
      <w:r>
        <w:rPr>
          <w:rFonts w:hint="eastAsia" w:ascii="仿宋" w:hAnsi="仿宋" w:eastAsia="仿宋" w:cs="仿宋"/>
          <w:b/>
          <w:bCs/>
          <w:color w:val="000000" w:themeColor="text1"/>
          <w:sz w:val="24"/>
          <w:szCs w:val="24"/>
          <w:lang w:val="en-US" w:eastAsia="zh-CN"/>
          <w14:textFill>
            <w14:solidFill>
              <w14:schemeClr w14:val="tx1"/>
            </w14:solidFill>
          </w14:textFill>
        </w:rPr>
        <w:t>达到国家及重庆市现行有关施工质量验收规范要求，并达到合格标准</w:t>
      </w:r>
      <w:r>
        <w:rPr>
          <w:rFonts w:hint="eastAsia" w:ascii="仿宋" w:hAnsi="仿宋" w:eastAsia="仿宋" w:cs="仿宋"/>
          <w:color w:val="000000" w:themeColor="text1"/>
          <w:sz w:val="24"/>
          <w:szCs w:val="24"/>
          <w:lang w:val="en-US" w:eastAsia="zh-CN"/>
          <w14:textFill>
            <w14:solidFill>
              <w14:schemeClr w14:val="tx1"/>
            </w14:solidFill>
          </w14:textFill>
        </w:rPr>
        <w:t>。</w:t>
      </w:r>
    </w:p>
    <w:p w14:paraId="3C003BB1">
      <w:pPr>
        <w:widowControl/>
        <w:spacing w:line="360" w:lineRule="auto"/>
        <w:ind w:firstLine="241" w:firstLineChars="100"/>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43" w:name="_Toc29515"/>
      <w:r>
        <w:rPr>
          <w:rStyle w:val="74"/>
          <w:rFonts w:hint="eastAsia" w:ascii="Times New Roman" w:hAnsi="Times New Roman" w:eastAsia="宋体"/>
          <w:color w:val="000000" w:themeColor="text1"/>
          <w:lang w:val="en-US" w:eastAsia="zh-CN"/>
          <w14:textFill>
            <w14:solidFill>
              <w14:schemeClr w14:val="tx1"/>
            </w14:solidFill>
          </w14:textFill>
        </w:rPr>
        <w:t>二、人员要求</w:t>
      </w:r>
    </w:p>
    <w:bookmarkEnd w:id="43"/>
    <w:p w14:paraId="3C9B409C">
      <w:pPr>
        <w:pStyle w:val="61"/>
        <w:spacing w:line="360" w:lineRule="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1.项目经理：1人</w:t>
      </w:r>
    </w:p>
    <w:p w14:paraId="069BB52D">
      <w:pPr>
        <w:pStyle w:val="61"/>
        <w:spacing w:line="360" w:lineRule="auto"/>
        <w:rPr>
          <w:rFonts w:hint="default" w:ascii="仿宋" w:hAnsi="仿宋" w:eastAsia="仿宋" w:cs="仿宋"/>
          <w:color w:val="000000" w:themeColor="text1"/>
          <w:sz w:val="24"/>
          <w:szCs w:val="24"/>
          <w:lang w:val="en-US" w:eastAsia="zh-CN"/>
          <w14:textFill>
            <w14:solidFill>
              <w14:schemeClr w14:val="tx1"/>
            </w14:solidFill>
          </w14:textFill>
        </w:rPr>
      </w:pPr>
      <w:bookmarkStart w:id="44" w:name="_Toc12681"/>
      <w:bookmarkStart w:id="45" w:name="_Toc3761"/>
      <w:bookmarkStart w:id="46" w:name="_Toc29186"/>
      <w:bookmarkStart w:id="47" w:name="_Toc5224"/>
      <w:r>
        <w:rPr>
          <w:rFonts w:hint="eastAsia" w:ascii="仿宋" w:hAnsi="仿宋" w:eastAsia="仿宋" w:cs="仿宋"/>
          <w:color w:val="000000" w:themeColor="text1"/>
          <w:sz w:val="24"/>
          <w:szCs w:val="24"/>
          <w:lang w:val="en-US" w:eastAsia="zh-CN"/>
          <w14:textFill>
            <w14:solidFill>
              <w14:schemeClr w14:val="tx1"/>
            </w14:solidFill>
          </w14:textFill>
        </w:rPr>
        <w:t xml:space="preserve">  供应商拟任的项目经理必须已在供应商本单位注册并应具有</w:t>
      </w:r>
      <w:r>
        <w:rPr>
          <w:rFonts w:hint="eastAsia" w:ascii="仿宋" w:hAnsi="仿宋" w:eastAsia="仿宋" w:cs="仿宋"/>
          <w:b/>
          <w:bCs/>
          <w:color w:val="000000" w:themeColor="text1"/>
          <w:sz w:val="24"/>
          <w:szCs w:val="24"/>
          <w:u w:val="single"/>
          <w:lang w:val="en-US" w:eastAsia="zh-CN"/>
          <w14:textFill>
            <w14:solidFill>
              <w14:schemeClr w14:val="tx1"/>
            </w14:solidFill>
          </w14:textFill>
        </w:rPr>
        <w:t>市政公用</w:t>
      </w:r>
      <w:r>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t>工程</w:t>
      </w:r>
      <w:r>
        <w:rPr>
          <w:rFonts w:hint="eastAsia" w:ascii="仿宋" w:hAnsi="仿宋" w:eastAsia="仿宋" w:cs="仿宋"/>
          <w:color w:val="000000" w:themeColor="text1"/>
          <w:sz w:val="24"/>
          <w:szCs w:val="24"/>
          <w:lang w:val="en-US" w:eastAsia="zh-CN"/>
          <w14:textFill>
            <w14:solidFill>
              <w14:schemeClr w14:val="tx1"/>
            </w14:solidFill>
          </w14:textFill>
        </w:rPr>
        <w:t>专业</w:t>
      </w:r>
      <w:r>
        <w:rPr>
          <w:rFonts w:hint="eastAsia" w:ascii="仿宋" w:hAnsi="仿宋" w:eastAsia="仿宋" w:cs="仿宋"/>
          <w:b/>
          <w:bCs/>
          <w:color w:val="000000" w:themeColor="text1"/>
          <w:sz w:val="24"/>
          <w:szCs w:val="24"/>
          <w:u w:val="single"/>
          <w:lang w:val="en-US" w:eastAsia="zh-CN"/>
          <w14:textFill>
            <w14:solidFill>
              <w14:schemeClr w14:val="tx1"/>
            </w14:solidFill>
          </w14:textFill>
        </w:rPr>
        <w:t>贰</w:t>
      </w:r>
      <w:r>
        <w:rPr>
          <w:rFonts w:hint="eastAsia" w:ascii="仿宋" w:hAnsi="仿宋" w:eastAsia="仿宋" w:cs="仿宋"/>
          <w:color w:val="000000" w:themeColor="text1"/>
          <w:sz w:val="24"/>
          <w:szCs w:val="24"/>
          <w:lang w:val="en-US" w:eastAsia="zh-CN"/>
          <w14:textFill>
            <w14:solidFill>
              <w14:schemeClr w14:val="tx1"/>
            </w14:solidFill>
          </w14:textFill>
        </w:rPr>
        <w:t xml:space="preserve"> 级及以上注册建造师执业资格。    </w:t>
      </w:r>
    </w:p>
    <w:p w14:paraId="4790E719">
      <w:pPr>
        <w:pStyle w:val="61"/>
        <w:spacing w:line="360" w:lineRule="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注：提供有效的拟派项目经理建造师注册证、身份证复印件、安全生产考核合格证书（B类）、供应商为其缴纳的养老保险（2026年2月-2026年7月）证明材料复印件，并加盖供应商公章。</w:t>
      </w:r>
    </w:p>
    <w:bookmarkEnd w:id="44"/>
    <w:bookmarkEnd w:id="45"/>
    <w:bookmarkEnd w:id="46"/>
    <w:bookmarkEnd w:id="47"/>
    <w:p w14:paraId="03B749F2">
      <w:pPr>
        <w:pStyle w:val="61"/>
        <w:spacing w:line="360" w:lineRule="auto"/>
        <w:rPr>
          <w:rFonts w:hint="eastAsia" w:ascii="仿宋" w:hAnsi="仿宋" w:eastAsia="仿宋" w:cs="仿宋"/>
          <w:color w:val="000000" w:themeColor="text1"/>
          <w:sz w:val="24"/>
          <w:szCs w:val="24"/>
          <w:lang w:val="en-US" w:eastAsia="zh-CN"/>
          <w14:textFill>
            <w14:solidFill>
              <w14:schemeClr w14:val="tx1"/>
            </w14:solidFill>
          </w14:textFill>
        </w:rPr>
      </w:pPr>
      <w:bookmarkStart w:id="48" w:name="_Toc23897"/>
      <w:bookmarkStart w:id="49" w:name="_Toc25370"/>
      <w:bookmarkStart w:id="50" w:name="_Toc31185"/>
      <w:bookmarkStart w:id="51" w:name="_Toc421"/>
      <w:r>
        <w:rPr>
          <w:rFonts w:hint="eastAsia" w:ascii="仿宋" w:hAnsi="仿宋" w:eastAsia="仿宋" w:cs="仿宋"/>
          <w:color w:val="000000" w:themeColor="text1"/>
          <w:sz w:val="24"/>
          <w:szCs w:val="24"/>
          <w:lang w:val="en-US" w:eastAsia="zh-CN"/>
          <w14:textFill>
            <w14:solidFill>
              <w14:schemeClr w14:val="tx1"/>
            </w14:solidFill>
          </w14:textFill>
        </w:rPr>
        <w:t>2.其他主要管理人员：</w:t>
      </w:r>
      <w:bookmarkEnd w:id="48"/>
      <w:bookmarkEnd w:id="49"/>
      <w:bookmarkEnd w:id="50"/>
      <w:bookmarkEnd w:id="51"/>
    </w:p>
    <w:p w14:paraId="5F2E15A7">
      <w:pPr>
        <w:pStyle w:val="61"/>
        <w:spacing w:line="360" w:lineRule="auto"/>
        <w:rPr>
          <w:rFonts w:hint="eastAsia" w:ascii="仿宋" w:hAnsi="仿宋" w:eastAsia="仿宋" w:cs="仿宋"/>
          <w:color w:val="000000" w:themeColor="text1"/>
          <w:sz w:val="24"/>
          <w:szCs w:val="24"/>
          <w:lang w:val="en-US" w:eastAsia="zh-CN"/>
          <w14:textFill>
            <w14:solidFill>
              <w14:schemeClr w14:val="tx1"/>
            </w14:solidFill>
          </w14:textFill>
        </w:rPr>
      </w:pPr>
      <w:bookmarkStart w:id="52" w:name="_Toc1233"/>
      <w:bookmarkStart w:id="53" w:name="_Toc19575"/>
      <w:bookmarkStart w:id="54" w:name="_Toc696"/>
      <w:bookmarkStart w:id="55" w:name="_Toc8927"/>
      <w:r>
        <w:rPr>
          <w:rFonts w:hint="eastAsia" w:ascii="仿宋" w:hAnsi="仿宋" w:eastAsia="仿宋" w:cs="仿宋"/>
          <w:color w:val="000000" w:themeColor="text1"/>
          <w:sz w:val="24"/>
          <w:szCs w:val="24"/>
          <w:lang w:val="en-US" w:eastAsia="zh-CN"/>
          <w14:textFill>
            <w14:solidFill>
              <w14:schemeClr w14:val="tx1"/>
            </w14:solidFill>
          </w14:textFill>
        </w:rPr>
        <w:t>供应商拟任本项目的其他主要管理人员：</w:t>
      </w:r>
      <w:bookmarkEnd w:id="52"/>
      <w:bookmarkEnd w:id="53"/>
      <w:bookmarkEnd w:id="54"/>
      <w:bookmarkEnd w:id="55"/>
      <w:r>
        <w:rPr>
          <w:rFonts w:hint="eastAsia" w:ascii="仿宋" w:hAnsi="仿宋" w:eastAsia="仿宋" w:cs="仿宋"/>
          <w:color w:val="000000" w:themeColor="text1"/>
          <w:sz w:val="24"/>
          <w:szCs w:val="24"/>
          <w:lang w:val="en-US" w:eastAsia="zh-CN"/>
          <w14:textFill>
            <w14:solidFill>
              <w14:schemeClr w14:val="tx1"/>
            </w14:solidFill>
          </w14:textFill>
        </w:rPr>
        <w:t>供应商</w:t>
      </w:r>
      <w:r>
        <w:rPr>
          <w:rFonts w:hint="eastAsia" w:ascii="仿宋" w:hAnsi="仿宋" w:eastAsia="仿宋" w:cs="仿宋"/>
          <w:b/>
          <w:bCs/>
          <w:color w:val="000000" w:themeColor="text1"/>
          <w:sz w:val="24"/>
          <w:szCs w:val="24"/>
          <w:lang w:val="en-US" w:eastAsia="zh-CN"/>
          <w14:textFill>
            <w14:solidFill>
              <w14:schemeClr w14:val="tx1"/>
            </w14:solidFill>
          </w14:textFill>
        </w:rPr>
        <w:t>自行承诺（格式自拟）</w:t>
      </w:r>
      <w:r>
        <w:rPr>
          <w:rFonts w:hint="eastAsia" w:ascii="仿宋" w:hAnsi="仿宋" w:eastAsia="仿宋" w:cs="仿宋"/>
          <w:color w:val="000000" w:themeColor="text1"/>
          <w:sz w:val="24"/>
          <w:szCs w:val="24"/>
          <w:lang w:val="en-US" w:eastAsia="zh-CN"/>
          <w14:textFill>
            <w14:solidFill>
              <w14:schemeClr w14:val="tx1"/>
            </w14:solidFill>
          </w14:textFill>
        </w:rPr>
        <w:t>成交后在签订合同之前，须按照建设行政主管部门的要求组建施工项目部，配置项目管理班子，出具任命文件。任命文件应当明确施工项目部的职责、岗位设置、人员配备，并书面通知建设单位。相关岗位管理人员应持有建设行政主管部门要求的岗位证书，并提供供应商为其缴纳的养老保险证明材料。成交后不能满足该要求的，取消其成交资格，给采购人造成损失的，供应商依法承担违约赔偿责任。</w:t>
      </w:r>
    </w:p>
    <w:p w14:paraId="58933A5D">
      <w:pPr>
        <w:pStyle w:val="61"/>
        <w:spacing w:line="360" w:lineRule="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注：供应商未按人员要求中的规定提供相应的资料，其响应文件按废标处理</w:t>
      </w:r>
      <w:bookmarkStart w:id="56" w:name="_Toc267320050"/>
    </w:p>
    <w:p w14:paraId="0A19115D">
      <w:pPr>
        <w:pStyle w:val="61"/>
        <w:numPr>
          <w:ilvl w:val="0"/>
          <w:numId w:val="0"/>
        </w:numPr>
        <w:spacing w:line="360" w:lineRule="auto"/>
        <w:ind w:firstLine="241" w:firstLineChars="100"/>
        <w:rPr>
          <w:rStyle w:val="74"/>
          <w:rFonts w:hint="eastAsia" w:ascii="Times New Roman" w:hAnsi="Times New Roman" w:eastAsia="宋体"/>
          <w:color w:val="000000" w:themeColor="text1"/>
          <w:lang w:val="en-US" w:eastAsia="zh-CN"/>
          <w14:textFill>
            <w14:solidFill>
              <w14:schemeClr w14:val="tx1"/>
            </w14:solidFill>
          </w14:textFill>
        </w:rPr>
      </w:pPr>
      <w:bookmarkStart w:id="57" w:name="_Toc10973"/>
      <w:r>
        <w:rPr>
          <w:rStyle w:val="74"/>
          <w:rFonts w:hint="eastAsia" w:ascii="Times New Roman" w:hAnsi="Times New Roman" w:eastAsia="宋体"/>
          <w:color w:val="000000" w:themeColor="text1"/>
          <w:lang w:val="en-US" w:eastAsia="zh-CN"/>
          <w14:textFill>
            <w14:solidFill>
              <w14:schemeClr w14:val="tx1"/>
            </w14:solidFill>
          </w14:textFill>
        </w:rPr>
        <w:t>三、报价要求及结算方式</w:t>
      </w:r>
    </w:p>
    <w:bookmarkEnd w:id="36"/>
    <w:bookmarkEnd w:id="37"/>
    <w:bookmarkEnd w:id="38"/>
    <w:bookmarkEnd w:id="39"/>
    <w:bookmarkEnd w:id="56"/>
    <w:bookmarkEnd w:id="57"/>
    <w:p w14:paraId="4F7CB2C8">
      <w:pPr>
        <w:spacing w:line="540" w:lineRule="exact"/>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bookmarkStart w:id="58" w:name="_Toc54278987"/>
      <w:bookmarkStart w:id="59" w:name="_Toc51655843"/>
      <w:bookmarkStart w:id="60" w:name="_Toc267320051"/>
      <w:bookmarkStart w:id="61" w:name="_Toc376184485"/>
      <w:r>
        <w:rPr>
          <w:rFonts w:hint="eastAsia" w:ascii="仿宋" w:hAnsi="仿宋" w:eastAsia="仿宋" w:cs="仿宋"/>
          <w:color w:val="000000" w:themeColor="text1"/>
          <w:kern w:val="2"/>
          <w:sz w:val="24"/>
          <w:szCs w:val="24"/>
          <w:lang w:val="en-US" w:eastAsia="zh-CN" w:bidi="ar-SA"/>
          <w14:textFill>
            <w14:solidFill>
              <w14:schemeClr w14:val="tx1"/>
            </w14:solidFill>
          </w14:textFill>
        </w:rPr>
        <w:t>（一）报价要求：</w:t>
      </w:r>
    </w:p>
    <w:p w14:paraId="3CD3E42F">
      <w:pPr>
        <w:keepNext w:val="0"/>
        <w:keepLines w:val="0"/>
        <w:widowControl/>
        <w:suppressLineNumbers w:val="0"/>
        <w:ind w:firstLine="480" w:firstLineChars="200"/>
        <w:jc w:val="left"/>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1.本项目最高限价为：</w:t>
      </w:r>
      <w:r>
        <w:rPr>
          <w:rFonts w:hint="eastAsia" w:ascii="宋体" w:hAnsi="宋体" w:eastAsia="宋体" w:cs="宋体"/>
          <w:color w:val="000000"/>
          <w:kern w:val="0"/>
          <w:sz w:val="24"/>
          <w:szCs w:val="24"/>
          <w:lang w:val="en-US" w:eastAsia="zh-CN" w:bidi="ar"/>
        </w:rPr>
        <w:t>383355.59</w:t>
      </w:r>
      <w:r>
        <w:rPr>
          <w:rFonts w:hint="eastAsia" w:ascii="仿宋" w:hAnsi="仿宋" w:eastAsia="仿宋" w:cs="仿宋"/>
          <w:b/>
          <w:bCs/>
          <w:color w:val="000000" w:themeColor="text1"/>
          <w:kern w:val="2"/>
          <w:sz w:val="24"/>
          <w:szCs w:val="24"/>
          <w:highlight w:val="none"/>
          <w:lang w:val="en-US" w:eastAsia="zh-CN" w:bidi="ar-SA"/>
          <w14:textFill>
            <w14:solidFill>
              <w14:schemeClr w14:val="tx1"/>
            </w14:solidFill>
          </w14:textFill>
        </w:rPr>
        <w:t>元（大写：叁拾捌万叁仟叁佰伍拾伍元伍角玖分）；</w:t>
      </w: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其中安全文明施工费为</w:t>
      </w:r>
      <w:r>
        <w:rPr>
          <w:rFonts w:hint="eastAsia" w:ascii="宋体" w:hAnsi="宋体" w:eastAsia="宋体" w:cs="宋体"/>
          <w:color w:val="000000"/>
          <w:kern w:val="0"/>
          <w:sz w:val="24"/>
          <w:szCs w:val="24"/>
          <w:lang w:val="en-US" w:eastAsia="zh-CN" w:bidi="ar"/>
        </w:rPr>
        <w:t>9311.39</w:t>
      </w: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元。</w:t>
      </w:r>
    </w:p>
    <w:p w14:paraId="7DA55648">
      <w:pPr>
        <w:spacing w:line="540" w:lineRule="exact"/>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2.供应商的响应报价应完成本项目全部工程</w:t>
      </w:r>
      <w:r>
        <w:rPr>
          <w:rFonts w:hint="eastAsia" w:ascii="仿宋" w:hAnsi="仿宋" w:eastAsia="仿宋" w:cs="仿宋"/>
          <w:color w:val="000000" w:themeColor="text1"/>
          <w:kern w:val="2"/>
          <w:sz w:val="24"/>
          <w:szCs w:val="24"/>
          <w:lang w:val="en-US" w:eastAsia="zh-CN" w:bidi="ar-SA"/>
          <w14:textFill>
            <w14:solidFill>
              <w14:schemeClr w14:val="tx1"/>
            </w14:solidFill>
          </w14:textFill>
        </w:rPr>
        <w:t>的报价，并以供应商在工程量清单中提出的单价或总价为依据。</w:t>
      </w:r>
    </w:p>
    <w:p w14:paraId="4B43A2D5">
      <w:pPr>
        <w:spacing w:line="540" w:lineRule="exact"/>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3.供应商报价函中的总报价必须与工程量清单总报价一致。</w:t>
      </w:r>
    </w:p>
    <w:p w14:paraId="12F01607">
      <w:pPr>
        <w:spacing w:line="540" w:lineRule="exact"/>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注：（1）采购人在工程量清单中所列出的价格（包括安全文明施工费、暂列金额、暂估价等），供应商不得修改，否则由评标委员会作否决投标处理。</w:t>
      </w:r>
    </w:p>
    <w:p w14:paraId="755BB6CF">
      <w:pPr>
        <w:spacing w:line="540" w:lineRule="exact"/>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2）本次报价为综合单价报价，每项清单综合单价报价不得高于每项清单综合单价最高限价。报价包括但不限于完成本项目所实施内容的人工、材料、机械、管理费、规费、利润、税金、措施项目费、风险费等一切费用等。供应商根据本竞采文件、国家有关标准规范结合本项目特点，结合实际工作量、技术含量、难易程度、复杂性、经营决策、企业实力和市场行情等因素，计算费用并承担相应的风险自主报价。因成交供应商自身原因造成漏报、少报皆由其自行承担责任，采购人不再补偿。</w:t>
      </w:r>
    </w:p>
    <w:p w14:paraId="64604C3F">
      <w:pPr>
        <w:spacing w:line="540" w:lineRule="exact"/>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（二）结算方式：</w:t>
      </w:r>
    </w:p>
    <w:p w14:paraId="2515B39C">
      <w:pPr>
        <w:spacing w:line="540" w:lineRule="exact"/>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1.结算总价=中标单价×实际完成合格工程量+变更或新增±合同约定的其它因素（本项目最终结算总价以第三方审计机构审定的金额为准）</w:t>
      </w:r>
    </w:p>
    <w:p w14:paraId="13DD6EAE">
      <w:pPr>
        <w:spacing w:line="540" w:lineRule="exact"/>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注：（1）本工程实行综合单价承包模式，采购人按规定的建设内容和成交价格与成交供应商签订承施工合同但暂列金额、暂估价等：按《建设工程工程量清单计价规范》（GB50500-2013）、《重庆市建设工程工程量清单计价规则》（CQQDGZ-2013）、《重庆市市政工程计价定额》(2018)、《重庆市通用安装工程计价定额》(2018)、《重庆市建设工程施工机械台班定额》、《重庆市建设工程施工仪器仪表台班定额》、《重庆市建设工程混凝土及砂浆配合比表》、《重庆市住房和城乡建设委员会关于适用增值税新税率调整建设工程计价依据的通知》（渝建发〔2016〕35号）和渝建[2018]195号、《重庆市住房和城乡建设委员会关于适用增值税新税率调整建设工程计价依据的通知》（渝建〔2019〕143号）及国家、地方和行业的现行法律法规及相关配套文件规定进行结算。除工程在施工建设期间经采购人同意的重大设计变更准予调整外，其它擅自调整或变更设计的，结算时不予调整</w:t>
      </w:r>
    </w:p>
    <w:p w14:paraId="6DBDF757">
      <w:pPr>
        <w:spacing w:line="540" w:lineRule="exact"/>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（2）工程人工和材料（材料暂估价除外）价格在施工建设期间实际发生价格与发包价资料的价格相比，不论涨跌，结算时均不予调整.</w:t>
      </w:r>
    </w:p>
    <w:p w14:paraId="654ADE94">
      <w:pPr>
        <w:spacing w:line="540" w:lineRule="exact"/>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（3）变更或新增或工程专业工程暂估价以及在施工建设期间经采购人同意的重大设计变更，结算原则如下：</w:t>
      </w:r>
    </w:p>
    <w:p w14:paraId="33839908">
      <w:pPr>
        <w:spacing w:line="540" w:lineRule="exact"/>
        <w:ind w:firstLine="480" w:firstLineChars="200"/>
        <w:jc w:val="left"/>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若涉及工程变更部分工程量，由中标人按技术规范规定的计量方法，报经采购人认可的尺寸、断面计量。已标价工程量清单中有适用于变更工作的子目的，采用该子目的单价。已标价工程量清单中无适用于变更工作的子目，但有类似子目的，可在合理范围内参照类似子目的单价。已标价工程量清单中无相同项目亦无类似项目，由成交供应商会同、采购人按相关原则、编制方法编制补充，或参照重庆市场相同工作的市场价格上报采购人，最终价格按成交供应商、采购人共同询价确认的价格执行。</w:t>
      </w:r>
    </w:p>
    <w:bookmarkEnd w:id="58"/>
    <w:p w14:paraId="2BBFCC7D">
      <w:pPr>
        <w:widowControl/>
        <w:spacing w:line="360" w:lineRule="auto"/>
        <w:ind w:firstLine="482" w:firstLineChars="200"/>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62" w:name="_Toc30759"/>
      <w:r>
        <w:rPr>
          <w:rStyle w:val="74"/>
          <w:rFonts w:hint="eastAsia"/>
          <w:color w:val="000000" w:themeColor="text1"/>
          <w:lang w:val="en-US" w:eastAsia="zh-CN"/>
          <w14:textFill>
            <w14:solidFill>
              <w14:schemeClr w14:val="tx1"/>
            </w14:solidFill>
          </w14:textFill>
        </w:rPr>
        <w:t>四</w:t>
      </w:r>
      <w:r>
        <w:rPr>
          <w:rStyle w:val="74"/>
          <w:rFonts w:hint="eastAsia" w:ascii="Times New Roman" w:hAnsi="Times New Roman" w:eastAsia="宋体"/>
          <w:color w:val="000000" w:themeColor="text1"/>
          <w:lang w:val="en-US" w:eastAsia="zh-CN"/>
          <w14:textFill>
            <w14:solidFill>
              <w14:schemeClr w14:val="tx1"/>
            </w14:solidFill>
          </w14:textFill>
        </w:rPr>
        <w:t>、付款方式</w:t>
      </w:r>
      <w:bookmarkEnd w:id="59"/>
      <w:bookmarkEnd w:id="60"/>
      <w:bookmarkEnd w:id="61"/>
    </w:p>
    <w:bookmarkEnd w:id="62"/>
    <w:p w14:paraId="60A1F760">
      <w:pPr>
        <w:spacing w:line="360" w:lineRule="auto"/>
        <w:ind w:firstLine="480" w:firstLineChars="200"/>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（一）采购人根据财政资金具体到位情况而定，一次性支付至审定金额的97%，剩余3%留作质保金。</w:t>
      </w:r>
    </w:p>
    <w:p w14:paraId="5B2D1A74">
      <w:pPr>
        <w:widowControl/>
        <w:numPr>
          <w:ilvl w:val="0"/>
          <w:numId w:val="0"/>
        </w:numPr>
        <w:spacing w:line="360" w:lineRule="auto"/>
        <w:ind w:firstLine="482" w:firstLineChars="200"/>
        <w:jc w:val="left"/>
        <w:rPr>
          <w:rStyle w:val="74"/>
          <w:rFonts w:hint="eastAsia" w:ascii="Times New Roman" w:hAnsi="Times New Roman" w:eastAsia="宋体"/>
          <w:color w:val="000000" w:themeColor="text1"/>
          <w:highlight w:val="none"/>
          <w:lang w:val="en-US" w:eastAsia="zh-CN"/>
          <w14:textFill>
            <w14:solidFill>
              <w14:schemeClr w14:val="tx1"/>
            </w14:solidFill>
          </w14:textFill>
        </w:rPr>
      </w:pPr>
      <w:bookmarkStart w:id="63" w:name="_Toc16057"/>
      <w:r>
        <w:rPr>
          <w:rStyle w:val="74"/>
          <w:rFonts w:hint="eastAsia"/>
          <w:color w:val="000000" w:themeColor="text1"/>
          <w:highlight w:val="none"/>
          <w:lang w:val="en-US" w:eastAsia="zh-CN"/>
          <w14:textFill>
            <w14:solidFill>
              <w14:schemeClr w14:val="tx1"/>
            </w14:solidFill>
          </w14:textFill>
        </w:rPr>
        <w:t>五、</w:t>
      </w:r>
      <w:r>
        <w:rPr>
          <w:rStyle w:val="74"/>
          <w:rFonts w:hint="eastAsia" w:ascii="Times New Roman" w:hAnsi="Times New Roman" w:eastAsia="宋体"/>
          <w:color w:val="000000" w:themeColor="text1"/>
          <w:highlight w:val="none"/>
          <w:lang w:val="en-US" w:eastAsia="zh-CN"/>
          <w14:textFill>
            <w14:solidFill>
              <w14:schemeClr w14:val="tx1"/>
            </w14:solidFill>
          </w14:textFill>
        </w:rPr>
        <w:t>履约担保</w:t>
      </w:r>
    </w:p>
    <w:bookmarkEnd w:id="63"/>
    <w:p w14:paraId="140A6E55">
      <w:pPr>
        <w:pStyle w:val="56"/>
        <w:shd w:val="clear" w:color="auto" w:fill="FFFFFF"/>
        <w:spacing w:before="0" w:beforeAutospacing="0" w:after="0" w:afterAutospacing="0" w:line="360" w:lineRule="auto"/>
        <w:ind w:firstLine="480" w:firstLineChars="200"/>
        <w:jc w:val="both"/>
        <w:rPr>
          <w:rFonts w:ascii="仿宋" w:hAnsi="仿宋" w:eastAsia="仿宋" w:cs="仿宋"/>
          <w:color w:val="000000" w:themeColor="text1"/>
          <w:kern w:val="2"/>
          <w:szCs w:val="24"/>
          <w:highlight w:val="none"/>
          <w14:textFill>
            <w14:solidFill>
              <w14:schemeClr w14:val="tx1"/>
            </w14:solidFill>
          </w14:textFill>
        </w:rPr>
      </w:pPr>
      <w:bookmarkStart w:id="64" w:name="_Toc267320053"/>
      <w:bookmarkStart w:id="65" w:name="_Toc376184487"/>
      <w:bookmarkStart w:id="66" w:name="_Toc51655845"/>
      <w:r>
        <w:rPr>
          <w:rFonts w:hint="eastAsia" w:ascii="仿宋" w:hAnsi="仿宋" w:eastAsia="仿宋" w:cs="仿宋"/>
          <w:color w:val="000000" w:themeColor="text1"/>
          <w:kern w:val="2"/>
          <w:szCs w:val="24"/>
          <w:highlight w:val="none"/>
          <w14:textFill>
            <w14:solidFill>
              <w14:schemeClr w14:val="tx1"/>
            </w14:solidFill>
          </w14:textFill>
        </w:rPr>
        <w:t>1.履约担保的形式：现金或履约保函或现金+履约保函的组合，履约保函包括银行保函、保证保险和担保保函。</w:t>
      </w:r>
    </w:p>
    <w:p w14:paraId="5D2ABD23">
      <w:pPr>
        <w:pStyle w:val="56"/>
        <w:shd w:val="clear" w:color="auto" w:fill="FFFFFF"/>
        <w:spacing w:before="0" w:beforeAutospacing="0" w:after="0" w:afterAutospacing="0" w:line="360" w:lineRule="auto"/>
        <w:ind w:firstLine="480" w:firstLineChars="200"/>
        <w:jc w:val="both"/>
        <w:rPr>
          <w:rFonts w:ascii="仿宋" w:hAnsi="仿宋" w:eastAsia="仿宋" w:cs="仿宋"/>
          <w:color w:val="000000" w:themeColor="text1"/>
          <w:kern w:val="2"/>
          <w:szCs w:val="24"/>
          <w:highlight w:val="none"/>
          <w14:textFill>
            <w14:solidFill>
              <w14:schemeClr w14:val="tx1"/>
            </w14:solidFill>
          </w14:textFill>
        </w:rPr>
      </w:pPr>
      <w:r>
        <w:rPr>
          <w:rFonts w:hint="eastAsia" w:ascii="仿宋" w:hAnsi="仿宋" w:eastAsia="仿宋" w:cs="仿宋"/>
          <w:color w:val="000000" w:themeColor="text1"/>
          <w:kern w:val="2"/>
          <w:szCs w:val="24"/>
          <w:highlight w:val="none"/>
          <w:lang w:val="en-US" w:eastAsia="zh-CN"/>
          <w14:textFill>
            <w14:solidFill>
              <w14:schemeClr w14:val="tx1"/>
            </w14:solidFill>
          </w14:textFill>
        </w:rPr>
        <w:t>2</w:t>
      </w:r>
      <w:r>
        <w:rPr>
          <w:rFonts w:hint="eastAsia" w:ascii="仿宋" w:hAnsi="仿宋" w:eastAsia="仿宋" w:cs="仿宋"/>
          <w:color w:val="000000" w:themeColor="text1"/>
          <w:kern w:val="2"/>
          <w:szCs w:val="24"/>
          <w:highlight w:val="none"/>
          <w14:textFill>
            <w14:solidFill>
              <w14:schemeClr w14:val="tx1"/>
            </w14:solidFill>
          </w14:textFill>
        </w:rPr>
        <w:t>.履约担保的金额：中标合同金额的</w:t>
      </w:r>
      <w:r>
        <w:rPr>
          <w:rFonts w:hint="default" w:ascii="仿宋" w:hAnsi="仿宋" w:eastAsia="仿宋" w:cs="仿宋"/>
          <w:color w:val="000000" w:themeColor="text1"/>
          <w:kern w:val="2"/>
          <w:szCs w:val="24"/>
          <w:highlight w:val="none"/>
          <w14:textFill>
            <w14:solidFill>
              <w14:schemeClr w14:val="tx1"/>
            </w14:solidFill>
          </w14:textFill>
        </w:rPr>
        <w:t>10</w:t>
      </w:r>
      <w:r>
        <w:rPr>
          <w:rFonts w:hint="eastAsia" w:ascii="仿宋" w:hAnsi="仿宋" w:eastAsia="仿宋" w:cs="仿宋"/>
          <w:color w:val="000000" w:themeColor="text1"/>
          <w:kern w:val="2"/>
          <w:szCs w:val="24"/>
          <w:highlight w:val="none"/>
          <w14:textFill>
            <w14:solidFill>
              <w14:schemeClr w14:val="tx1"/>
            </w14:solidFill>
          </w14:textFill>
        </w:rPr>
        <w:t>%；</w:t>
      </w:r>
    </w:p>
    <w:p w14:paraId="00ABEE20">
      <w:pPr>
        <w:pStyle w:val="56"/>
        <w:shd w:val="clear" w:color="auto" w:fill="FFFFFF"/>
        <w:spacing w:before="0" w:beforeAutospacing="0" w:after="0" w:afterAutospacing="0" w:line="360" w:lineRule="auto"/>
        <w:ind w:firstLine="480" w:firstLineChars="200"/>
        <w:jc w:val="both"/>
        <w:rPr>
          <w:rFonts w:ascii="仿宋" w:hAnsi="仿宋" w:eastAsia="仿宋" w:cs="仿宋"/>
          <w:color w:val="000000" w:themeColor="text1"/>
          <w:kern w:val="2"/>
          <w:szCs w:val="24"/>
          <w:highlight w:val="none"/>
          <w14:textFill>
            <w14:solidFill>
              <w14:schemeClr w14:val="tx1"/>
            </w14:solidFill>
          </w14:textFill>
        </w:rPr>
      </w:pPr>
      <w:r>
        <w:rPr>
          <w:rFonts w:hint="eastAsia" w:ascii="仿宋" w:hAnsi="仿宋" w:eastAsia="仿宋" w:cs="仿宋"/>
          <w:color w:val="000000" w:themeColor="text1"/>
          <w:kern w:val="2"/>
          <w:szCs w:val="24"/>
          <w:highlight w:val="none"/>
          <w:lang w:val="en-US" w:eastAsia="zh-CN"/>
          <w14:textFill>
            <w14:solidFill>
              <w14:schemeClr w14:val="tx1"/>
            </w14:solidFill>
          </w14:textFill>
        </w:rPr>
        <w:t>3</w:t>
      </w:r>
      <w:r>
        <w:rPr>
          <w:rFonts w:hint="eastAsia" w:ascii="仿宋" w:hAnsi="仿宋" w:eastAsia="仿宋" w:cs="仿宋"/>
          <w:color w:val="000000" w:themeColor="text1"/>
          <w:kern w:val="2"/>
          <w:szCs w:val="24"/>
          <w:highlight w:val="none"/>
          <w14:textFill>
            <w14:solidFill>
              <w14:schemeClr w14:val="tx1"/>
            </w14:solidFill>
          </w14:textFill>
        </w:rPr>
        <w:t>.提交时间：中选承包商领取《</w:t>
      </w:r>
      <w:r>
        <w:rPr>
          <w:rFonts w:hint="eastAsia" w:ascii="仿宋" w:hAnsi="仿宋" w:eastAsia="仿宋" w:cs="仿宋"/>
          <w:color w:val="000000" w:themeColor="text1"/>
          <w:kern w:val="2"/>
          <w:szCs w:val="24"/>
          <w:highlight w:val="none"/>
          <w:lang w:eastAsia="zh-CN"/>
          <w14:textFill>
            <w14:solidFill>
              <w14:schemeClr w14:val="tx1"/>
            </w14:solidFill>
          </w14:textFill>
        </w:rPr>
        <w:t>中标</w:t>
      </w:r>
      <w:r>
        <w:rPr>
          <w:rFonts w:hint="eastAsia" w:ascii="仿宋" w:hAnsi="仿宋" w:eastAsia="仿宋" w:cs="仿宋"/>
          <w:color w:val="000000" w:themeColor="text1"/>
          <w:kern w:val="2"/>
          <w:szCs w:val="24"/>
          <w:highlight w:val="none"/>
          <w14:textFill>
            <w14:solidFill>
              <w14:schemeClr w14:val="tx1"/>
            </w14:solidFill>
          </w14:textFill>
        </w:rPr>
        <w:t>通知书》之日起10个工作日内，并作为签订施工合同的必备条件。</w:t>
      </w:r>
    </w:p>
    <w:p w14:paraId="13D097D9">
      <w:pPr>
        <w:snapToGrid w:val="0"/>
        <w:spacing w:line="360" w:lineRule="auto"/>
        <w:ind w:firstLine="480" w:firstLineChars="200"/>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.退还时间：采用现金担保的，工程竣工验收合格后5天内退还；采用银行保函的，工程竣工验收合格后5天内退还，或按工程实际情况约定分阶段退还。</w:t>
      </w:r>
    </w:p>
    <w:bookmarkEnd w:id="64"/>
    <w:bookmarkEnd w:id="65"/>
    <w:bookmarkEnd w:id="66"/>
    <w:p w14:paraId="1307355E">
      <w:pPr>
        <w:widowControl/>
        <w:spacing w:line="360" w:lineRule="auto"/>
        <w:ind w:firstLine="482" w:firstLineChars="200"/>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67" w:name="_Toc98"/>
      <w:bookmarkStart w:id="68" w:name="_Toc267320054"/>
      <w:r>
        <w:rPr>
          <w:rStyle w:val="74"/>
          <w:rFonts w:hint="eastAsia"/>
          <w:color w:val="000000" w:themeColor="text1"/>
          <w:lang w:val="en-US" w:eastAsia="zh-CN"/>
          <w14:textFill>
            <w14:solidFill>
              <w14:schemeClr w14:val="tx1"/>
            </w14:solidFill>
          </w14:textFill>
        </w:rPr>
        <w:t>六</w:t>
      </w:r>
      <w:r>
        <w:rPr>
          <w:rStyle w:val="74"/>
          <w:rFonts w:hint="eastAsia" w:ascii="Times New Roman" w:hAnsi="Times New Roman" w:eastAsia="宋体"/>
          <w:color w:val="000000" w:themeColor="text1"/>
          <w:lang w:val="en-US" w:eastAsia="zh-CN"/>
          <w14:textFill>
            <w14:solidFill>
              <w14:schemeClr w14:val="tx1"/>
            </w14:solidFill>
          </w14:textFill>
        </w:rPr>
        <w:t>、知识产权</w:t>
      </w:r>
    </w:p>
    <w:bookmarkEnd w:id="67"/>
    <w:p w14:paraId="009A75D4">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采购人在中华人民共和国境内使用成交供应商提供的项目内容及服务时免受第三方提出的侵犯其专利权或其它知识产权的起诉。如果第三方提出侵权指控，成交供应商应承担由此而引起的一切法律责任和费用。</w:t>
      </w:r>
    </w:p>
    <w:p w14:paraId="1768A30A">
      <w:pPr>
        <w:widowControl/>
        <w:spacing w:line="360" w:lineRule="auto"/>
        <w:ind w:firstLine="482" w:firstLineChars="200"/>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69" w:name="_Toc376184488"/>
      <w:bookmarkStart w:id="70" w:name="_Toc51655846"/>
      <w:bookmarkStart w:id="71" w:name="_Toc22843"/>
      <w:r>
        <w:rPr>
          <w:rStyle w:val="74"/>
          <w:rFonts w:hint="eastAsia"/>
          <w:color w:val="000000" w:themeColor="text1"/>
          <w:lang w:val="en-US" w:eastAsia="zh-CN"/>
          <w14:textFill>
            <w14:solidFill>
              <w14:schemeClr w14:val="tx1"/>
            </w14:solidFill>
          </w14:textFill>
        </w:rPr>
        <w:t>七</w:t>
      </w:r>
      <w:r>
        <w:rPr>
          <w:rStyle w:val="74"/>
          <w:rFonts w:hint="eastAsia" w:ascii="Times New Roman" w:hAnsi="Times New Roman" w:eastAsia="宋体"/>
          <w:color w:val="000000" w:themeColor="text1"/>
          <w:lang w:val="en-US" w:eastAsia="zh-CN"/>
          <w14:textFill>
            <w14:solidFill>
              <w14:schemeClr w14:val="tx1"/>
            </w14:solidFill>
          </w14:textFill>
        </w:rPr>
        <w:t>、其他</w:t>
      </w:r>
      <w:bookmarkEnd w:id="68"/>
      <w:bookmarkEnd w:id="69"/>
      <w:bookmarkEnd w:id="70"/>
    </w:p>
    <w:bookmarkEnd w:id="71"/>
    <w:p w14:paraId="6A27D129">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（一）供应商必须在</w:t>
      </w:r>
      <w:r>
        <w:rPr>
          <w:rFonts w:hint="eastAsia" w:ascii="仿宋" w:hAnsi="仿宋" w:eastAsia="仿宋" w:cs="仿宋"/>
          <w:color w:val="000000" w:themeColor="text1"/>
          <w:sz w:val="24"/>
          <w:szCs w:val="24"/>
          <w:lang w:eastAsia="zh-CN"/>
          <w14:textFill>
            <w14:solidFill>
              <w14:schemeClr w14:val="tx1"/>
            </w14:solidFill>
          </w14:textFill>
        </w:rPr>
        <w:t>响应</w:t>
      </w:r>
      <w:r>
        <w:rPr>
          <w:rFonts w:hint="eastAsia" w:ascii="仿宋" w:hAnsi="仿宋" w:eastAsia="仿宋" w:cs="仿宋"/>
          <w:color w:val="000000" w:themeColor="text1"/>
          <w:sz w:val="24"/>
          <w:szCs w:val="24"/>
          <w14:textFill>
            <w14:solidFill>
              <w14:schemeClr w14:val="tx1"/>
            </w14:solidFill>
          </w14:textFill>
        </w:rPr>
        <w:t>文件中对以上条款和服务承诺明确列出，承诺内容必须达到本篇及</w:t>
      </w:r>
      <w:r>
        <w:rPr>
          <w:rFonts w:hint="eastAsia" w:ascii="仿宋" w:hAnsi="仿宋" w:eastAsia="仿宋" w:cs="仿宋"/>
          <w:color w:val="000000" w:themeColor="text1"/>
          <w:sz w:val="24"/>
          <w:szCs w:val="24"/>
          <w:lang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文件其他条款的要求。</w:t>
      </w:r>
    </w:p>
    <w:p w14:paraId="77969FD0">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（二）其他未尽事宜由供需双方在采购合同中详细约定。</w:t>
      </w:r>
      <w:bookmarkEnd w:id="40"/>
    </w:p>
    <w:p w14:paraId="19921292">
      <w:pPr>
        <w:pStyle w:val="2"/>
        <w:rPr>
          <w:rFonts w:hint="eastAsia" w:ascii="仿宋" w:hAnsi="仿宋" w:eastAsia="仿宋" w:cs="仿宋"/>
          <w:color w:val="000000" w:themeColor="text1"/>
          <w:sz w:val="24"/>
          <w:szCs w:val="24"/>
          <w14:textFill>
            <w14:solidFill>
              <w14:schemeClr w14:val="tx1"/>
            </w14:solidFill>
          </w14:textFill>
        </w:rPr>
      </w:pPr>
    </w:p>
    <w:p w14:paraId="7E7D75F0">
      <w:pPr>
        <w:rPr>
          <w:rFonts w:hint="eastAsia"/>
          <w:color w:val="000000" w:themeColor="text1"/>
          <w14:textFill>
            <w14:solidFill>
              <w14:schemeClr w14:val="tx1"/>
            </w14:solidFill>
          </w14:textFill>
        </w:rPr>
      </w:pPr>
    </w:p>
    <w:p w14:paraId="490644D4">
      <w:pPr>
        <w:spacing w:line="360" w:lineRule="auto"/>
        <w:rPr>
          <w:rFonts w:hint="eastAsia"/>
          <w:color w:val="000000" w:themeColor="text1"/>
          <w14:textFill>
            <w14:solidFill>
              <w14:schemeClr w14:val="tx1"/>
            </w14:solidFill>
          </w14:textFill>
        </w:rPr>
      </w:pPr>
    </w:p>
    <w:p w14:paraId="47F4687D">
      <w:pPr>
        <w:pStyle w:val="78"/>
        <w:spacing w:line="360" w:lineRule="auto"/>
        <w:rPr>
          <w:rFonts w:hint="eastAsia"/>
          <w:color w:val="000000" w:themeColor="text1"/>
          <w14:textFill>
            <w14:solidFill>
              <w14:schemeClr w14:val="tx1"/>
            </w14:solidFill>
          </w14:textFill>
        </w:rPr>
      </w:pPr>
    </w:p>
    <w:p w14:paraId="19AFDAAE">
      <w:pPr>
        <w:pStyle w:val="4"/>
        <w:spacing w:line="360" w:lineRule="auto"/>
        <w:jc w:val="center"/>
        <w:rPr>
          <w:rFonts w:hint="eastAsia" w:ascii="仿宋" w:hAnsi="仿宋" w:eastAsia="仿宋" w:cs="仿宋"/>
          <w:color w:val="000000" w:themeColor="text1"/>
          <w:sz w:val="28"/>
          <w:szCs w:val="28"/>
          <w14:textFill>
            <w14:solidFill>
              <w14:schemeClr w14:val="tx1"/>
            </w14:solidFill>
          </w14:textFill>
        </w:rPr>
      </w:pPr>
    </w:p>
    <w:p w14:paraId="43CD04FB">
      <w:pPr>
        <w:spacing w:line="360" w:lineRule="auto"/>
        <w:rPr>
          <w:rFonts w:hint="eastAsia" w:ascii="仿宋" w:hAnsi="仿宋" w:eastAsia="仿宋" w:cs="仿宋"/>
          <w:color w:val="000000" w:themeColor="text1"/>
          <w:sz w:val="28"/>
          <w:szCs w:val="28"/>
          <w14:textFill>
            <w14:solidFill>
              <w14:schemeClr w14:val="tx1"/>
            </w14:solidFill>
          </w14:textFill>
        </w:rPr>
      </w:pPr>
    </w:p>
    <w:p w14:paraId="31F54BF6">
      <w:pPr>
        <w:pStyle w:val="2"/>
        <w:rPr>
          <w:rFonts w:hint="eastAsia" w:ascii="仿宋" w:hAnsi="仿宋" w:eastAsia="仿宋" w:cs="仿宋"/>
          <w:color w:val="000000" w:themeColor="text1"/>
          <w:sz w:val="28"/>
          <w:szCs w:val="28"/>
          <w14:textFill>
            <w14:solidFill>
              <w14:schemeClr w14:val="tx1"/>
            </w14:solidFill>
          </w14:textFill>
        </w:rPr>
      </w:pPr>
    </w:p>
    <w:p w14:paraId="4663F290">
      <w:pPr>
        <w:rPr>
          <w:rFonts w:hint="eastAsia" w:ascii="仿宋" w:hAnsi="仿宋" w:eastAsia="仿宋" w:cs="仿宋"/>
          <w:color w:val="000000" w:themeColor="text1"/>
          <w:sz w:val="28"/>
          <w:szCs w:val="28"/>
          <w14:textFill>
            <w14:solidFill>
              <w14:schemeClr w14:val="tx1"/>
            </w14:solidFill>
          </w14:textFill>
        </w:rPr>
      </w:pPr>
    </w:p>
    <w:p w14:paraId="40AF0C41">
      <w:pPr>
        <w:pStyle w:val="2"/>
        <w:rPr>
          <w:rFonts w:hint="eastAsia" w:ascii="仿宋" w:hAnsi="仿宋" w:eastAsia="仿宋" w:cs="仿宋"/>
          <w:color w:val="000000" w:themeColor="text1"/>
          <w:sz w:val="28"/>
          <w:szCs w:val="28"/>
          <w14:textFill>
            <w14:solidFill>
              <w14:schemeClr w14:val="tx1"/>
            </w14:solidFill>
          </w14:textFill>
        </w:rPr>
      </w:pPr>
    </w:p>
    <w:p w14:paraId="36DE3376">
      <w:pPr>
        <w:rPr>
          <w:rFonts w:hint="eastAsia" w:ascii="仿宋" w:hAnsi="仿宋" w:eastAsia="仿宋" w:cs="仿宋"/>
          <w:color w:val="000000" w:themeColor="text1"/>
          <w:sz w:val="28"/>
          <w:szCs w:val="28"/>
          <w14:textFill>
            <w14:solidFill>
              <w14:schemeClr w14:val="tx1"/>
            </w14:solidFill>
          </w14:textFill>
        </w:rPr>
      </w:pPr>
    </w:p>
    <w:p w14:paraId="5CD99BA8">
      <w:pPr>
        <w:pStyle w:val="2"/>
        <w:rPr>
          <w:rFonts w:hint="eastAsia" w:ascii="仿宋" w:hAnsi="仿宋" w:eastAsia="仿宋" w:cs="仿宋"/>
          <w:color w:val="000000" w:themeColor="text1"/>
          <w:sz w:val="28"/>
          <w:szCs w:val="28"/>
          <w14:textFill>
            <w14:solidFill>
              <w14:schemeClr w14:val="tx1"/>
            </w14:solidFill>
          </w14:textFill>
        </w:rPr>
      </w:pPr>
    </w:p>
    <w:p w14:paraId="6DEB1804">
      <w:pPr>
        <w:rPr>
          <w:rFonts w:hint="eastAsia"/>
          <w:color w:val="000000" w:themeColor="text1"/>
          <w14:textFill>
            <w14:solidFill>
              <w14:schemeClr w14:val="tx1"/>
            </w14:solidFill>
          </w14:textFill>
        </w:rPr>
      </w:pPr>
    </w:p>
    <w:p w14:paraId="16111EBE">
      <w:pPr>
        <w:pStyle w:val="2"/>
        <w:rPr>
          <w:rFonts w:hint="eastAsia"/>
          <w:color w:val="000000" w:themeColor="text1"/>
          <w14:textFill>
            <w14:solidFill>
              <w14:schemeClr w14:val="tx1"/>
            </w14:solidFill>
          </w14:textFill>
        </w:rPr>
      </w:pPr>
    </w:p>
    <w:p w14:paraId="0CDF34D4">
      <w:pPr>
        <w:rPr>
          <w:rFonts w:hint="eastAsia"/>
          <w:color w:val="000000" w:themeColor="text1"/>
          <w14:textFill>
            <w14:solidFill>
              <w14:schemeClr w14:val="tx1"/>
            </w14:solidFill>
          </w14:textFill>
        </w:rPr>
      </w:pPr>
    </w:p>
    <w:p w14:paraId="12951E1F">
      <w:pPr>
        <w:pStyle w:val="2"/>
        <w:rPr>
          <w:rFonts w:hint="eastAsia"/>
          <w:color w:val="000000" w:themeColor="text1"/>
          <w14:textFill>
            <w14:solidFill>
              <w14:schemeClr w14:val="tx1"/>
            </w14:solidFill>
          </w14:textFill>
        </w:rPr>
      </w:pPr>
    </w:p>
    <w:p w14:paraId="1E8D7862">
      <w:pPr>
        <w:rPr>
          <w:rFonts w:hint="eastAsia"/>
          <w:color w:val="000000" w:themeColor="text1"/>
          <w14:textFill>
            <w14:solidFill>
              <w14:schemeClr w14:val="tx1"/>
            </w14:solidFill>
          </w14:textFill>
        </w:rPr>
      </w:pPr>
    </w:p>
    <w:p w14:paraId="47882E66">
      <w:pPr>
        <w:pStyle w:val="2"/>
        <w:rPr>
          <w:rFonts w:hint="eastAsia"/>
          <w:color w:val="000000" w:themeColor="text1"/>
          <w14:textFill>
            <w14:solidFill>
              <w14:schemeClr w14:val="tx1"/>
            </w14:solidFill>
          </w14:textFill>
        </w:rPr>
      </w:pPr>
    </w:p>
    <w:p w14:paraId="2D9F6EEC">
      <w:pPr>
        <w:rPr>
          <w:rFonts w:hint="eastAsia"/>
          <w:color w:val="000000" w:themeColor="text1"/>
          <w14:textFill>
            <w14:solidFill>
              <w14:schemeClr w14:val="tx1"/>
            </w14:solidFill>
          </w14:textFill>
        </w:rPr>
      </w:pPr>
    </w:p>
    <w:p w14:paraId="52C8E9F3">
      <w:pPr>
        <w:pStyle w:val="2"/>
        <w:rPr>
          <w:rFonts w:hint="eastAsia"/>
          <w:color w:val="000000" w:themeColor="text1"/>
          <w14:textFill>
            <w14:solidFill>
              <w14:schemeClr w14:val="tx1"/>
            </w14:solidFill>
          </w14:textFill>
        </w:rPr>
      </w:pPr>
    </w:p>
    <w:p w14:paraId="72A8E832">
      <w:pPr>
        <w:rPr>
          <w:rFonts w:hint="eastAsia"/>
          <w:color w:val="000000" w:themeColor="text1"/>
          <w14:textFill>
            <w14:solidFill>
              <w14:schemeClr w14:val="tx1"/>
            </w14:solidFill>
          </w14:textFill>
        </w:rPr>
      </w:pPr>
    </w:p>
    <w:p w14:paraId="726CDBA0">
      <w:pPr>
        <w:pStyle w:val="2"/>
        <w:rPr>
          <w:rFonts w:hint="eastAsia"/>
          <w:color w:val="000000" w:themeColor="text1"/>
          <w14:textFill>
            <w14:solidFill>
              <w14:schemeClr w14:val="tx1"/>
            </w14:solidFill>
          </w14:textFill>
        </w:rPr>
      </w:pPr>
    </w:p>
    <w:p w14:paraId="1F649759">
      <w:pPr>
        <w:rPr>
          <w:rFonts w:hint="eastAsia"/>
          <w:color w:val="000000" w:themeColor="text1"/>
          <w14:textFill>
            <w14:solidFill>
              <w14:schemeClr w14:val="tx1"/>
            </w14:solidFill>
          </w14:textFill>
        </w:rPr>
      </w:pPr>
    </w:p>
    <w:p w14:paraId="2123AF68">
      <w:pPr>
        <w:pStyle w:val="2"/>
        <w:rPr>
          <w:rFonts w:hint="eastAsia"/>
          <w:color w:val="000000" w:themeColor="text1"/>
          <w14:textFill>
            <w14:solidFill>
              <w14:schemeClr w14:val="tx1"/>
            </w14:solidFill>
          </w14:textFill>
        </w:rPr>
      </w:pPr>
    </w:p>
    <w:p w14:paraId="651C1ED3">
      <w:pPr>
        <w:rPr>
          <w:rFonts w:hint="eastAsia"/>
          <w:color w:val="000000" w:themeColor="text1"/>
          <w14:textFill>
            <w14:solidFill>
              <w14:schemeClr w14:val="tx1"/>
            </w14:solidFill>
          </w14:textFill>
        </w:rPr>
      </w:pPr>
    </w:p>
    <w:p w14:paraId="4D14A807">
      <w:pPr>
        <w:pStyle w:val="2"/>
        <w:rPr>
          <w:rFonts w:hint="eastAsia"/>
          <w:color w:val="000000" w:themeColor="text1"/>
          <w14:textFill>
            <w14:solidFill>
              <w14:schemeClr w14:val="tx1"/>
            </w14:solidFill>
          </w14:textFill>
        </w:rPr>
      </w:pPr>
    </w:p>
    <w:p w14:paraId="64A9A412">
      <w:pPr>
        <w:rPr>
          <w:rFonts w:hint="eastAsia"/>
          <w:color w:val="000000" w:themeColor="text1"/>
          <w14:textFill>
            <w14:solidFill>
              <w14:schemeClr w14:val="tx1"/>
            </w14:solidFill>
          </w14:textFill>
        </w:rPr>
      </w:pPr>
    </w:p>
    <w:p w14:paraId="591306C2">
      <w:pPr>
        <w:pStyle w:val="2"/>
        <w:rPr>
          <w:rFonts w:hint="eastAsia"/>
        </w:rPr>
      </w:pPr>
    </w:p>
    <w:p w14:paraId="6D79EC1B">
      <w:pPr>
        <w:rPr>
          <w:rFonts w:hint="eastAsia"/>
        </w:rPr>
      </w:pPr>
    </w:p>
    <w:p w14:paraId="6EC8FD35">
      <w:pPr>
        <w:pStyle w:val="2"/>
        <w:rPr>
          <w:rFonts w:hint="eastAsia"/>
        </w:rPr>
      </w:pPr>
    </w:p>
    <w:p w14:paraId="7A40FA90">
      <w:pPr>
        <w:rPr>
          <w:rFonts w:hint="eastAsia"/>
        </w:rPr>
      </w:pPr>
    </w:p>
    <w:p w14:paraId="35D6FE3A">
      <w:pPr>
        <w:pStyle w:val="2"/>
        <w:rPr>
          <w:rFonts w:hint="eastAsia"/>
        </w:rPr>
      </w:pPr>
    </w:p>
    <w:p w14:paraId="3FFDCA74">
      <w:pPr>
        <w:pStyle w:val="76"/>
        <w:rPr>
          <w:rFonts w:hint="eastAsia"/>
          <w:color w:val="000000" w:themeColor="text1"/>
          <w14:textFill>
            <w14:solidFill>
              <w14:schemeClr w14:val="tx1"/>
            </w14:solidFill>
          </w14:textFill>
        </w:rPr>
      </w:pPr>
    </w:p>
    <w:p w14:paraId="69F56F2B">
      <w:pPr>
        <w:pStyle w:val="4"/>
        <w:spacing w:line="360" w:lineRule="auto"/>
        <w:ind w:firstLine="1405" w:firstLineChars="500"/>
        <w:jc w:val="both"/>
        <w:rPr>
          <w:rFonts w:hint="eastAsia" w:ascii="仿宋" w:hAnsi="仿宋" w:eastAsia="仿宋" w:cs="仿宋"/>
          <w:b w:val="0"/>
          <w:color w:val="000000" w:themeColor="text1"/>
          <w:sz w:val="28"/>
          <w:szCs w:val="28"/>
          <w14:textFill>
            <w14:solidFill>
              <w14:schemeClr w14:val="tx1"/>
            </w14:solidFill>
          </w14:textFill>
        </w:rPr>
      </w:pPr>
      <w:bookmarkStart w:id="72" w:name="_Toc7012"/>
      <w:r>
        <w:rPr>
          <w:rFonts w:hint="eastAsia" w:ascii="仿宋" w:hAnsi="仿宋" w:eastAsia="仿宋" w:cs="仿宋"/>
          <w:color w:val="000000" w:themeColor="text1"/>
          <w:sz w:val="28"/>
          <w:szCs w:val="28"/>
          <w14:textFill>
            <w14:solidFill>
              <w14:schemeClr w14:val="tx1"/>
            </w14:solidFill>
          </w14:textFill>
        </w:rPr>
        <w:t xml:space="preserve">第四篇  </w:t>
      </w:r>
      <w:bookmarkEnd w:id="41"/>
      <w:bookmarkEnd w:id="42"/>
      <w:r>
        <w:rPr>
          <w:rFonts w:hint="eastAsia" w:ascii="仿宋" w:hAnsi="仿宋" w:eastAsia="仿宋" w:cs="仿宋"/>
          <w:color w:val="000000" w:themeColor="text1"/>
          <w:sz w:val="28"/>
          <w:szCs w:val="28"/>
          <w:lang w:val="en-US" w:eastAsia="zh-CN"/>
          <w14:textFill>
            <w14:solidFill>
              <w14:schemeClr w14:val="tx1"/>
            </w14:solidFill>
          </w14:textFill>
        </w:rPr>
        <w:t>采购</w:t>
      </w:r>
      <w:r>
        <w:rPr>
          <w:rFonts w:hint="eastAsia" w:ascii="仿宋" w:hAnsi="仿宋" w:eastAsia="仿宋" w:cs="仿宋"/>
          <w:color w:val="000000" w:themeColor="text1"/>
          <w:sz w:val="28"/>
          <w:szCs w:val="28"/>
          <w14:textFill>
            <w14:solidFill>
              <w14:schemeClr w14:val="tx1"/>
            </w14:solidFill>
          </w14:textFill>
        </w:rPr>
        <w:t>程序、成交原则、无效</w:t>
      </w:r>
      <w:r>
        <w:rPr>
          <w:rFonts w:hint="eastAsia" w:ascii="仿宋" w:hAnsi="仿宋" w:eastAsia="仿宋" w:cs="仿宋"/>
          <w:color w:val="000000" w:themeColor="text1"/>
          <w:sz w:val="28"/>
          <w:szCs w:val="28"/>
          <w:lang w:val="en-US" w:eastAsia="zh-CN"/>
          <w14:textFill>
            <w14:solidFill>
              <w14:schemeClr w14:val="tx1"/>
            </w14:solidFill>
          </w14:textFill>
        </w:rPr>
        <w:t>采购</w:t>
      </w:r>
      <w:r>
        <w:rPr>
          <w:rFonts w:hint="eastAsia" w:ascii="仿宋" w:hAnsi="仿宋" w:eastAsia="仿宋" w:cs="仿宋"/>
          <w:color w:val="000000" w:themeColor="text1"/>
          <w:sz w:val="28"/>
          <w:szCs w:val="28"/>
          <w14:textFill>
            <w14:solidFill>
              <w14:schemeClr w14:val="tx1"/>
            </w14:solidFill>
          </w14:textFill>
        </w:rPr>
        <w:t>及采购终止</w:t>
      </w:r>
      <w:bookmarkEnd w:id="72"/>
    </w:p>
    <w:p w14:paraId="6A40282C">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73" w:name="_Toc15418"/>
      <w:r>
        <w:rPr>
          <w:rStyle w:val="74"/>
          <w:rFonts w:hint="eastAsia" w:ascii="Times New Roman" w:hAnsi="Times New Roman" w:eastAsia="宋体"/>
          <w:color w:val="000000" w:themeColor="text1"/>
          <w:lang w:val="en-US" w:eastAsia="zh-CN"/>
          <w14:textFill>
            <w14:solidFill>
              <w14:schemeClr w14:val="tx1"/>
            </w14:solidFill>
          </w14:textFill>
        </w:rPr>
        <w:t>一、</w:t>
      </w:r>
      <w:r>
        <w:rPr>
          <w:rStyle w:val="74"/>
          <w:rFonts w:hint="eastAsia"/>
          <w:color w:val="000000" w:themeColor="text1"/>
          <w:lang w:val="en-US" w:eastAsia="zh-CN"/>
          <w14:textFill>
            <w14:solidFill>
              <w14:schemeClr w14:val="tx1"/>
            </w14:solidFill>
          </w14:textFill>
        </w:rPr>
        <w:t>采购</w:t>
      </w:r>
      <w:r>
        <w:rPr>
          <w:rStyle w:val="74"/>
          <w:rFonts w:hint="eastAsia" w:ascii="Times New Roman" w:hAnsi="Times New Roman" w:eastAsia="宋体"/>
          <w:color w:val="000000" w:themeColor="text1"/>
          <w:lang w:val="en-US" w:eastAsia="zh-CN"/>
          <w14:textFill>
            <w14:solidFill>
              <w14:schemeClr w14:val="tx1"/>
            </w14:solidFill>
          </w14:textFill>
        </w:rPr>
        <w:t>程序</w:t>
      </w:r>
    </w:p>
    <w:bookmarkEnd w:id="73"/>
    <w:p w14:paraId="299200FB">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w:t>
      </w:r>
      <w:r>
        <w:rPr>
          <w:rFonts w:hint="eastAsia" w:ascii="仿宋" w:hAnsi="仿宋" w:eastAsia="仿宋" w:cs="仿宋"/>
          <w:color w:val="000000" w:themeColor="text1"/>
          <w:kern w:val="0"/>
          <w:sz w:val="24"/>
          <w:szCs w:val="24"/>
          <w14:textFill>
            <w14:solidFill>
              <w14:schemeClr w14:val="tx1"/>
            </w14:solidFill>
          </w14:textFill>
        </w:rPr>
        <w:t>本项目按照</w:t>
      </w:r>
      <w:r>
        <w:rPr>
          <w:rFonts w:hint="eastAsia" w:ascii="仿宋" w:hAnsi="仿宋" w:eastAsia="仿宋" w:cs="仿宋"/>
          <w:color w:val="000000" w:themeColor="text1"/>
          <w:kern w:val="0"/>
          <w:sz w:val="24"/>
          <w:szCs w:val="24"/>
          <w:lang w:val="en-US" w:eastAsia="zh-CN"/>
          <w14:textFill>
            <w14:solidFill>
              <w14:schemeClr w14:val="tx1"/>
            </w14:solidFill>
          </w14:textFill>
        </w:rPr>
        <w:t>采购</w:t>
      </w:r>
      <w:r>
        <w:rPr>
          <w:rFonts w:hint="eastAsia" w:ascii="仿宋" w:hAnsi="仿宋" w:eastAsia="仿宋" w:cs="仿宋"/>
          <w:color w:val="000000" w:themeColor="text1"/>
          <w:kern w:val="0"/>
          <w:sz w:val="24"/>
          <w:szCs w:val="24"/>
          <w:lang w:eastAsia="zh-CN"/>
          <w14:textFill>
            <w14:solidFill>
              <w14:schemeClr w14:val="tx1"/>
            </w14:solidFill>
          </w14:textFill>
        </w:rPr>
        <w:t>公告</w:t>
      </w:r>
      <w:r>
        <w:rPr>
          <w:rFonts w:hint="eastAsia" w:ascii="仿宋" w:hAnsi="仿宋" w:eastAsia="仿宋" w:cs="仿宋"/>
          <w:color w:val="000000" w:themeColor="text1"/>
          <w:kern w:val="0"/>
          <w:sz w:val="24"/>
          <w:szCs w:val="24"/>
          <w14:textFill>
            <w14:solidFill>
              <w14:schemeClr w14:val="tx1"/>
            </w14:solidFill>
          </w14:textFill>
        </w:rPr>
        <w:t>规定的时间和地点进行，</w:t>
      </w:r>
      <w:r>
        <w:rPr>
          <w:rFonts w:hint="eastAsia" w:ascii="仿宋" w:hAnsi="仿宋" w:eastAsia="仿宋" w:cs="仿宋"/>
          <w:color w:val="000000" w:themeColor="text1"/>
          <w:sz w:val="24"/>
          <w:szCs w:val="24"/>
          <w14:textFill>
            <w14:solidFill>
              <w14:schemeClr w14:val="tx1"/>
            </w14:solidFill>
          </w14:textFill>
        </w:rPr>
        <w:t>供应商须有法定代表人或其授权代表</w:t>
      </w:r>
      <w:r>
        <w:rPr>
          <w:rFonts w:hint="eastAsia" w:ascii="仿宋" w:hAnsi="仿宋" w:eastAsia="仿宋" w:cs="仿宋"/>
          <w:color w:val="000000" w:themeColor="text1"/>
          <w:sz w:val="24"/>
          <w:szCs w:val="24"/>
          <w:lang w:eastAsia="zh-CN"/>
          <w14:textFill>
            <w14:solidFill>
              <w14:schemeClr w14:val="tx1"/>
            </w14:solidFill>
          </w14:textFill>
        </w:rPr>
        <w:t>、采购人代表、</w:t>
      </w:r>
      <w:r>
        <w:rPr>
          <w:rFonts w:hint="eastAsia" w:ascii="仿宋" w:hAnsi="仿宋" w:eastAsia="仿宋" w:cs="仿宋"/>
          <w:color w:val="000000" w:themeColor="text1"/>
          <w:sz w:val="24"/>
          <w:szCs w:val="24"/>
          <w:lang w:val="en-US" w:eastAsia="zh-CN"/>
          <w14:textFill>
            <w14:solidFill>
              <w14:schemeClr w14:val="tx1"/>
            </w14:solidFill>
          </w14:textFill>
        </w:rPr>
        <w:t>评委</w:t>
      </w:r>
      <w:r>
        <w:rPr>
          <w:rFonts w:hint="eastAsia" w:ascii="仿宋" w:hAnsi="仿宋" w:eastAsia="仿宋" w:cs="仿宋"/>
          <w:color w:val="000000" w:themeColor="text1"/>
          <w:sz w:val="24"/>
          <w:szCs w:val="24"/>
          <w:lang w:eastAsia="zh-CN"/>
          <w14:textFill>
            <w14:solidFill>
              <w14:schemeClr w14:val="tx1"/>
            </w14:solidFill>
          </w14:textFill>
        </w:rPr>
        <w:t>及采购代理机构</w:t>
      </w:r>
      <w:r>
        <w:rPr>
          <w:rFonts w:hint="eastAsia" w:ascii="仿宋" w:hAnsi="仿宋" w:eastAsia="仿宋" w:cs="仿宋"/>
          <w:color w:val="000000" w:themeColor="text1"/>
          <w:sz w:val="24"/>
          <w:szCs w:val="24"/>
          <w14:textFill>
            <w14:solidFill>
              <w14:schemeClr w14:val="tx1"/>
            </w14:solidFill>
          </w14:textFill>
        </w:rPr>
        <w:t>参加并签到</w:t>
      </w:r>
      <w:r>
        <w:rPr>
          <w:rFonts w:hint="eastAsia" w:ascii="仿宋" w:hAnsi="仿宋" w:eastAsia="仿宋" w:cs="仿宋"/>
          <w:color w:val="000000" w:themeColor="text1"/>
          <w:sz w:val="24"/>
          <w:szCs w:val="24"/>
          <w:lang w:eastAsia="zh-CN"/>
          <w14:textFill>
            <w14:solidFill>
              <w14:schemeClr w14:val="tx1"/>
            </w14:solidFill>
          </w14:textFill>
        </w:rPr>
        <w:t>；采购代理机构按照相关流程开展竞采购活动</w:t>
      </w:r>
      <w:r>
        <w:rPr>
          <w:rFonts w:hint="eastAsia" w:ascii="仿宋" w:hAnsi="仿宋" w:eastAsia="仿宋" w:cs="仿宋"/>
          <w:color w:val="000000" w:themeColor="text1"/>
          <w:sz w:val="24"/>
          <w:szCs w:val="24"/>
          <w14:textFill>
            <w14:solidFill>
              <w14:schemeClr w14:val="tx1"/>
            </w14:solidFill>
          </w14:textFill>
        </w:rPr>
        <w:t>。</w:t>
      </w:r>
    </w:p>
    <w:p w14:paraId="24925240">
      <w:pPr>
        <w:spacing w:line="360" w:lineRule="auto"/>
        <w:ind w:firstLine="484" w:firstLineChars="202"/>
        <w:rPr>
          <w:rFonts w:hint="default" w:ascii="仿宋" w:hAnsi="仿宋" w:eastAsia="仿宋" w:cs="仿宋"/>
          <w:color w:val="000000" w:themeColor="text1"/>
          <w:sz w:val="24"/>
          <w:szCs w:val="24"/>
          <w:lang w:val="en-US"/>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（二）</w:t>
      </w:r>
      <w:r>
        <w:rPr>
          <w:rFonts w:hint="eastAsia" w:ascii="仿宋" w:hAnsi="仿宋" w:eastAsia="仿宋" w:cs="仿宋"/>
          <w:color w:val="000000" w:themeColor="text1"/>
          <w:sz w:val="24"/>
          <w:szCs w:val="24"/>
          <w:lang w:val="en-US" w:eastAsia="zh-CN"/>
          <w14:textFill>
            <w14:solidFill>
              <w14:schemeClr w14:val="tx1"/>
            </w14:solidFill>
          </w14:textFill>
        </w:rPr>
        <w:t xml:space="preserve">采购小组（即评审委员会）原则上由三人评委组成（采购人自行组建）。评审委员会成员到位后，推举其中一位评审专家担任评审组长，并由评审组长牵头组织该项目评审工作。    </w:t>
      </w:r>
    </w:p>
    <w:p w14:paraId="26B36E84">
      <w:pPr>
        <w:spacing w:line="360" w:lineRule="auto"/>
        <w:ind w:firstLine="484" w:firstLineChars="202"/>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（二）资格性符合性检查：</w:t>
      </w:r>
    </w:p>
    <w:p w14:paraId="39A7F63E">
      <w:pPr>
        <w:snapToGrid w:val="0"/>
        <w:spacing w:line="360" w:lineRule="auto"/>
        <w:ind w:firstLine="480" w:firstLineChars="200"/>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1.资格性检查。依据法律法规和</w:t>
      </w:r>
      <w:r>
        <w:rPr>
          <w:rFonts w:hint="eastAsia" w:ascii="仿宋" w:hAnsi="仿宋" w:eastAsia="仿宋" w:cs="仿宋"/>
          <w:color w:val="000000" w:themeColor="text1"/>
          <w:kern w:val="0"/>
          <w:sz w:val="24"/>
          <w:szCs w:val="24"/>
          <w:lang w:eastAsia="zh-CN"/>
          <w14:textFill>
            <w14:solidFill>
              <w14:schemeClr w14:val="tx1"/>
            </w14:solidFill>
          </w14:textFill>
        </w:rPr>
        <w:t>采购</w:t>
      </w:r>
      <w:r>
        <w:rPr>
          <w:rFonts w:hint="eastAsia" w:ascii="仿宋" w:hAnsi="仿宋" w:eastAsia="仿宋" w:cs="仿宋"/>
          <w:color w:val="000000" w:themeColor="text1"/>
          <w:kern w:val="0"/>
          <w:sz w:val="24"/>
          <w:szCs w:val="24"/>
          <w14:textFill>
            <w14:solidFill>
              <w14:schemeClr w14:val="tx1"/>
            </w14:solidFill>
          </w14:textFill>
        </w:rPr>
        <w:t>文件的规定，对响应文件中的资格证明等进行审查，以确定供应商是否具备</w:t>
      </w:r>
      <w:r>
        <w:rPr>
          <w:rFonts w:hint="eastAsia" w:ascii="仿宋" w:hAnsi="仿宋" w:eastAsia="仿宋" w:cs="仿宋"/>
          <w:color w:val="000000" w:themeColor="text1"/>
          <w:kern w:val="0"/>
          <w:sz w:val="24"/>
          <w:szCs w:val="24"/>
          <w:lang w:eastAsia="zh-CN"/>
          <w14:textFill>
            <w14:solidFill>
              <w14:schemeClr w14:val="tx1"/>
            </w14:solidFill>
          </w14:textFill>
        </w:rPr>
        <w:t>竞采</w:t>
      </w:r>
      <w:r>
        <w:rPr>
          <w:rFonts w:hint="eastAsia" w:ascii="仿宋" w:hAnsi="仿宋" w:eastAsia="仿宋" w:cs="仿宋"/>
          <w:color w:val="000000" w:themeColor="text1"/>
          <w:kern w:val="0"/>
          <w:sz w:val="24"/>
          <w:szCs w:val="24"/>
          <w14:textFill>
            <w14:solidFill>
              <w14:schemeClr w14:val="tx1"/>
            </w14:solidFill>
          </w14:textFill>
        </w:rPr>
        <w:t>资格。</w:t>
      </w:r>
    </w:p>
    <w:p w14:paraId="376AFBA5">
      <w:pPr>
        <w:snapToGrid w:val="0"/>
        <w:spacing w:line="360" w:lineRule="auto"/>
        <w:ind w:firstLine="480" w:firstLineChars="200"/>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资格性检查资料表如下：</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980"/>
        <w:gridCol w:w="4241"/>
      </w:tblGrid>
      <w:tr w14:paraId="7B7D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76" w:type="dxa"/>
            <w:noWrap w:val="0"/>
            <w:vAlign w:val="center"/>
          </w:tcPr>
          <w:p w14:paraId="0820BAEC">
            <w:pPr>
              <w:spacing w:line="360" w:lineRule="auto"/>
              <w:ind w:left="0" w:leftChars="0" w:firstLine="0" w:firstLineChars="0"/>
              <w:jc w:val="both"/>
              <w:rPr>
                <w:rFonts w:hint="eastAsia" w:ascii="仿宋" w:hAnsi="仿宋" w:eastAsia="仿宋" w:cs="仿宋"/>
                <w:b/>
                <w:color w:val="000000" w:themeColor="text1"/>
                <w:kern w:val="0"/>
                <w:sz w:val="21"/>
                <w:szCs w:val="21"/>
                <w14:textFill>
                  <w14:solidFill>
                    <w14:schemeClr w14:val="tx1"/>
                  </w14:solidFill>
                </w14:textFill>
              </w:rPr>
            </w:pPr>
            <w:r>
              <w:rPr>
                <w:rFonts w:hint="eastAsia" w:ascii="仿宋" w:hAnsi="仿宋" w:eastAsia="仿宋" w:cs="仿宋"/>
                <w:b/>
                <w:color w:val="000000" w:themeColor="text1"/>
                <w:kern w:val="0"/>
                <w:sz w:val="21"/>
                <w:szCs w:val="21"/>
                <w14:textFill>
                  <w14:solidFill>
                    <w14:schemeClr w14:val="tx1"/>
                  </w14:solidFill>
                </w14:textFill>
              </w:rPr>
              <w:t>序号</w:t>
            </w:r>
          </w:p>
        </w:tc>
        <w:tc>
          <w:tcPr>
            <w:tcW w:w="4689" w:type="dxa"/>
            <w:gridSpan w:val="2"/>
            <w:noWrap w:val="0"/>
            <w:vAlign w:val="center"/>
          </w:tcPr>
          <w:p w14:paraId="66122343">
            <w:pPr>
              <w:spacing w:line="360" w:lineRule="auto"/>
              <w:jc w:val="center"/>
              <w:rPr>
                <w:rFonts w:hint="eastAsia" w:ascii="仿宋" w:hAnsi="仿宋" w:eastAsia="仿宋" w:cs="仿宋"/>
                <w:b/>
                <w:color w:val="000000" w:themeColor="text1"/>
                <w:kern w:val="0"/>
                <w:sz w:val="21"/>
                <w:szCs w:val="21"/>
                <w14:textFill>
                  <w14:solidFill>
                    <w14:schemeClr w14:val="tx1"/>
                  </w14:solidFill>
                </w14:textFill>
              </w:rPr>
            </w:pPr>
            <w:r>
              <w:rPr>
                <w:rFonts w:hint="eastAsia" w:ascii="仿宋" w:hAnsi="仿宋" w:eastAsia="仿宋" w:cs="仿宋"/>
                <w:b/>
                <w:color w:val="000000" w:themeColor="text1"/>
                <w:kern w:val="0"/>
                <w:sz w:val="21"/>
                <w:szCs w:val="21"/>
                <w14:textFill>
                  <w14:solidFill>
                    <w14:schemeClr w14:val="tx1"/>
                  </w14:solidFill>
                </w14:textFill>
              </w:rPr>
              <w:t>检查因素</w:t>
            </w:r>
          </w:p>
        </w:tc>
        <w:tc>
          <w:tcPr>
            <w:tcW w:w="4241" w:type="dxa"/>
            <w:noWrap w:val="0"/>
            <w:vAlign w:val="center"/>
          </w:tcPr>
          <w:p w14:paraId="5E750ABB">
            <w:pPr>
              <w:spacing w:line="360" w:lineRule="auto"/>
              <w:jc w:val="center"/>
              <w:rPr>
                <w:rFonts w:hint="eastAsia" w:ascii="仿宋" w:hAnsi="仿宋" w:eastAsia="仿宋" w:cs="仿宋"/>
                <w:b/>
                <w:color w:val="000000" w:themeColor="text1"/>
                <w:kern w:val="0"/>
                <w:sz w:val="21"/>
                <w:szCs w:val="21"/>
                <w14:textFill>
                  <w14:solidFill>
                    <w14:schemeClr w14:val="tx1"/>
                  </w14:solidFill>
                </w14:textFill>
              </w:rPr>
            </w:pPr>
            <w:r>
              <w:rPr>
                <w:rFonts w:hint="eastAsia" w:ascii="仿宋" w:hAnsi="仿宋" w:eastAsia="仿宋" w:cs="仿宋"/>
                <w:b/>
                <w:color w:val="000000" w:themeColor="text1"/>
                <w:kern w:val="0"/>
                <w:sz w:val="21"/>
                <w:szCs w:val="21"/>
                <w14:textFill>
                  <w14:solidFill>
                    <w14:schemeClr w14:val="tx1"/>
                  </w14:solidFill>
                </w14:textFill>
              </w:rPr>
              <w:t>检查内容</w:t>
            </w:r>
          </w:p>
        </w:tc>
      </w:tr>
      <w:tr w14:paraId="3A1F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atLeast"/>
        </w:trPr>
        <w:tc>
          <w:tcPr>
            <w:tcW w:w="676" w:type="dxa"/>
            <w:vMerge w:val="restart"/>
            <w:noWrap w:val="0"/>
            <w:vAlign w:val="center"/>
          </w:tcPr>
          <w:p w14:paraId="176FBB9B">
            <w:pPr>
              <w:spacing w:line="360" w:lineRule="auto"/>
              <w:ind w:left="0" w:leftChars="0" w:firstLine="0" w:firstLineChars="0"/>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1</w:t>
            </w:r>
          </w:p>
        </w:tc>
        <w:tc>
          <w:tcPr>
            <w:tcW w:w="709" w:type="dxa"/>
            <w:vMerge w:val="restart"/>
            <w:noWrap w:val="0"/>
            <w:vAlign w:val="center"/>
          </w:tcPr>
          <w:p w14:paraId="797DF75E">
            <w:pPr>
              <w:spacing w:line="360" w:lineRule="auto"/>
              <w:ind w:left="0" w:leftChars="0" w:firstLine="0" w:firstLineChars="0"/>
              <w:rPr>
                <w:rFonts w:hint="eastAsia" w:ascii="仿宋" w:hAnsi="仿宋" w:eastAsia="仿宋" w:cs="仿宋"/>
                <w:color w:val="000000" w:themeColor="text1"/>
                <w:sz w:val="21"/>
                <w:szCs w:val="21"/>
                <w:lang w:val="zh-CN"/>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供应商</w:t>
            </w:r>
            <w:r>
              <w:rPr>
                <w:rFonts w:hint="eastAsia" w:ascii="仿宋" w:hAnsi="仿宋" w:eastAsia="仿宋" w:cs="仿宋"/>
                <w:color w:val="000000" w:themeColor="text1"/>
                <w:sz w:val="21"/>
                <w:szCs w:val="21"/>
                <w:lang w:val="zh-CN"/>
                <w14:textFill>
                  <w14:solidFill>
                    <w14:schemeClr w14:val="tx1"/>
                  </w14:solidFill>
                </w14:textFill>
              </w:rPr>
              <w:t>应符合的基本资格条件</w:t>
            </w:r>
          </w:p>
        </w:tc>
        <w:tc>
          <w:tcPr>
            <w:tcW w:w="3980" w:type="dxa"/>
            <w:noWrap w:val="0"/>
            <w:vAlign w:val="center"/>
          </w:tcPr>
          <w:p w14:paraId="07320E4A">
            <w:pPr>
              <w:spacing w:line="360" w:lineRule="auto"/>
              <w:ind w:left="0" w:leftChars="0" w:firstLine="0" w:firstLineChars="0"/>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（1）具有独立承担民事责任的能力</w:t>
            </w:r>
          </w:p>
        </w:tc>
        <w:tc>
          <w:tcPr>
            <w:tcW w:w="4241" w:type="dxa"/>
            <w:noWrap w:val="0"/>
            <w:vAlign w:val="center"/>
          </w:tcPr>
          <w:p w14:paraId="08396849">
            <w:pPr>
              <w:spacing w:line="360" w:lineRule="auto"/>
              <w:ind w:left="0" w:leftChars="0" w:firstLine="0" w:firstLineChars="0"/>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供应商法人营业执照（副本）或事业单位法人证书（副本）或个体工商户营业执照或有效的自然人身份证明或社会团体法人登记证书复印件（注</w:t>
            </w:r>
            <w:r>
              <w:rPr>
                <w:rFonts w:hint="eastAsia" w:ascii="仿宋" w:hAnsi="仿宋" w:eastAsia="仿宋" w:cs="仿宋"/>
                <w:color w:val="000000" w:themeColor="text1"/>
                <w:kern w:val="0"/>
                <w:sz w:val="21"/>
                <w:szCs w:val="21"/>
                <w14:textFill>
                  <w14:solidFill>
                    <w14:schemeClr w14:val="tx1"/>
                  </w14:solidFill>
                </w14:textFill>
              </w:rPr>
              <w:fldChar w:fldCharType="begin"/>
            </w:r>
            <w:r>
              <w:rPr>
                <w:rFonts w:hint="eastAsia" w:ascii="仿宋" w:hAnsi="仿宋" w:eastAsia="仿宋" w:cs="仿宋"/>
                <w:color w:val="000000" w:themeColor="text1"/>
                <w:kern w:val="0"/>
                <w:sz w:val="21"/>
                <w:szCs w:val="21"/>
                <w14:textFill>
                  <w14:solidFill>
                    <w14:schemeClr w14:val="tx1"/>
                  </w14:solidFill>
                </w14:textFill>
              </w:rPr>
              <w:instrText xml:space="preserve"> eq \o\ac(○,</w:instrText>
            </w:r>
            <w:r>
              <w:rPr>
                <w:rFonts w:hint="eastAsia" w:ascii="仿宋" w:hAnsi="仿宋" w:eastAsia="仿宋" w:cs="仿宋"/>
                <w:color w:val="000000" w:themeColor="text1"/>
                <w:kern w:val="0"/>
                <w:position w:val="3"/>
                <w:sz w:val="21"/>
                <w:szCs w:val="21"/>
                <w14:textFill>
                  <w14:solidFill>
                    <w14:schemeClr w14:val="tx1"/>
                  </w14:solidFill>
                </w14:textFill>
              </w:rPr>
              <w:instrText xml:space="preserve">1</w:instrText>
            </w:r>
            <w:r>
              <w:rPr>
                <w:rFonts w:hint="eastAsia" w:ascii="仿宋" w:hAnsi="仿宋" w:eastAsia="仿宋" w:cs="仿宋"/>
                <w:color w:val="000000" w:themeColor="text1"/>
                <w:kern w:val="0"/>
                <w:sz w:val="21"/>
                <w:szCs w:val="21"/>
                <w14:textFill>
                  <w14:solidFill>
                    <w14:schemeClr w14:val="tx1"/>
                  </w14:solidFill>
                </w14:textFill>
              </w:rPr>
              <w:instrText xml:space="preserve">)</w:instrText>
            </w:r>
            <w:r>
              <w:rPr>
                <w:rFonts w:hint="eastAsia" w:ascii="仿宋" w:hAnsi="仿宋" w:eastAsia="仿宋" w:cs="仿宋"/>
                <w:color w:val="000000" w:themeColor="text1"/>
                <w:kern w:val="0"/>
                <w:sz w:val="21"/>
                <w:szCs w:val="21"/>
                <w14:textFill>
                  <w14:solidFill>
                    <w14:schemeClr w14:val="tx1"/>
                  </w14:solidFill>
                </w14:textFill>
              </w:rPr>
              <w:fldChar w:fldCharType="end"/>
            </w:r>
            <w:r>
              <w:rPr>
                <w:rFonts w:hint="eastAsia" w:ascii="仿宋" w:hAnsi="仿宋" w:eastAsia="仿宋" w:cs="仿宋"/>
                <w:color w:val="000000" w:themeColor="text1"/>
                <w:sz w:val="21"/>
                <w:szCs w:val="21"/>
                <w14:textFill>
                  <w14:solidFill>
                    <w14:schemeClr w14:val="tx1"/>
                  </w14:solidFill>
                </w14:textFill>
              </w:rPr>
              <w:t xml:space="preserve">）； </w:t>
            </w:r>
          </w:p>
          <w:p w14:paraId="73153522">
            <w:pPr>
              <w:spacing w:line="360" w:lineRule="auto"/>
              <w:ind w:left="0" w:leftChars="0" w:firstLine="0" w:firstLineChars="0"/>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供应商法定代表人身份证明和法定代表人授权代表委托书。</w:t>
            </w:r>
          </w:p>
          <w:p w14:paraId="314C1D5C">
            <w:pPr>
              <w:spacing w:line="360" w:lineRule="auto"/>
              <w:ind w:left="0" w:leftChars="0" w:firstLine="0" w:firstLineChars="0"/>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不具有独立法人的分公司、办事处等分支机构不能参加</w:t>
            </w:r>
            <w:r>
              <w:rPr>
                <w:rFonts w:hint="eastAsia" w:ascii="仿宋" w:hAnsi="仿宋" w:eastAsia="仿宋" w:cs="仿宋"/>
                <w:color w:val="000000" w:themeColor="text1"/>
                <w:sz w:val="21"/>
                <w:szCs w:val="21"/>
                <w:lang w:eastAsia="zh-CN"/>
                <w14:textFill>
                  <w14:solidFill>
                    <w14:schemeClr w14:val="tx1"/>
                  </w14:solidFill>
                </w14:textFill>
              </w:rPr>
              <w:t>竞采</w:t>
            </w:r>
            <w:r>
              <w:rPr>
                <w:rFonts w:hint="eastAsia" w:ascii="仿宋" w:hAnsi="仿宋" w:eastAsia="仿宋" w:cs="仿宋"/>
                <w:color w:val="000000" w:themeColor="text1"/>
                <w:sz w:val="21"/>
                <w:szCs w:val="21"/>
                <w14:textFill>
                  <w14:solidFill>
                    <w14:schemeClr w14:val="tx1"/>
                  </w14:solidFill>
                </w14:textFill>
              </w:rPr>
              <w:t>。</w:t>
            </w:r>
          </w:p>
        </w:tc>
      </w:tr>
      <w:tr w14:paraId="63E1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4" w:hRule="atLeast"/>
        </w:trPr>
        <w:tc>
          <w:tcPr>
            <w:tcW w:w="676" w:type="dxa"/>
            <w:vMerge w:val="continue"/>
            <w:noWrap w:val="0"/>
            <w:vAlign w:val="center"/>
          </w:tcPr>
          <w:p w14:paraId="6AFF222D">
            <w:pPr>
              <w:spacing w:line="360" w:lineRule="auto"/>
              <w:jc w:val="center"/>
              <w:rPr>
                <w:rFonts w:hint="eastAsia" w:ascii="仿宋" w:hAnsi="仿宋" w:eastAsia="仿宋" w:cs="仿宋"/>
                <w:color w:val="000000" w:themeColor="text1"/>
                <w:sz w:val="21"/>
                <w:szCs w:val="21"/>
                <w14:textFill>
                  <w14:solidFill>
                    <w14:schemeClr w14:val="tx1"/>
                  </w14:solidFill>
                </w14:textFill>
              </w:rPr>
            </w:pPr>
          </w:p>
        </w:tc>
        <w:tc>
          <w:tcPr>
            <w:tcW w:w="709" w:type="dxa"/>
            <w:vMerge w:val="continue"/>
            <w:noWrap w:val="0"/>
            <w:vAlign w:val="center"/>
          </w:tcPr>
          <w:p w14:paraId="02443656">
            <w:pPr>
              <w:spacing w:line="360" w:lineRule="auto"/>
              <w:rPr>
                <w:rFonts w:hint="eastAsia" w:ascii="仿宋" w:hAnsi="仿宋" w:eastAsia="仿宋" w:cs="仿宋"/>
                <w:color w:val="000000" w:themeColor="text1"/>
                <w:sz w:val="21"/>
                <w:szCs w:val="21"/>
                <w:lang w:val="zh-CN"/>
                <w14:textFill>
                  <w14:solidFill>
                    <w14:schemeClr w14:val="tx1"/>
                  </w14:solidFill>
                </w14:textFill>
              </w:rPr>
            </w:pPr>
          </w:p>
        </w:tc>
        <w:tc>
          <w:tcPr>
            <w:tcW w:w="3980" w:type="dxa"/>
            <w:noWrap w:val="0"/>
            <w:vAlign w:val="center"/>
          </w:tcPr>
          <w:p w14:paraId="4B4C8B4B">
            <w:pPr>
              <w:spacing w:line="360" w:lineRule="auto"/>
              <w:ind w:left="0" w:leftChars="0" w:firstLine="0" w:firstLineChars="0"/>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zh-CN"/>
                <w14:textFill>
                  <w14:solidFill>
                    <w14:schemeClr w14:val="tx1"/>
                  </w14:solidFill>
                </w14:textFill>
              </w:rPr>
              <w:t>（2）</w:t>
            </w:r>
            <w:r>
              <w:rPr>
                <w:rFonts w:hint="eastAsia" w:ascii="仿宋" w:hAnsi="仿宋" w:eastAsia="仿宋" w:cs="仿宋"/>
                <w:color w:val="000000" w:themeColor="text1"/>
                <w:sz w:val="21"/>
                <w:szCs w:val="21"/>
                <w14:textFill>
                  <w14:solidFill>
                    <w14:schemeClr w14:val="tx1"/>
                  </w14:solidFill>
                </w14:textFill>
              </w:rPr>
              <w:t>具有良好的商业信誉和健全的财务会计制度</w:t>
            </w:r>
          </w:p>
        </w:tc>
        <w:tc>
          <w:tcPr>
            <w:tcW w:w="4241" w:type="dxa"/>
            <w:vMerge w:val="restart"/>
            <w:noWrap w:val="0"/>
            <w:vAlign w:val="center"/>
          </w:tcPr>
          <w:p w14:paraId="53CC27D8">
            <w:pPr>
              <w:spacing w:line="360" w:lineRule="auto"/>
              <w:ind w:left="0" w:leftChars="0" w:firstLine="0" w:firstLineChars="0"/>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eastAsia="zh-CN"/>
                <w14:textFill>
                  <w14:solidFill>
                    <w14:schemeClr w14:val="tx1"/>
                  </w14:solidFill>
                </w14:textFill>
              </w:rPr>
              <w:t>供应商</w:t>
            </w:r>
            <w:r>
              <w:rPr>
                <w:rFonts w:hint="eastAsia" w:ascii="仿宋" w:hAnsi="仿宋" w:eastAsia="仿宋" w:cs="仿宋"/>
                <w:color w:val="000000" w:themeColor="text1"/>
                <w:sz w:val="21"/>
                <w:szCs w:val="21"/>
                <w14:textFill>
                  <w14:solidFill>
                    <w14:schemeClr w14:val="tx1"/>
                  </w14:solidFill>
                </w14:textFill>
              </w:rPr>
              <w:t>提供“基本资格条件承诺函”（格式详见附件）。</w:t>
            </w:r>
          </w:p>
        </w:tc>
      </w:tr>
      <w:tr w14:paraId="431A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676" w:type="dxa"/>
            <w:vMerge w:val="continue"/>
            <w:noWrap w:val="0"/>
            <w:vAlign w:val="center"/>
          </w:tcPr>
          <w:p w14:paraId="47EDD67E">
            <w:pPr>
              <w:spacing w:line="360" w:lineRule="auto"/>
              <w:jc w:val="center"/>
              <w:rPr>
                <w:rFonts w:hint="eastAsia" w:ascii="仿宋" w:hAnsi="仿宋" w:eastAsia="仿宋" w:cs="仿宋"/>
                <w:color w:val="000000" w:themeColor="text1"/>
                <w:sz w:val="21"/>
                <w:szCs w:val="21"/>
                <w14:textFill>
                  <w14:solidFill>
                    <w14:schemeClr w14:val="tx1"/>
                  </w14:solidFill>
                </w14:textFill>
              </w:rPr>
            </w:pPr>
          </w:p>
        </w:tc>
        <w:tc>
          <w:tcPr>
            <w:tcW w:w="709" w:type="dxa"/>
            <w:vMerge w:val="continue"/>
            <w:noWrap w:val="0"/>
            <w:vAlign w:val="center"/>
          </w:tcPr>
          <w:p w14:paraId="20B11B93">
            <w:pPr>
              <w:spacing w:line="360" w:lineRule="auto"/>
              <w:rPr>
                <w:rFonts w:hint="eastAsia" w:ascii="仿宋" w:hAnsi="仿宋" w:eastAsia="仿宋" w:cs="仿宋"/>
                <w:color w:val="000000" w:themeColor="text1"/>
                <w:sz w:val="21"/>
                <w:szCs w:val="21"/>
                <w:lang w:val="zh-CN"/>
                <w14:textFill>
                  <w14:solidFill>
                    <w14:schemeClr w14:val="tx1"/>
                  </w14:solidFill>
                </w14:textFill>
              </w:rPr>
            </w:pPr>
          </w:p>
        </w:tc>
        <w:tc>
          <w:tcPr>
            <w:tcW w:w="3980" w:type="dxa"/>
            <w:noWrap w:val="0"/>
            <w:vAlign w:val="center"/>
          </w:tcPr>
          <w:p w14:paraId="23289A75">
            <w:pPr>
              <w:spacing w:line="360" w:lineRule="auto"/>
              <w:ind w:left="0" w:leftChars="0" w:firstLine="0" w:firstLineChars="0"/>
              <w:rPr>
                <w:rFonts w:hint="eastAsia" w:ascii="仿宋" w:hAnsi="仿宋" w:eastAsia="仿宋" w:cs="仿宋"/>
                <w:color w:val="000000" w:themeColor="text1"/>
                <w:sz w:val="21"/>
                <w:szCs w:val="21"/>
                <w:lang w:val="zh-CN"/>
                <w14:textFill>
                  <w14:solidFill>
                    <w14:schemeClr w14:val="tx1"/>
                  </w14:solidFill>
                </w14:textFill>
              </w:rPr>
            </w:pPr>
            <w:r>
              <w:rPr>
                <w:rFonts w:hint="eastAsia" w:ascii="仿宋" w:hAnsi="仿宋" w:eastAsia="仿宋" w:cs="仿宋"/>
                <w:color w:val="000000" w:themeColor="text1"/>
                <w:sz w:val="21"/>
                <w:szCs w:val="21"/>
                <w:lang w:val="zh-CN"/>
                <w14:textFill>
                  <w14:solidFill>
                    <w14:schemeClr w14:val="tx1"/>
                  </w14:solidFill>
                </w14:textFill>
              </w:rPr>
              <w:t>（3）具有履行合同所必需的设备和专业技术能力</w:t>
            </w:r>
          </w:p>
        </w:tc>
        <w:tc>
          <w:tcPr>
            <w:tcW w:w="4241" w:type="dxa"/>
            <w:vMerge w:val="continue"/>
            <w:noWrap w:val="0"/>
            <w:vAlign w:val="center"/>
          </w:tcPr>
          <w:p w14:paraId="785D16C6">
            <w:pPr>
              <w:spacing w:line="360" w:lineRule="auto"/>
              <w:ind w:left="0" w:leftChars="0" w:firstLine="0" w:firstLineChars="0"/>
              <w:rPr>
                <w:rFonts w:hint="eastAsia" w:ascii="仿宋" w:hAnsi="仿宋" w:eastAsia="仿宋" w:cs="仿宋"/>
                <w:color w:val="000000" w:themeColor="text1"/>
                <w:sz w:val="21"/>
                <w:szCs w:val="21"/>
                <w14:textFill>
                  <w14:solidFill>
                    <w14:schemeClr w14:val="tx1"/>
                  </w14:solidFill>
                </w14:textFill>
              </w:rPr>
            </w:pPr>
          </w:p>
        </w:tc>
      </w:tr>
      <w:tr w14:paraId="0B5C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676" w:type="dxa"/>
            <w:vMerge w:val="continue"/>
            <w:noWrap w:val="0"/>
            <w:vAlign w:val="center"/>
          </w:tcPr>
          <w:p w14:paraId="0D2B8FE9">
            <w:pPr>
              <w:spacing w:line="360" w:lineRule="auto"/>
              <w:jc w:val="center"/>
              <w:rPr>
                <w:rFonts w:hint="eastAsia" w:ascii="仿宋" w:hAnsi="仿宋" w:eastAsia="仿宋" w:cs="仿宋"/>
                <w:color w:val="000000" w:themeColor="text1"/>
                <w:sz w:val="21"/>
                <w:szCs w:val="21"/>
                <w14:textFill>
                  <w14:solidFill>
                    <w14:schemeClr w14:val="tx1"/>
                  </w14:solidFill>
                </w14:textFill>
              </w:rPr>
            </w:pPr>
          </w:p>
        </w:tc>
        <w:tc>
          <w:tcPr>
            <w:tcW w:w="709" w:type="dxa"/>
            <w:vMerge w:val="continue"/>
            <w:noWrap w:val="0"/>
            <w:vAlign w:val="center"/>
          </w:tcPr>
          <w:p w14:paraId="0C1A189D">
            <w:pPr>
              <w:spacing w:line="360" w:lineRule="auto"/>
              <w:rPr>
                <w:rFonts w:hint="eastAsia" w:ascii="仿宋" w:hAnsi="仿宋" w:eastAsia="仿宋" w:cs="仿宋"/>
                <w:color w:val="000000" w:themeColor="text1"/>
                <w:sz w:val="21"/>
                <w:szCs w:val="21"/>
                <w:lang w:val="zh-CN"/>
                <w14:textFill>
                  <w14:solidFill>
                    <w14:schemeClr w14:val="tx1"/>
                  </w14:solidFill>
                </w14:textFill>
              </w:rPr>
            </w:pPr>
          </w:p>
        </w:tc>
        <w:tc>
          <w:tcPr>
            <w:tcW w:w="3980" w:type="dxa"/>
            <w:noWrap w:val="0"/>
            <w:vAlign w:val="center"/>
          </w:tcPr>
          <w:p w14:paraId="3E7E43F6">
            <w:pPr>
              <w:spacing w:line="360" w:lineRule="auto"/>
              <w:ind w:left="0" w:leftChars="0" w:firstLine="0" w:firstLineChars="0"/>
              <w:rPr>
                <w:rFonts w:hint="eastAsia" w:ascii="仿宋" w:hAnsi="仿宋" w:eastAsia="仿宋" w:cs="仿宋"/>
                <w:color w:val="000000" w:themeColor="text1"/>
                <w:sz w:val="21"/>
                <w:szCs w:val="21"/>
                <w:lang w:val="zh-CN"/>
                <w14:textFill>
                  <w14:solidFill>
                    <w14:schemeClr w14:val="tx1"/>
                  </w14:solidFill>
                </w14:textFill>
              </w:rPr>
            </w:pPr>
            <w:r>
              <w:rPr>
                <w:rFonts w:hint="eastAsia" w:ascii="仿宋" w:hAnsi="仿宋" w:eastAsia="仿宋" w:cs="仿宋"/>
                <w:color w:val="000000" w:themeColor="text1"/>
                <w:sz w:val="21"/>
                <w:szCs w:val="21"/>
                <w:lang w:val="zh-CN"/>
                <w14:textFill>
                  <w14:solidFill>
                    <w14:schemeClr w14:val="tx1"/>
                  </w14:solidFill>
                </w14:textFill>
              </w:rPr>
              <w:t>（4）有依法缴纳税收和社会保障金的良好记录</w:t>
            </w:r>
          </w:p>
        </w:tc>
        <w:tc>
          <w:tcPr>
            <w:tcW w:w="4241" w:type="dxa"/>
            <w:vMerge w:val="continue"/>
            <w:noWrap w:val="0"/>
            <w:vAlign w:val="center"/>
          </w:tcPr>
          <w:p w14:paraId="461FC1CD">
            <w:pPr>
              <w:spacing w:line="360" w:lineRule="auto"/>
              <w:ind w:left="0" w:leftChars="0" w:firstLine="0" w:firstLineChars="0"/>
              <w:rPr>
                <w:rFonts w:hint="eastAsia" w:ascii="仿宋" w:hAnsi="仿宋" w:eastAsia="仿宋" w:cs="仿宋"/>
                <w:color w:val="000000" w:themeColor="text1"/>
                <w:sz w:val="21"/>
                <w:szCs w:val="21"/>
                <w14:textFill>
                  <w14:solidFill>
                    <w14:schemeClr w14:val="tx1"/>
                  </w14:solidFill>
                </w14:textFill>
              </w:rPr>
            </w:pPr>
          </w:p>
        </w:tc>
      </w:tr>
      <w:tr w14:paraId="3D87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76" w:type="dxa"/>
            <w:vMerge w:val="continue"/>
            <w:noWrap w:val="0"/>
            <w:vAlign w:val="center"/>
          </w:tcPr>
          <w:p w14:paraId="7F075273">
            <w:pPr>
              <w:spacing w:line="360" w:lineRule="auto"/>
              <w:jc w:val="center"/>
              <w:rPr>
                <w:rFonts w:hint="eastAsia" w:ascii="仿宋" w:hAnsi="仿宋" w:eastAsia="仿宋" w:cs="仿宋"/>
                <w:color w:val="000000" w:themeColor="text1"/>
                <w:sz w:val="21"/>
                <w:szCs w:val="21"/>
                <w14:textFill>
                  <w14:solidFill>
                    <w14:schemeClr w14:val="tx1"/>
                  </w14:solidFill>
                </w14:textFill>
              </w:rPr>
            </w:pPr>
          </w:p>
        </w:tc>
        <w:tc>
          <w:tcPr>
            <w:tcW w:w="709" w:type="dxa"/>
            <w:vMerge w:val="continue"/>
            <w:noWrap w:val="0"/>
            <w:vAlign w:val="center"/>
          </w:tcPr>
          <w:p w14:paraId="41F35526">
            <w:pPr>
              <w:spacing w:line="360" w:lineRule="auto"/>
              <w:rPr>
                <w:rFonts w:hint="eastAsia" w:ascii="仿宋" w:hAnsi="仿宋" w:eastAsia="仿宋" w:cs="仿宋"/>
                <w:color w:val="000000" w:themeColor="text1"/>
                <w:sz w:val="21"/>
                <w:szCs w:val="21"/>
                <w:lang w:val="zh-CN"/>
                <w14:textFill>
                  <w14:solidFill>
                    <w14:schemeClr w14:val="tx1"/>
                  </w14:solidFill>
                </w14:textFill>
              </w:rPr>
            </w:pPr>
          </w:p>
        </w:tc>
        <w:tc>
          <w:tcPr>
            <w:tcW w:w="3980" w:type="dxa"/>
            <w:noWrap w:val="0"/>
            <w:vAlign w:val="center"/>
          </w:tcPr>
          <w:p w14:paraId="63ADF7A1">
            <w:pPr>
              <w:spacing w:line="360" w:lineRule="auto"/>
              <w:ind w:left="0" w:leftChars="0" w:firstLine="0" w:firstLineChars="0"/>
              <w:rPr>
                <w:rFonts w:hint="eastAsia" w:ascii="仿宋" w:hAnsi="仿宋" w:eastAsia="仿宋" w:cs="仿宋"/>
                <w:color w:val="000000" w:themeColor="text1"/>
                <w:sz w:val="21"/>
                <w:szCs w:val="21"/>
                <w:lang w:val="zh-CN"/>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（5）参加政府采购活动前三年内，在经营活动中没有重大违法记录</w:t>
            </w:r>
            <w:r>
              <w:rPr>
                <w:rFonts w:hint="eastAsia" w:ascii="仿宋" w:hAnsi="仿宋" w:eastAsia="仿宋" w:cs="仿宋"/>
                <w:color w:val="000000" w:themeColor="text1"/>
                <w:kern w:val="0"/>
                <w:sz w:val="21"/>
                <w:szCs w:val="21"/>
                <w14:textFill>
                  <w14:solidFill>
                    <w14:schemeClr w14:val="tx1"/>
                  </w14:solidFill>
                </w14:textFill>
              </w:rPr>
              <w:fldChar w:fldCharType="begin"/>
            </w:r>
            <w:r>
              <w:rPr>
                <w:rFonts w:hint="eastAsia" w:ascii="仿宋" w:hAnsi="仿宋" w:eastAsia="仿宋" w:cs="仿宋"/>
                <w:color w:val="000000" w:themeColor="text1"/>
                <w:kern w:val="0"/>
                <w:sz w:val="21"/>
                <w:szCs w:val="21"/>
                <w14:textFill>
                  <w14:solidFill>
                    <w14:schemeClr w14:val="tx1"/>
                  </w14:solidFill>
                </w14:textFill>
              </w:rPr>
              <w:instrText xml:space="preserve"> eq \o\ac(○,2)</w:instrText>
            </w:r>
            <w:r>
              <w:rPr>
                <w:rFonts w:hint="eastAsia" w:ascii="仿宋" w:hAnsi="仿宋" w:eastAsia="仿宋" w:cs="仿宋"/>
                <w:color w:val="000000" w:themeColor="text1"/>
                <w:kern w:val="0"/>
                <w:sz w:val="21"/>
                <w:szCs w:val="21"/>
                <w14:textFill>
                  <w14:solidFill>
                    <w14:schemeClr w14:val="tx1"/>
                  </w14:solidFill>
                </w14:textFill>
              </w:rPr>
              <w:fldChar w:fldCharType="end"/>
            </w:r>
          </w:p>
        </w:tc>
        <w:tc>
          <w:tcPr>
            <w:tcW w:w="4241" w:type="dxa"/>
            <w:vMerge w:val="continue"/>
            <w:noWrap w:val="0"/>
            <w:vAlign w:val="center"/>
          </w:tcPr>
          <w:p w14:paraId="3A955F58">
            <w:pPr>
              <w:spacing w:line="360" w:lineRule="auto"/>
              <w:ind w:left="0" w:leftChars="0" w:firstLine="0" w:firstLineChars="0"/>
              <w:rPr>
                <w:rFonts w:hint="eastAsia" w:ascii="仿宋" w:hAnsi="仿宋" w:eastAsia="仿宋" w:cs="仿宋"/>
                <w:color w:val="000000" w:themeColor="text1"/>
                <w:sz w:val="21"/>
                <w:szCs w:val="21"/>
                <w:lang w:eastAsia="zh-CN"/>
                <w14:textFill>
                  <w14:solidFill>
                    <w14:schemeClr w14:val="tx1"/>
                  </w14:solidFill>
                </w14:textFill>
              </w:rPr>
            </w:pPr>
          </w:p>
        </w:tc>
      </w:tr>
      <w:tr w14:paraId="5D59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676" w:type="dxa"/>
            <w:vMerge w:val="continue"/>
            <w:noWrap w:val="0"/>
            <w:vAlign w:val="center"/>
          </w:tcPr>
          <w:p w14:paraId="41181980">
            <w:pPr>
              <w:spacing w:line="360" w:lineRule="auto"/>
              <w:jc w:val="center"/>
              <w:rPr>
                <w:rFonts w:hint="eastAsia" w:ascii="仿宋" w:hAnsi="仿宋" w:eastAsia="仿宋" w:cs="仿宋"/>
                <w:color w:val="000000" w:themeColor="text1"/>
                <w:sz w:val="21"/>
                <w:szCs w:val="21"/>
                <w14:textFill>
                  <w14:solidFill>
                    <w14:schemeClr w14:val="tx1"/>
                  </w14:solidFill>
                </w14:textFill>
              </w:rPr>
            </w:pPr>
          </w:p>
        </w:tc>
        <w:tc>
          <w:tcPr>
            <w:tcW w:w="709" w:type="dxa"/>
            <w:vMerge w:val="continue"/>
            <w:noWrap w:val="0"/>
            <w:vAlign w:val="center"/>
          </w:tcPr>
          <w:p w14:paraId="141A278E">
            <w:pPr>
              <w:spacing w:line="360" w:lineRule="auto"/>
              <w:rPr>
                <w:rFonts w:hint="eastAsia" w:ascii="仿宋" w:hAnsi="仿宋" w:eastAsia="仿宋" w:cs="仿宋"/>
                <w:color w:val="000000" w:themeColor="text1"/>
                <w:sz w:val="21"/>
                <w:szCs w:val="21"/>
                <w:lang w:val="zh-CN"/>
                <w14:textFill>
                  <w14:solidFill>
                    <w14:schemeClr w14:val="tx1"/>
                  </w14:solidFill>
                </w14:textFill>
              </w:rPr>
            </w:pPr>
          </w:p>
        </w:tc>
        <w:tc>
          <w:tcPr>
            <w:tcW w:w="3980" w:type="dxa"/>
            <w:noWrap w:val="0"/>
            <w:vAlign w:val="center"/>
          </w:tcPr>
          <w:p w14:paraId="3326A651">
            <w:pPr>
              <w:spacing w:line="360" w:lineRule="auto"/>
              <w:ind w:left="0" w:leftChars="0" w:firstLine="0" w:firstLineChars="0"/>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（6）法律、行政法规规定的其他条件</w:t>
            </w:r>
          </w:p>
        </w:tc>
        <w:tc>
          <w:tcPr>
            <w:tcW w:w="4241" w:type="dxa"/>
            <w:noWrap w:val="0"/>
            <w:vAlign w:val="center"/>
          </w:tcPr>
          <w:p w14:paraId="7BC365AF">
            <w:pPr>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p>
        </w:tc>
      </w:tr>
      <w:tr w14:paraId="6205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676" w:type="dxa"/>
            <w:noWrap w:val="0"/>
            <w:vAlign w:val="center"/>
          </w:tcPr>
          <w:p w14:paraId="776CBFC7">
            <w:pPr>
              <w:spacing w:line="360" w:lineRule="auto"/>
              <w:ind w:left="0" w:leftChars="0" w:firstLine="0" w:firstLineChars="0"/>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2</w:t>
            </w:r>
          </w:p>
        </w:tc>
        <w:tc>
          <w:tcPr>
            <w:tcW w:w="4689" w:type="dxa"/>
            <w:gridSpan w:val="2"/>
            <w:noWrap w:val="0"/>
            <w:vAlign w:val="center"/>
          </w:tcPr>
          <w:p w14:paraId="76DB9FB5">
            <w:pPr>
              <w:tabs>
                <w:tab w:val="left" w:pos="1494"/>
              </w:tabs>
              <w:spacing w:line="360" w:lineRule="auto"/>
              <w:ind w:left="0" w:leftChars="0" w:firstLine="0" w:firstLineChars="0"/>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特定资格条件</w:t>
            </w:r>
          </w:p>
        </w:tc>
        <w:tc>
          <w:tcPr>
            <w:tcW w:w="4241" w:type="dxa"/>
            <w:noWrap w:val="0"/>
            <w:vAlign w:val="center"/>
          </w:tcPr>
          <w:p w14:paraId="0E5CC07C">
            <w:pPr>
              <w:spacing w:line="360" w:lineRule="auto"/>
              <w:ind w:left="0" w:leftChars="0" w:firstLine="0" w:firstLineChars="0"/>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按第一篇“（二）特定资格条件”的要求提交。</w:t>
            </w:r>
          </w:p>
        </w:tc>
      </w:tr>
    </w:tbl>
    <w:p w14:paraId="514B1881">
      <w:pPr>
        <w:snapToGrid w:val="0"/>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注：</w:t>
      </w:r>
      <w:r>
        <w:rPr>
          <w:rFonts w:hint="eastAsia" w:ascii="仿宋" w:hAnsi="仿宋" w:eastAsia="仿宋" w:cs="仿宋"/>
          <w:color w:val="000000" w:themeColor="text1"/>
          <w:kern w:val="0"/>
          <w:sz w:val="21"/>
          <w:szCs w:val="21"/>
          <w14:textFill>
            <w14:solidFill>
              <w14:schemeClr w14:val="tx1"/>
            </w14:solidFill>
          </w14:textFill>
        </w:rPr>
        <w:fldChar w:fldCharType="begin"/>
      </w:r>
      <w:r>
        <w:rPr>
          <w:rFonts w:hint="eastAsia" w:ascii="仿宋" w:hAnsi="仿宋" w:eastAsia="仿宋" w:cs="仿宋"/>
          <w:color w:val="000000" w:themeColor="text1"/>
          <w:kern w:val="0"/>
          <w:sz w:val="21"/>
          <w:szCs w:val="21"/>
          <w14:textFill>
            <w14:solidFill>
              <w14:schemeClr w14:val="tx1"/>
            </w14:solidFill>
          </w14:textFill>
        </w:rPr>
        <w:instrText xml:space="preserve"> eq \o\ac(</w:instrText>
      </w:r>
      <w:r>
        <w:rPr>
          <w:rFonts w:hint="eastAsia" w:ascii="仿宋" w:hAnsi="仿宋" w:eastAsia="仿宋" w:cs="仿宋"/>
          <w:color w:val="000000" w:themeColor="text1"/>
          <w:kern w:val="0"/>
          <w:position w:val="-4"/>
          <w:sz w:val="31"/>
          <w:szCs w:val="21"/>
          <w14:textFill>
            <w14:solidFill>
              <w14:schemeClr w14:val="tx1"/>
            </w14:solidFill>
          </w14:textFill>
        </w:rPr>
        <w:instrText xml:space="preserve">○</w:instrText>
      </w:r>
      <w:r>
        <w:rPr>
          <w:rFonts w:hint="eastAsia" w:ascii="仿宋" w:hAnsi="仿宋" w:eastAsia="仿宋" w:cs="仿宋"/>
          <w:color w:val="000000" w:themeColor="text1"/>
          <w:kern w:val="0"/>
          <w:position w:val="0"/>
          <w:sz w:val="21"/>
          <w:szCs w:val="21"/>
          <w14:textFill>
            <w14:solidFill>
              <w14:schemeClr w14:val="tx1"/>
            </w14:solidFill>
          </w14:textFill>
        </w:rPr>
        <w:instrText xml:space="preserve">,1)</w:instrText>
      </w:r>
      <w:r>
        <w:rPr>
          <w:rFonts w:hint="eastAsia" w:ascii="仿宋" w:hAnsi="仿宋" w:eastAsia="仿宋" w:cs="仿宋"/>
          <w:color w:val="000000" w:themeColor="text1"/>
          <w:kern w:val="0"/>
          <w:sz w:val="21"/>
          <w:szCs w:val="21"/>
          <w14:textFill>
            <w14:solidFill>
              <w14:schemeClr w14:val="tx1"/>
            </w14:solidFill>
          </w14:textFill>
        </w:rPr>
        <w:fldChar w:fldCharType="end"/>
      </w:r>
      <w:r>
        <w:rPr>
          <w:rFonts w:hint="eastAsia" w:ascii="仿宋" w:hAnsi="仿宋" w:eastAsia="仿宋" w:cs="仿宋"/>
          <w:color w:val="000000" w:themeColor="text1"/>
          <w:kern w:val="0"/>
          <w:sz w:val="21"/>
          <w:szCs w:val="21"/>
          <w14:textFill>
            <w14:solidFill>
              <w14:schemeClr w14:val="tx1"/>
            </w14:solidFill>
          </w14:textFill>
        </w:rPr>
        <w:t>供应商按“多证合一”登记制度办理营业执照的，组织机构代码证、税务登记证（副本）和社会保险登记证以供应商所提供的营业执照（副本）复印件为准。</w:t>
      </w:r>
    </w:p>
    <w:p w14:paraId="21F392A8">
      <w:pPr>
        <w:snapToGrid w:val="0"/>
        <w:spacing w:line="360" w:lineRule="auto"/>
        <w:ind w:firstLine="420" w:firstLineChars="200"/>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fldChar w:fldCharType="begin"/>
      </w:r>
      <w:r>
        <w:rPr>
          <w:rFonts w:hint="eastAsia" w:ascii="仿宋" w:hAnsi="仿宋" w:eastAsia="仿宋" w:cs="仿宋"/>
          <w:color w:val="000000" w:themeColor="text1"/>
          <w:kern w:val="0"/>
          <w:sz w:val="21"/>
          <w:szCs w:val="21"/>
          <w14:textFill>
            <w14:solidFill>
              <w14:schemeClr w14:val="tx1"/>
            </w14:solidFill>
          </w14:textFill>
        </w:rPr>
        <w:instrText xml:space="preserve"> eq \o\ac(</w:instrText>
      </w:r>
      <w:r>
        <w:rPr>
          <w:rFonts w:hint="eastAsia" w:ascii="仿宋" w:hAnsi="仿宋" w:eastAsia="仿宋" w:cs="仿宋"/>
          <w:color w:val="000000" w:themeColor="text1"/>
          <w:kern w:val="0"/>
          <w:position w:val="-4"/>
          <w:sz w:val="31"/>
          <w:szCs w:val="21"/>
          <w14:textFill>
            <w14:solidFill>
              <w14:schemeClr w14:val="tx1"/>
            </w14:solidFill>
          </w14:textFill>
        </w:rPr>
        <w:instrText xml:space="preserve">○</w:instrText>
      </w:r>
      <w:r>
        <w:rPr>
          <w:rFonts w:hint="eastAsia" w:ascii="仿宋" w:hAnsi="仿宋" w:eastAsia="仿宋" w:cs="仿宋"/>
          <w:color w:val="000000" w:themeColor="text1"/>
          <w:kern w:val="0"/>
          <w:position w:val="0"/>
          <w:sz w:val="21"/>
          <w:szCs w:val="21"/>
          <w14:textFill>
            <w14:solidFill>
              <w14:schemeClr w14:val="tx1"/>
            </w14:solidFill>
          </w14:textFill>
        </w:rPr>
        <w:instrText xml:space="preserve">,2)</w:instrText>
      </w:r>
      <w:r>
        <w:rPr>
          <w:rFonts w:hint="eastAsia" w:ascii="仿宋" w:hAnsi="仿宋" w:eastAsia="仿宋" w:cs="仿宋"/>
          <w:color w:val="000000" w:themeColor="text1"/>
          <w:kern w:val="0"/>
          <w:sz w:val="21"/>
          <w:szCs w:val="21"/>
          <w14:textFill>
            <w14:solidFill>
              <w14:schemeClr w14:val="tx1"/>
            </w14:solidFill>
          </w14:textFill>
        </w:rPr>
        <w:fldChar w:fldCharType="end"/>
      </w:r>
      <w:r>
        <w:rPr>
          <w:rFonts w:hint="eastAsia" w:ascii="仿宋" w:hAnsi="仿宋" w:eastAsia="仿宋" w:cs="仿宋"/>
          <w:color w:val="000000" w:themeColor="text1"/>
          <w:kern w:val="0"/>
          <w:sz w:val="21"/>
          <w:szCs w:val="21"/>
          <w14:textFill>
            <w14:solidFill>
              <w14:schemeClr w14:val="tx1"/>
            </w14:solidFill>
          </w14:textFill>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06D9771">
      <w:pPr>
        <w:snapToGrid w:val="0"/>
        <w:spacing w:line="360" w:lineRule="auto"/>
        <w:ind w:firstLine="480" w:firstLineChars="200"/>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2.符合性检查。依据</w:t>
      </w:r>
      <w:r>
        <w:rPr>
          <w:rFonts w:hint="eastAsia" w:ascii="仿宋" w:hAnsi="仿宋" w:eastAsia="仿宋" w:cs="仿宋"/>
          <w:color w:val="000000" w:themeColor="text1"/>
          <w:kern w:val="0"/>
          <w:sz w:val="24"/>
          <w:szCs w:val="24"/>
          <w:lang w:eastAsia="zh-CN"/>
          <w14:textFill>
            <w14:solidFill>
              <w14:schemeClr w14:val="tx1"/>
            </w14:solidFill>
          </w14:textFill>
        </w:rPr>
        <w:t>采购</w:t>
      </w:r>
      <w:r>
        <w:rPr>
          <w:rFonts w:hint="eastAsia" w:ascii="仿宋" w:hAnsi="仿宋" w:eastAsia="仿宋" w:cs="仿宋"/>
          <w:color w:val="000000" w:themeColor="text1"/>
          <w:kern w:val="0"/>
          <w:sz w:val="24"/>
          <w:szCs w:val="24"/>
          <w14:textFill>
            <w14:solidFill>
              <w14:schemeClr w14:val="tx1"/>
            </w14:solidFill>
          </w14:textFill>
        </w:rPr>
        <w:t>文件的规定，</w:t>
      </w:r>
      <w:r>
        <w:rPr>
          <w:rFonts w:hint="eastAsia" w:ascii="仿宋" w:hAnsi="仿宋" w:eastAsia="仿宋" w:cs="仿宋"/>
          <w:color w:val="000000" w:themeColor="text1"/>
          <w:kern w:val="0"/>
          <w:sz w:val="24"/>
          <w:szCs w:val="24"/>
          <w:lang w:eastAsia="zh-CN"/>
          <w14:textFill>
            <w14:solidFill>
              <w14:schemeClr w14:val="tx1"/>
            </w14:solidFill>
          </w14:textFill>
        </w:rPr>
        <w:t>竞采</w:t>
      </w:r>
      <w:r>
        <w:rPr>
          <w:rFonts w:hint="eastAsia" w:ascii="仿宋" w:hAnsi="仿宋" w:eastAsia="仿宋" w:cs="仿宋"/>
          <w:color w:val="000000" w:themeColor="text1"/>
          <w:kern w:val="0"/>
          <w:sz w:val="24"/>
          <w:szCs w:val="24"/>
          <w14:textFill>
            <w14:solidFill>
              <w14:schemeClr w14:val="tx1"/>
            </w14:solidFill>
          </w14:textFill>
        </w:rPr>
        <w:t>小组从响应文件的有效性、完整性和对</w:t>
      </w:r>
      <w:r>
        <w:rPr>
          <w:rFonts w:hint="eastAsia" w:ascii="仿宋" w:hAnsi="仿宋" w:eastAsia="仿宋" w:cs="仿宋"/>
          <w:color w:val="000000" w:themeColor="text1"/>
          <w:kern w:val="0"/>
          <w:sz w:val="24"/>
          <w:szCs w:val="24"/>
          <w:lang w:eastAsia="zh-CN"/>
          <w14:textFill>
            <w14:solidFill>
              <w14:schemeClr w14:val="tx1"/>
            </w14:solidFill>
          </w14:textFill>
        </w:rPr>
        <w:t>采购</w:t>
      </w:r>
      <w:r>
        <w:rPr>
          <w:rFonts w:hint="eastAsia" w:ascii="仿宋" w:hAnsi="仿宋" w:eastAsia="仿宋" w:cs="仿宋"/>
          <w:color w:val="000000" w:themeColor="text1"/>
          <w:kern w:val="0"/>
          <w:sz w:val="24"/>
          <w:szCs w:val="24"/>
          <w14:textFill>
            <w14:solidFill>
              <w14:schemeClr w14:val="tx1"/>
            </w14:solidFill>
          </w14:textFill>
        </w:rPr>
        <w:t>文件的响应程度进行审查，以确定是否对</w:t>
      </w:r>
      <w:r>
        <w:rPr>
          <w:rFonts w:hint="eastAsia" w:ascii="仿宋" w:hAnsi="仿宋" w:eastAsia="仿宋" w:cs="仿宋"/>
          <w:color w:val="000000" w:themeColor="text1"/>
          <w:kern w:val="0"/>
          <w:sz w:val="24"/>
          <w:szCs w:val="24"/>
          <w:lang w:eastAsia="zh-CN"/>
          <w14:textFill>
            <w14:solidFill>
              <w14:schemeClr w14:val="tx1"/>
            </w14:solidFill>
          </w14:textFill>
        </w:rPr>
        <w:t>采购</w:t>
      </w:r>
      <w:r>
        <w:rPr>
          <w:rFonts w:hint="eastAsia" w:ascii="仿宋" w:hAnsi="仿宋" w:eastAsia="仿宋" w:cs="仿宋"/>
          <w:color w:val="000000" w:themeColor="text1"/>
          <w:kern w:val="0"/>
          <w:sz w:val="24"/>
          <w:szCs w:val="24"/>
          <w14:textFill>
            <w14:solidFill>
              <w14:schemeClr w14:val="tx1"/>
            </w14:solidFill>
          </w14:textFill>
        </w:rPr>
        <w:t>文件的实质性要求作出响应。符合性检查资料表如下：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61EC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77F06237">
            <w:pPr>
              <w:spacing w:line="360" w:lineRule="auto"/>
              <w:jc w:val="center"/>
              <w:rPr>
                <w:rFonts w:hint="eastAsia" w:ascii="仿宋" w:hAnsi="仿宋" w:eastAsia="仿宋" w:cs="仿宋"/>
                <w:b/>
                <w:color w:val="000000" w:themeColor="text1"/>
                <w:kern w:val="0"/>
                <w:sz w:val="21"/>
                <w:szCs w:val="21"/>
                <w14:textFill>
                  <w14:solidFill>
                    <w14:schemeClr w14:val="tx1"/>
                  </w14:solidFill>
                </w14:textFill>
              </w:rPr>
            </w:pPr>
            <w:r>
              <w:rPr>
                <w:rFonts w:hint="eastAsia" w:ascii="仿宋" w:hAnsi="仿宋" w:eastAsia="仿宋" w:cs="仿宋"/>
                <w:b/>
                <w:color w:val="000000" w:themeColor="text1"/>
                <w:kern w:val="0"/>
                <w:sz w:val="21"/>
                <w:szCs w:val="21"/>
                <w14:textFill>
                  <w14:solidFill>
                    <w14:schemeClr w14:val="tx1"/>
                  </w14:solidFill>
                </w14:textFill>
              </w:rPr>
              <w:t>序号</w:t>
            </w:r>
          </w:p>
        </w:tc>
        <w:tc>
          <w:tcPr>
            <w:tcW w:w="3544" w:type="dxa"/>
            <w:gridSpan w:val="2"/>
            <w:vAlign w:val="center"/>
          </w:tcPr>
          <w:p w14:paraId="68D4A9EC">
            <w:pPr>
              <w:spacing w:line="360" w:lineRule="auto"/>
              <w:jc w:val="center"/>
              <w:rPr>
                <w:rFonts w:hint="eastAsia" w:ascii="仿宋" w:hAnsi="仿宋" w:eastAsia="仿宋" w:cs="仿宋"/>
                <w:b/>
                <w:color w:val="000000" w:themeColor="text1"/>
                <w:kern w:val="0"/>
                <w:sz w:val="21"/>
                <w:szCs w:val="21"/>
                <w14:textFill>
                  <w14:solidFill>
                    <w14:schemeClr w14:val="tx1"/>
                  </w14:solidFill>
                </w14:textFill>
              </w:rPr>
            </w:pPr>
            <w:r>
              <w:rPr>
                <w:rFonts w:hint="eastAsia" w:ascii="仿宋" w:hAnsi="仿宋" w:eastAsia="仿宋" w:cs="仿宋"/>
                <w:b/>
                <w:color w:val="000000" w:themeColor="text1"/>
                <w:kern w:val="0"/>
                <w:sz w:val="21"/>
                <w:szCs w:val="21"/>
                <w14:textFill>
                  <w14:solidFill>
                    <w14:schemeClr w14:val="tx1"/>
                  </w14:solidFill>
                </w14:textFill>
              </w:rPr>
              <w:t>评审因素</w:t>
            </w:r>
          </w:p>
        </w:tc>
        <w:tc>
          <w:tcPr>
            <w:tcW w:w="5409" w:type="dxa"/>
            <w:vAlign w:val="center"/>
          </w:tcPr>
          <w:p w14:paraId="7160EAB2">
            <w:pPr>
              <w:spacing w:line="360" w:lineRule="auto"/>
              <w:jc w:val="center"/>
              <w:rPr>
                <w:rFonts w:hint="eastAsia" w:ascii="仿宋" w:hAnsi="仿宋" w:eastAsia="仿宋" w:cs="仿宋"/>
                <w:b/>
                <w:color w:val="000000" w:themeColor="text1"/>
                <w:kern w:val="0"/>
                <w:sz w:val="21"/>
                <w:szCs w:val="21"/>
                <w14:textFill>
                  <w14:solidFill>
                    <w14:schemeClr w14:val="tx1"/>
                  </w14:solidFill>
                </w14:textFill>
              </w:rPr>
            </w:pPr>
            <w:r>
              <w:rPr>
                <w:rFonts w:hint="eastAsia" w:ascii="仿宋" w:hAnsi="仿宋" w:eastAsia="仿宋" w:cs="仿宋"/>
                <w:b/>
                <w:color w:val="000000" w:themeColor="text1"/>
                <w:kern w:val="0"/>
                <w:sz w:val="21"/>
                <w:szCs w:val="21"/>
                <w14:textFill>
                  <w14:solidFill>
                    <w14:schemeClr w14:val="tx1"/>
                  </w14:solidFill>
                </w14:textFill>
              </w:rPr>
              <w:t>评审标准</w:t>
            </w:r>
          </w:p>
        </w:tc>
      </w:tr>
      <w:tr w14:paraId="7CDB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12F4B3B4">
            <w:pPr>
              <w:spacing w:line="360" w:lineRule="auto"/>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1</w:t>
            </w:r>
          </w:p>
        </w:tc>
        <w:tc>
          <w:tcPr>
            <w:tcW w:w="1560" w:type="dxa"/>
            <w:vMerge w:val="restart"/>
            <w:vAlign w:val="center"/>
          </w:tcPr>
          <w:p w14:paraId="485DEFD5">
            <w:pPr>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有效性审查</w:t>
            </w:r>
          </w:p>
        </w:tc>
        <w:tc>
          <w:tcPr>
            <w:tcW w:w="1984" w:type="dxa"/>
            <w:vAlign w:val="center"/>
          </w:tcPr>
          <w:p w14:paraId="46BC50B0">
            <w:pPr>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响应文件签署</w:t>
            </w:r>
          </w:p>
        </w:tc>
        <w:tc>
          <w:tcPr>
            <w:tcW w:w="5409" w:type="dxa"/>
            <w:vAlign w:val="center"/>
          </w:tcPr>
          <w:p w14:paraId="3B7B57EB">
            <w:pPr>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响应文件上法定代表人或其授权代表人的签字齐全。</w:t>
            </w:r>
          </w:p>
        </w:tc>
      </w:tr>
      <w:tr w14:paraId="1698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7C160C7A">
            <w:pPr>
              <w:spacing w:line="360" w:lineRule="auto"/>
              <w:jc w:val="center"/>
              <w:rPr>
                <w:rFonts w:hint="eastAsia" w:ascii="仿宋" w:hAnsi="仿宋" w:eastAsia="仿宋" w:cs="仿宋"/>
                <w:color w:val="000000" w:themeColor="text1"/>
                <w:kern w:val="0"/>
                <w:sz w:val="21"/>
                <w:szCs w:val="21"/>
                <w14:textFill>
                  <w14:solidFill>
                    <w14:schemeClr w14:val="tx1"/>
                  </w14:solidFill>
                </w14:textFill>
              </w:rPr>
            </w:pPr>
          </w:p>
        </w:tc>
        <w:tc>
          <w:tcPr>
            <w:tcW w:w="1560" w:type="dxa"/>
            <w:vMerge w:val="continue"/>
            <w:vAlign w:val="center"/>
          </w:tcPr>
          <w:p w14:paraId="2AD0DD6F">
            <w:pPr>
              <w:spacing w:line="360" w:lineRule="auto"/>
              <w:rPr>
                <w:rFonts w:hint="eastAsia" w:ascii="仿宋" w:hAnsi="仿宋" w:eastAsia="仿宋" w:cs="仿宋"/>
                <w:color w:val="000000" w:themeColor="text1"/>
                <w:kern w:val="0"/>
                <w:sz w:val="21"/>
                <w:szCs w:val="21"/>
                <w14:textFill>
                  <w14:solidFill>
                    <w14:schemeClr w14:val="tx1"/>
                  </w14:solidFill>
                </w14:textFill>
              </w:rPr>
            </w:pPr>
          </w:p>
        </w:tc>
        <w:tc>
          <w:tcPr>
            <w:tcW w:w="1984" w:type="dxa"/>
            <w:vAlign w:val="center"/>
          </w:tcPr>
          <w:p w14:paraId="131F5E05">
            <w:pPr>
              <w:spacing w:line="360" w:lineRule="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法定代表人身份证明及授权委托书</w:t>
            </w:r>
          </w:p>
        </w:tc>
        <w:tc>
          <w:tcPr>
            <w:tcW w:w="5409" w:type="dxa"/>
            <w:vAlign w:val="center"/>
          </w:tcPr>
          <w:p w14:paraId="39E7786E">
            <w:pPr>
              <w:spacing w:line="360" w:lineRule="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法定代表人身份证明及授权委托书有效，符合</w:t>
            </w:r>
            <w:r>
              <w:rPr>
                <w:rFonts w:hint="eastAsia" w:ascii="仿宋" w:hAnsi="仿宋" w:eastAsia="仿宋" w:cs="仿宋"/>
                <w:color w:val="000000" w:themeColor="text1"/>
                <w:sz w:val="21"/>
                <w:szCs w:val="21"/>
                <w:lang w:eastAsia="zh-CN"/>
                <w14:textFill>
                  <w14:solidFill>
                    <w14:schemeClr w14:val="tx1"/>
                  </w14:solidFill>
                </w14:textFill>
              </w:rPr>
              <w:t>采购</w:t>
            </w:r>
            <w:r>
              <w:rPr>
                <w:rFonts w:hint="eastAsia" w:ascii="仿宋" w:hAnsi="仿宋" w:eastAsia="仿宋" w:cs="仿宋"/>
                <w:color w:val="000000" w:themeColor="text1"/>
                <w:sz w:val="21"/>
                <w:szCs w:val="21"/>
                <w14:textFill>
                  <w14:solidFill>
                    <w14:schemeClr w14:val="tx1"/>
                  </w14:solidFill>
                </w14:textFill>
              </w:rPr>
              <w:t>文件规定的格式，签字或盖章齐全。</w:t>
            </w:r>
          </w:p>
        </w:tc>
      </w:tr>
      <w:tr w14:paraId="2523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45CF7684">
            <w:pPr>
              <w:spacing w:line="360" w:lineRule="auto"/>
              <w:jc w:val="center"/>
              <w:rPr>
                <w:rFonts w:hint="eastAsia" w:ascii="仿宋" w:hAnsi="仿宋" w:eastAsia="仿宋" w:cs="仿宋"/>
                <w:color w:val="000000" w:themeColor="text1"/>
                <w:kern w:val="0"/>
                <w:sz w:val="21"/>
                <w:szCs w:val="21"/>
                <w14:textFill>
                  <w14:solidFill>
                    <w14:schemeClr w14:val="tx1"/>
                  </w14:solidFill>
                </w14:textFill>
              </w:rPr>
            </w:pPr>
          </w:p>
        </w:tc>
        <w:tc>
          <w:tcPr>
            <w:tcW w:w="1560" w:type="dxa"/>
            <w:vMerge w:val="continue"/>
            <w:vAlign w:val="center"/>
          </w:tcPr>
          <w:p w14:paraId="717C65F9">
            <w:pPr>
              <w:spacing w:line="360" w:lineRule="auto"/>
              <w:rPr>
                <w:rFonts w:hint="eastAsia" w:ascii="仿宋" w:hAnsi="仿宋" w:eastAsia="仿宋" w:cs="仿宋"/>
                <w:color w:val="000000" w:themeColor="text1"/>
                <w:kern w:val="0"/>
                <w:sz w:val="21"/>
                <w:szCs w:val="21"/>
                <w14:textFill>
                  <w14:solidFill>
                    <w14:schemeClr w14:val="tx1"/>
                  </w14:solidFill>
                </w14:textFill>
              </w:rPr>
            </w:pPr>
          </w:p>
        </w:tc>
        <w:tc>
          <w:tcPr>
            <w:tcW w:w="1984" w:type="dxa"/>
            <w:vAlign w:val="center"/>
          </w:tcPr>
          <w:p w14:paraId="12891904">
            <w:pPr>
              <w:spacing w:line="360" w:lineRule="auto"/>
              <w:rPr>
                <w:rFonts w:hint="eastAsia" w:ascii="仿宋" w:hAnsi="仿宋" w:eastAsia="仿宋" w:cs="仿宋"/>
                <w:color w:val="000000" w:themeColor="text1"/>
                <w:sz w:val="21"/>
                <w:szCs w:val="21"/>
                <w:lang w:val="zh-CN"/>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响应</w:t>
            </w:r>
            <w:r>
              <w:rPr>
                <w:rFonts w:hint="eastAsia" w:ascii="仿宋" w:hAnsi="仿宋" w:eastAsia="仿宋" w:cs="仿宋"/>
                <w:color w:val="000000" w:themeColor="text1"/>
                <w:sz w:val="21"/>
                <w:szCs w:val="21"/>
                <w:lang w:val="zh-CN"/>
                <w14:textFill>
                  <w14:solidFill>
                    <w14:schemeClr w14:val="tx1"/>
                  </w14:solidFill>
                </w14:textFill>
              </w:rPr>
              <w:t>方案</w:t>
            </w:r>
          </w:p>
        </w:tc>
        <w:tc>
          <w:tcPr>
            <w:tcW w:w="5409" w:type="dxa"/>
            <w:vAlign w:val="center"/>
          </w:tcPr>
          <w:p w14:paraId="61D17822">
            <w:pPr>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sz w:val="21"/>
                <w:szCs w:val="21"/>
                <w:lang w:val="zh-CN"/>
                <w14:textFill>
                  <w14:solidFill>
                    <w14:schemeClr w14:val="tx1"/>
                  </w14:solidFill>
                </w14:textFill>
              </w:rPr>
              <w:t>只能有一个</w:t>
            </w:r>
            <w:r>
              <w:rPr>
                <w:rFonts w:hint="eastAsia" w:ascii="仿宋" w:hAnsi="仿宋" w:eastAsia="仿宋" w:cs="仿宋"/>
                <w:color w:val="000000" w:themeColor="text1"/>
                <w:sz w:val="21"/>
                <w:szCs w:val="21"/>
                <w14:textFill>
                  <w14:solidFill>
                    <w14:schemeClr w14:val="tx1"/>
                  </w14:solidFill>
                </w14:textFill>
              </w:rPr>
              <w:t>响应</w:t>
            </w:r>
            <w:r>
              <w:rPr>
                <w:rFonts w:hint="eastAsia" w:ascii="仿宋" w:hAnsi="仿宋" w:eastAsia="仿宋" w:cs="仿宋"/>
                <w:color w:val="000000" w:themeColor="text1"/>
                <w:sz w:val="21"/>
                <w:szCs w:val="21"/>
                <w:lang w:val="zh-CN"/>
                <w14:textFill>
                  <w14:solidFill>
                    <w14:schemeClr w14:val="tx1"/>
                  </w14:solidFill>
                </w14:textFill>
              </w:rPr>
              <w:t>方案。</w:t>
            </w:r>
          </w:p>
        </w:tc>
      </w:tr>
      <w:tr w14:paraId="22D2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3FD95A36">
            <w:pPr>
              <w:spacing w:line="360" w:lineRule="auto"/>
              <w:jc w:val="center"/>
              <w:rPr>
                <w:rFonts w:hint="eastAsia" w:ascii="仿宋" w:hAnsi="仿宋" w:eastAsia="仿宋" w:cs="仿宋"/>
                <w:color w:val="000000" w:themeColor="text1"/>
                <w:kern w:val="0"/>
                <w:sz w:val="21"/>
                <w:szCs w:val="21"/>
                <w14:textFill>
                  <w14:solidFill>
                    <w14:schemeClr w14:val="tx1"/>
                  </w14:solidFill>
                </w14:textFill>
              </w:rPr>
            </w:pPr>
          </w:p>
        </w:tc>
        <w:tc>
          <w:tcPr>
            <w:tcW w:w="1560" w:type="dxa"/>
            <w:vMerge w:val="continue"/>
            <w:vAlign w:val="center"/>
          </w:tcPr>
          <w:p w14:paraId="38D09734">
            <w:pPr>
              <w:spacing w:line="360" w:lineRule="auto"/>
              <w:rPr>
                <w:rFonts w:hint="eastAsia" w:ascii="仿宋" w:hAnsi="仿宋" w:eastAsia="仿宋" w:cs="仿宋"/>
                <w:color w:val="000000" w:themeColor="text1"/>
                <w:kern w:val="0"/>
                <w:sz w:val="21"/>
                <w:szCs w:val="21"/>
                <w14:textFill>
                  <w14:solidFill>
                    <w14:schemeClr w14:val="tx1"/>
                  </w14:solidFill>
                </w14:textFill>
              </w:rPr>
            </w:pPr>
          </w:p>
        </w:tc>
        <w:tc>
          <w:tcPr>
            <w:tcW w:w="1984" w:type="dxa"/>
            <w:vAlign w:val="center"/>
          </w:tcPr>
          <w:p w14:paraId="477543FC">
            <w:pPr>
              <w:spacing w:line="360" w:lineRule="auto"/>
              <w:rPr>
                <w:rFonts w:hint="eastAsia" w:ascii="仿宋" w:hAnsi="仿宋" w:eastAsia="仿宋" w:cs="仿宋"/>
                <w:color w:val="000000" w:themeColor="text1"/>
                <w:sz w:val="21"/>
                <w:szCs w:val="21"/>
                <w:lang w:val="zh-CN"/>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报价唯一</w:t>
            </w:r>
          </w:p>
        </w:tc>
        <w:tc>
          <w:tcPr>
            <w:tcW w:w="5409" w:type="dxa"/>
            <w:vAlign w:val="center"/>
          </w:tcPr>
          <w:p w14:paraId="074D1E1F">
            <w:pPr>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只能有一个有效报价，不得提交选择性报价。</w:t>
            </w:r>
          </w:p>
        </w:tc>
      </w:tr>
      <w:tr w14:paraId="761B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675" w:type="dxa"/>
            <w:vMerge w:val="restart"/>
            <w:vAlign w:val="center"/>
          </w:tcPr>
          <w:p w14:paraId="56B6A229">
            <w:pPr>
              <w:spacing w:line="360" w:lineRule="auto"/>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w:t>
            </w:r>
          </w:p>
        </w:tc>
        <w:tc>
          <w:tcPr>
            <w:tcW w:w="1560" w:type="dxa"/>
            <w:vMerge w:val="restart"/>
            <w:vAlign w:val="center"/>
          </w:tcPr>
          <w:p w14:paraId="4DAD3098">
            <w:pPr>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完整性审查</w:t>
            </w:r>
          </w:p>
        </w:tc>
        <w:tc>
          <w:tcPr>
            <w:tcW w:w="1984" w:type="dxa"/>
            <w:vAlign w:val="center"/>
          </w:tcPr>
          <w:p w14:paraId="7315D74B">
            <w:pPr>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响应</w:t>
            </w:r>
            <w:r>
              <w:rPr>
                <w:rFonts w:hint="eastAsia" w:ascii="仿宋" w:hAnsi="仿宋" w:eastAsia="仿宋" w:cs="仿宋"/>
                <w:color w:val="000000" w:themeColor="text1"/>
                <w:sz w:val="21"/>
                <w:szCs w:val="21"/>
                <w:lang w:val="zh-CN"/>
                <w14:textFill>
                  <w14:solidFill>
                    <w14:schemeClr w14:val="tx1"/>
                  </w14:solidFill>
                </w14:textFill>
              </w:rPr>
              <w:t>文件份数</w:t>
            </w:r>
          </w:p>
        </w:tc>
        <w:tc>
          <w:tcPr>
            <w:tcW w:w="5409" w:type="dxa"/>
            <w:vAlign w:val="center"/>
          </w:tcPr>
          <w:p w14:paraId="2281F4AE">
            <w:pPr>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响应</w:t>
            </w:r>
            <w:r>
              <w:rPr>
                <w:rFonts w:hint="eastAsia" w:ascii="仿宋" w:hAnsi="仿宋" w:eastAsia="仿宋" w:cs="仿宋"/>
                <w:color w:val="000000" w:themeColor="text1"/>
                <w:sz w:val="21"/>
                <w:szCs w:val="21"/>
                <w:lang w:val="zh-CN"/>
                <w14:textFill>
                  <w14:solidFill>
                    <w14:schemeClr w14:val="tx1"/>
                  </w14:solidFill>
                </w14:textFill>
              </w:rPr>
              <w:t>文件正、副本数量符合</w:t>
            </w:r>
            <w:r>
              <w:rPr>
                <w:rFonts w:hint="eastAsia" w:ascii="仿宋" w:hAnsi="仿宋" w:eastAsia="仿宋" w:cs="仿宋"/>
                <w:color w:val="000000" w:themeColor="text1"/>
                <w:sz w:val="21"/>
                <w:szCs w:val="21"/>
                <w:lang w:eastAsia="zh-CN"/>
                <w14:textFill>
                  <w14:solidFill>
                    <w14:schemeClr w14:val="tx1"/>
                  </w14:solidFill>
                </w14:textFill>
              </w:rPr>
              <w:t>采购</w:t>
            </w:r>
            <w:r>
              <w:rPr>
                <w:rFonts w:hint="eastAsia" w:ascii="仿宋" w:hAnsi="仿宋" w:eastAsia="仿宋" w:cs="仿宋"/>
                <w:color w:val="000000" w:themeColor="text1"/>
                <w:sz w:val="21"/>
                <w:szCs w:val="21"/>
                <w:lang w:val="zh-CN"/>
                <w14:textFill>
                  <w14:solidFill>
                    <w14:schemeClr w14:val="tx1"/>
                  </w14:solidFill>
                </w14:textFill>
              </w:rPr>
              <w:t>文件要求。</w:t>
            </w:r>
          </w:p>
        </w:tc>
      </w:tr>
      <w:tr w14:paraId="62F2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675" w:type="dxa"/>
            <w:vMerge w:val="continue"/>
            <w:vAlign w:val="center"/>
          </w:tcPr>
          <w:p w14:paraId="7E6C672A">
            <w:pPr>
              <w:spacing w:line="360" w:lineRule="auto"/>
              <w:rPr>
                <w:rFonts w:hint="eastAsia" w:ascii="仿宋" w:hAnsi="仿宋" w:eastAsia="仿宋" w:cs="仿宋"/>
                <w:color w:val="000000" w:themeColor="text1"/>
                <w:sz w:val="21"/>
                <w:szCs w:val="21"/>
                <w14:textFill>
                  <w14:solidFill>
                    <w14:schemeClr w14:val="tx1"/>
                  </w14:solidFill>
                </w14:textFill>
              </w:rPr>
            </w:pPr>
          </w:p>
        </w:tc>
        <w:tc>
          <w:tcPr>
            <w:tcW w:w="1560" w:type="dxa"/>
            <w:vMerge w:val="continue"/>
            <w:vAlign w:val="center"/>
          </w:tcPr>
          <w:p w14:paraId="19CAADB8">
            <w:pPr>
              <w:spacing w:line="360" w:lineRule="auto"/>
              <w:rPr>
                <w:rFonts w:hint="eastAsia" w:ascii="仿宋" w:hAnsi="仿宋" w:eastAsia="仿宋" w:cs="仿宋"/>
                <w:color w:val="000000" w:themeColor="text1"/>
                <w:sz w:val="21"/>
                <w:szCs w:val="21"/>
                <w14:textFill>
                  <w14:solidFill>
                    <w14:schemeClr w14:val="tx1"/>
                  </w14:solidFill>
                </w14:textFill>
              </w:rPr>
            </w:pPr>
          </w:p>
        </w:tc>
        <w:tc>
          <w:tcPr>
            <w:tcW w:w="1984" w:type="dxa"/>
            <w:vAlign w:val="center"/>
          </w:tcPr>
          <w:p w14:paraId="0AC0EAF9">
            <w:pPr>
              <w:spacing w:line="360" w:lineRule="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响应</w:t>
            </w:r>
            <w:r>
              <w:rPr>
                <w:rFonts w:hint="eastAsia" w:ascii="仿宋" w:hAnsi="仿宋" w:eastAsia="仿宋" w:cs="仿宋"/>
                <w:color w:val="000000" w:themeColor="text1"/>
                <w:sz w:val="21"/>
                <w:szCs w:val="21"/>
                <w:lang w:val="zh-CN"/>
                <w14:textFill>
                  <w14:solidFill>
                    <w14:schemeClr w14:val="tx1"/>
                  </w14:solidFill>
                </w14:textFill>
              </w:rPr>
              <w:t>文件内容</w:t>
            </w:r>
          </w:p>
        </w:tc>
        <w:tc>
          <w:tcPr>
            <w:tcW w:w="5409" w:type="dxa"/>
            <w:vAlign w:val="center"/>
          </w:tcPr>
          <w:p w14:paraId="57E6F270">
            <w:pPr>
              <w:spacing w:line="360" w:lineRule="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eastAsia="zh-CN"/>
                <w14:textFill>
                  <w14:solidFill>
                    <w14:schemeClr w14:val="tx1"/>
                  </w14:solidFill>
                </w14:textFill>
              </w:rPr>
              <w:t>采购</w:t>
            </w:r>
            <w:r>
              <w:rPr>
                <w:rFonts w:hint="eastAsia" w:ascii="仿宋" w:hAnsi="仿宋" w:eastAsia="仿宋" w:cs="仿宋"/>
                <w:color w:val="000000" w:themeColor="text1"/>
                <w:sz w:val="21"/>
                <w:szCs w:val="21"/>
                <w14:textFill>
                  <w14:solidFill>
                    <w14:schemeClr w14:val="tx1"/>
                  </w14:solidFill>
                </w14:textFill>
              </w:rPr>
              <w:t>文件</w:t>
            </w:r>
            <w:r>
              <w:rPr>
                <w:rFonts w:hint="eastAsia" w:ascii="仿宋" w:hAnsi="仿宋" w:eastAsia="仿宋" w:cs="仿宋"/>
                <w:color w:val="000000" w:themeColor="text1"/>
                <w:sz w:val="21"/>
                <w:szCs w:val="21"/>
                <w:lang w:val="zh-CN"/>
                <w14:textFill>
                  <w14:solidFill>
                    <w14:schemeClr w14:val="tx1"/>
                  </w14:solidFill>
                </w14:textFill>
              </w:rPr>
              <w:t>要求</w:t>
            </w:r>
            <w:r>
              <w:rPr>
                <w:rFonts w:hint="eastAsia" w:ascii="仿宋" w:hAnsi="仿宋" w:eastAsia="仿宋" w:cs="仿宋"/>
                <w:color w:val="000000" w:themeColor="text1"/>
                <w:sz w:val="21"/>
                <w:szCs w:val="21"/>
                <w14:textFill>
                  <w14:solidFill>
                    <w14:schemeClr w14:val="tx1"/>
                  </w14:solidFill>
                </w14:textFill>
              </w:rPr>
              <w:t>的响应文件内容及承诺</w:t>
            </w:r>
            <w:r>
              <w:rPr>
                <w:rFonts w:hint="eastAsia" w:ascii="仿宋" w:hAnsi="仿宋" w:eastAsia="仿宋" w:cs="仿宋"/>
                <w:color w:val="000000" w:themeColor="text1"/>
                <w:sz w:val="21"/>
                <w:szCs w:val="21"/>
                <w:lang w:val="zh-CN"/>
                <w14:textFill>
                  <w14:solidFill>
                    <w14:schemeClr w14:val="tx1"/>
                  </w14:solidFill>
                </w14:textFill>
              </w:rPr>
              <w:t>齐全、无遗漏。</w:t>
            </w:r>
          </w:p>
        </w:tc>
      </w:tr>
      <w:tr w14:paraId="486C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58D1477F">
            <w:pPr>
              <w:spacing w:line="360" w:lineRule="auto"/>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3</w:t>
            </w:r>
          </w:p>
        </w:tc>
        <w:tc>
          <w:tcPr>
            <w:tcW w:w="1560" w:type="dxa"/>
            <w:vMerge w:val="restart"/>
            <w:vAlign w:val="center"/>
          </w:tcPr>
          <w:p w14:paraId="0E07AE34">
            <w:pPr>
              <w:spacing w:line="360" w:lineRule="auto"/>
              <w:rPr>
                <w:rFonts w:hint="eastAsia" w:ascii="仿宋" w:hAnsi="仿宋" w:eastAsia="仿宋" w:cs="仿宋"/>
                <w:color w:val="000000" w:themeColor="text1"/>
                <w:sz w:val="21"/>
                <w:szCs w:val="21"/>
                <w:lang w:val="zh-CN"/>
                <w14:textFill>
                  <w14:solidFill>
                    <w14:schemeClr w14:val="tx1"/>
                  </w14:solidFill>
                </w14:textFill>
              </w:rPr>
            </w:pPr>
            <w:r>
              <w:rPr>
                <w:rFonts w:hint="eastAsia" w:ascii="仿宋" w:hAnsi="仿宋" w:eastAsia="仿宋" w:cs="仿宋"/>
                <w:color w:val="000000" w:themeColor="text1"/>
                <w:kern w:val="0"/>
                <w:sz w:val="21"/>
                <w:szCs w:val="21"/>
                <w:lang w:eastAsia="zh-CN"/>
                <w14:textFill>
                  <w14:solidFill>
                    <w14:schemeClr w14:val="tx1"/>
                  </w14:solidFill>
                </w14:textFill>
              </w:rPr>
              <w:t>采购</w:t>
            </w:r>
            <w:r>
              <w:rPr>
                <w:rFonts w:hint="eastAsia" w:ascii="仿宋" w:hAnsi="仿宋" w:eastAsia="仿宋" w:cs="仿宋"/>
                <w:color w:val="000000" w:themeColor="text1"/>
                <w:kern w:val="0"/>
                <w:sz w:val="21"/>
                <w:szCs w:val="21"/>
                <w14:textFill>
                  <w14:solidFill>
                    <w14:schemeClr w14:val="tx1"/>
                  </w14:solidFill>
                </w14:textFill>
              </w:rPr>
              <w:t>文件的响应程度审查</w:t>
            </w:r>
          </w:p>
        </w:tc>
        <w:tc>
          <w:tcPr>
            <w:tcW w:w="1984" w:type="dxa"/>
            <w:vAlign w:val="center"/>
          </w:tcPr>
          <w:p w14:paraId="2CFFC264">
            <w:pPr>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响应文件内容</w:t>
            </w:r>
          </w:p>
        </w:tc>
        <w:tc>
          <w:tcPr>
            <w:tcW w:w="5409" w:type="dxa"/>
            <w:vAlign w:val="center"/>
          </w:tcPr>
          <w:p w14:paraId="5855888B">
            <w:pPr>
              <w:pStyle w:val="34"/>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对</w:t>
            </w:r>
            <w:r>
              <w:rPr>
                <w:rFonts w:hint="eastAsia" w:ascii="仿宋" w:hAnsi="仿宋" w:eastAsia="仿宋" w:cs="仿宋"/>
                <w:color w:val="000000" w:themeColor="text1"/>
                <w:kern w:val="0"/>
                <w:sz w:val="21"/>
                <w:szCs w:val="21"/>
                <w:lang w:eastAsia="zh-CN"/>
                <w14:textFill>
                  <w14:solidFill>
                    <w14:schemeClr w14:val="tx1"/>
                  </w14:solidFill>
                </w14:textFill>
              </w:rPr>
              <w:t>采购</w:t>
            </w:r>
            <w:r>
              <w:rPr>
                <w:rFonts w:hint="eastAsia" w:ascii="仿宋" w:hAnsi="仿宋" w:eastAsia="仿宋" w:cs="仿宋"/>
                <w:color w:val="000000" w:themeColor="text1"/>
                <w:kern w:val="0"/>
                <w:sz w:val="21"/>
                <w:szCs w:val="21"/>
                <w14:textFill>
                  <w14:solidFill>
                    <w14:schemeClr w14:val="tx1"/>
                  </w14:solidFill>
                </w14:textFill>
              </w:rPr>
              <w:t>文件第二篇、第三篇规定的内容进行响应。</w:t>
            </w:r>
          </w:p>
        </w:tc>
      </w:tr>
      <w:tr w14:paraId="567E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77396E7C">
            <w:pPr>
              <w:spacing w:line="360" w:lineRule="auto"/>
              <w:jc w:val="center"/>
              <w:rPr>
                <w:rFonts w:hint="eastAsia" w:ascii="仿宋" w:hAnsi="仿宋" w:eastAsia="仿宋" w:cs="仿宋"/>
                <w:color w:val="000000" w:themeColor="text1"/>
                <w:kern w:val="0"/>
                <w:sz w:val="21"/>
                <w:szCs w:val="21"/>
                <w14:textFill>
                  <w14:solidFill>
                    <w14:schemeClr w14:val="tx1"/>
                  </w14:solidFill>
                </w14:textFill>
              </w:rPr>
            </w:pPr>
          </w:p>
        </w:tc>
        <w:tc>
          <w:tcPr>
            <w:tcW w:w="1560" w:type="dxa"/>
            <w:vMerge w:val="continue"/>
            <w:vAlign w:val="center"/>
          </w:tcPr>
          <w:p w14:paraId="680350DA">
            <w:pPr>
              <w:spacing w:line="360" w:lineRule="auto"/>
              <w:rPr>
                <w:rFonts w:hint="eastAsia" w:ascii="仿宋" w:hAnsi="仿宋" w:eastAsia="仿宋" w:cs="仿宋"/>
                <w:color w:val="000000" w:themeColor="text1"/>
                <w:sz w:val="21"/>
                <w:szCs w:val="21"/>
                <w:lang w:val="zh-CN"/>
                <w14:textFill>
                  <w14:solidFill>
                    <w14:schemeClr w14:val="tx1"/>
                  </w14:solidFill>
                </w14:textFill>
              </w:rPr>
            </w:pPr>
          </w:p>
        </w:tc>
        <w:tc>
          <w:tcPr>
            <w:tcW w:w="1984" w:type="dxa"/>
            <w:vAlign w:val="center"/>
          </w:tcPr>
          <w:p w14:paraId="40D9912F">
            <w:pPr>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lang w:eastAsia="zh-CN"/>
                <w14:textFill>
                  <w14:solidFill>
                    <w14:schemeClr w14:val="tx1"/>
                  </w14:solidFill>
                </w14:textFill>
              </w:rPr>
              <w:t>竞采</w:t>
            </w:r>
            <w:r>
              <w:rPr>
                <w:rFonts w:hint="eastAsia" w:ascii="仿宋" w:hAnsi="仿宋" w:eastAsia="仿宋" w:cs="仿宋"/>
                <w:color w:val="000000" w:themeColor="text1"/>
                <w:kern w:val="0"/>
                <w:sz w:val="21"/>
                <w:szCs w:val="21"/>
                <w14:textFill>
                  <w14:solidFill>
                    <w14:schemeClr w14:val="tx1"/>
                  </w14:solidFill>
                </w14:textFill>
              </w:rPr>
              <w:t>有效期</w:t>
            </w:r>
          </w:p>
        </w:tc>
        <w:tc>
          <w:tcPr>
            <w:tcW w:w="5409" w:type="dxa"/>
            <w:vAlign w:val="center"/>
          </w:tcPr>
          <w:p w14:paraId="3ACE6641">
            <w:pPr>
              <w:spacing w:line="360" w:lineRule="auto"/>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满足</w:t>
            </w:r>
            <w:r>
              <w:rPr>
                <w:rFonts w:hint="eastAsia" w:ascii="仿宋" w:hAnsi="仿宋" w:eastAsia="仿宋" w:cs="仿宋"/>
                <w:color w:val="000000" w:themeColor="text1"/>
                <w:kern w:val="0"/>
                <w:sz w:val="21"/>
                <w:szCs w:val="21"/>
                <w:lang w:eastAsia="zh-CN"/>
                <w14:textFill>
                  <w14:solidFill>
                    <w14:schemeClr w14:val="tx1"/>
                  </w14:solidFill>
                </w14:textFill>
              </w:rPr>
              <w:t>采购</w:t>
            </w:r>
            <w:r>
              <w:rPr>
                <w:rFonts w:hint="eastAsia" w:ascii="仿宋" w:hAnsi="仿宋" w:eastAsia="仿宋" w:cs="仿宋"/>
                <w:color w:val="000000" w:themeColor="text1"/>
                <w:kern w:val="0"/>
                <w:sz w:val="21"/>
                <w:szCs w:val="21"/>
                <w14:textFill>
                  <w14:solidFill>
                    <w14:schemeClr w14:val="tx1"/>
                  </w14:solidFill>
                </w14:textFill>
              </w:rPr>
              <w:t>文件</w:t>
            </w:r>
            <w:r>
              <w:rPr>
                <w:rFonts w:hint="eastAsia" w:ascii="仿宋" w:hAnsi="仿宋" w:eastAsia="仿宋" w:cs="仿宋"/>
                <w:color w:val="000000" w:themeColor="text1"/>
                <w:sz w:val="21"/>
                <w:szCs w:val="21"/>
                <w:lang w:val="zh-CN"/>
                <w14:textFill>
                  <w14:solidFill>
                    <w14:schemeClr w14:val="tx1"/>
                  </w14:solidFill>
                </w14:textFill>
              </w:rPr>
              <w:t>规定。</w:t>
            </w:r>
          </w:p>
        </w:tc>
      </w:tr>
    </w:tbl>
    <w:p w14:paraId="6D07FA43">
      <w:pPr>
        <w:spacing w:line="360" w:lineRule="auto"/>
        <w:ind w:firstLine="360" w:firstLineChars="1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4BC223A">
      <w:pPr>
        <w:spacing w:line="360" w:lineRule="auto"/>
        <w:ind w:firstLine="360" w:firstLineChars="1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（四）</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05438CDB">
      <w:pPr>
        <w:spacing w:line="360" w:lineRule="auto"/>
        <w:ind w:firstLine="360" w:firstLineChars="1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（五）在</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过程中</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的任何一方不得向他人透露与</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有关的技术资料、价格或其他信息。</w:t>
      </w:r>
    </w:p>
    <w:p w14:paraId="66E239A0">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74" w:name="_Toc453076389"/>
      <w:bookmarkStart w:id="75" w:name="_Toc31602"/>
      <w:r>
        <w:rPr>
          <w:rStyle w:val="74"/>
          <w:rFonts w:hint="eastAsia" w:ascii="Times New Roman" w:hAnsi="Times New Roman" w:eastAsia="宋体"/>
          <w:color w:val="000000" w:themeColor="text1"/>
          <w:lang w:val="en-US" w:eastAsia="zh-CN"/>
          <w14:textFill>
            <w14:solidFill>
              <w14:schemeClr w14:val="tx1"/>
            </w14:solidFill>
          </w14:textFill>
        </w:rPr>
        <w:t>二、</w:t>
      </w:r>
      <w:bookmarkEnd w:id="74"/>
      <w:r>
        <w:rPr>
          <w:rStyle w:val="74"/>
          <w:rFonts w:hint="eastAsia" w:ascii="Times New Roman" w:hAnsi="Times New Roman" w:eastAsia="宋体"/>
          <w:color w:val="000000" w:themeColor="text1"/>
          <w:lang w:val="en-US" w:eastAsia="zh-CN"/>
          <w14:textFill>
            <w14:solidFill>
              <w14:schemeClr w14:val="tx1"/>
            </w14:solidFill>
          </w14:textFill>
        </w:rPr>
        <w:t>成交原则</w:t>
      </w:r>
    </w:p>
    <w:bookmarkEnd w:id="75"/>
    <w:p w14:paraId="69C5E616">
      <w:pPr>
        <w:snapToGrid w:val="0"/>
        <w:spacing w:line="360" w:lineRule="auto"/>
        <w:ind w:firstLine="360" w:firstLineChars="1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（一）评标办法：</w:t>
      </w:r>
    </w:p>
    <w:p w14:paraId="1650231C">
      <w:pPr>
        <w:snapToGrid w:val="0"/>
        <w:spacing w:line="360" w:lineRule="auto"/>
        <w:ind w:firstLine="360" w:firstLineChars="1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r>
        <w:rPr>
          <w:rFonts w:hint="eastAsia" w:ascii="仿宋" w:hAnsi="仿宋" w:eastAsia="仿宋" w:cs="仿宋"/>
          <w:color w:val="000000" w:themeColor="text1"/>
          <w:sz w:val="24"/>
          <w:szCs w:val="24"/>
          <w:lang w:val="en-US"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小组采用综合评分法对资格性检查和符合性检查合格的供应商的响应文件和报价进行综合评分，综合评分法是指响应文件满足采购文件全部实质性要求且按照评审因素的量化指标评审得分最高的供应商为成交候选供应商的评审方法。供应商总得分为价格、技术等评定因素分别按照相应权重值计算分项得分后相加，满分为100分。</w:t>
      </w:r>
    </w:p>
    <w:p w14:paraId="3E11FEE2">
      <w:pPr>
        <w:snapToGrid w:val="0"/>
        <w:spacing w:line="360" w:lineRule="auto"/>
        <w:ind w:firstLine="360" w:firstLineChars="1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r>
        <w:rPr>
          <w:rFonts w:hint="eastAsia" w:ascii="仿宋" w:hAnsi="仿宋" w:eastAsia="仿宋" w:cs="仿宋"/>
          <w:color w:val="000000" w:themeColor="text1"/>
          <w:sz w:val="24"/>
          <w:szCs w:val="24"/>
          <w:lang w:val="en-US"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小组各成员独立对每个有效响应（通过资格性检查、符合性检查的供应商）的文件进行评价、打分，然后汇总每个供应商每项评分因素的得分，按评审后得分由高到低的排列顺序推荐综合得分排名前三的供应商为本项目成交候选供应商，排名第一的为第一成交候选供应商。若供应商的评审得分相同的，按照报价由低到高的顺序排列推荐。评审得分且报价相同的，由采购人自行选择成交供应商。</w:t>
      </w:r>
    </w:p>
    <w:p w14:paraId="3B68047B">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（二）评审标准</w:t>
      </w:r>
    </w:p>
    <w:tbl>
      <w:tblPr>
        <w:tblStyle w:val="63"/>
        <w:tblW w:w="10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1287"/>
        <w:gridCol w:w="448"/>
        <w:gridCol w:w="5687"/>
        <w:gridCol w:w="2364"/>
      </w:tblGrid>
      <w:tr w14:paraId="74AB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544" w:type="dxa"/>
            <w:noWrap w:val="0"/>
            <w:vAlign w:val="center"/>
          </w:tcPr>
          <w:p w14:paraId="036C6D62">
            <w:pPr>
              <w:widowControl/>
              <w:spacing w:line="360" w:lineRule="auto"/>
              <w:jc w:val="center"/>
              <w:rPr>
                <w:rFonts w:hint="eastAsia" w:ascii="仿宋" w:hAnsi="仿宋" w:eastAsia="仿宋" w:cs="仿宋"/>
                <w:b/>
                <w:bCs/>
                <w:color w:val="000000" w:themeColor="text1"/>
                <w:sz w:val="21"/>
                <w:szCs w:val="21"/>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序号</w:t>
            </w:r>
          </w:p>
        </w:tc>
        <w:tc>
          <w:tcPr>
            <w:tcW w:w="1287" w:type="dxa"/>
            <w:noWrap w:val="0"/>
            <w:vAlign w:val="center"/>
          </w:tcPr>
          <w:p w14:paraId="7D1E1637">
            <w:pPr>
              <w:widowControl/>
              <w:spacing w:line="360" w:lineRule="auto"/>
              <w:jc w:val="center"/>
              <w:rPr>
                <w:rFonts w:hint="eastAsia" w:ascii="仿宋" w:hAnsi="仿宋" w:eastAsia="仿宋" w:cs="仿宋"/>
                <w:b/>
                <w:bCs/>
                <w:color w:val="000000" w:themeColor="text1"/>
                <w:sz w:val="21"/>
                <w:szCs w:val="21"/>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评分因素</w:t>
            </w:r>
          </w:p>
          <w:p w14:paraId="74638F35">
            <w:pPr>
              <w:widowControl/>
              <w:spacing w:line="360" w:lineRule="auto"/>
              <w:jc w:val="center"/>
              <w:rPr>
                <w:rFonts w:hint="eastAsia" w:ascii="仿宋" w:hAnsi="仿宋" w:eastAsia="仿宋" w:cs="仿宋"/>
                <w:b/>
                <w:bCs/>
                <w:color w:val="000000" w:themeColor="text1"/>
                <w:sz w:val="21"/>
                <w:szCs w:val="21"/>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及权重</w:t>
            </w:r>
          </w:p>
        </w:tc>
        <w:tc>
          <w:tcPr>
            <w:tcW w:w="448" w:type="dxa"/>
            <w:noWrap w:val="0"/>
            <w:vAlign w:val="center"/>
          </w:tcPr>
          <w:p w14:paraId="568AA69E">
            <w:pPr>
              <w:widowControl/>
              <w:spacing w:line="360" w:lineRule="auto"/>
              <w:jc w:val="center"/>
              <w:rPr>
                <w:rFonts w:hint="eastAsia" w:ascii="仿宋" w:hAnsi="仿宋" w:eastAsia="仿宋" w:cs="仿宋"/>
                <w:b/>
                <w:bCs/>
                <w:color w:val="000000" w:themeColor="text1"/>
                <w:sz w:val="21"/>
                <w:szCs w:val="21"/>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分值</w:t>
            </w:r>
          </w:p>
        </w:tc>
        <w:tc>
          <w:tcPr>
            <w:tcW w:w="5687" w:type="dxa"/>
            <w:noWrap w:val="0"/>
            <w:vAlign w:val="center"/>
          </w:tcPr>
          <w:p w14:paraId="5931ADCE">
            <w:pPr>
              <w:widowControl/>
              <w:spacing w:line="360" w:lineRule="auto"/>
              <w:jc w:val="center"/>
              <w:rPr>
                <w:rFonts w:hint="eastAsia" w:ascii="仿宋" w:hAnsi="仿宋" w:eastAsia="仿宋" w:cs="仿宋"/>
                <w:b/>
                <w:bCs/>
                <w:color w:val="000000" w:themeColor="text1"/>
                <w:sz w:val="21"/>
                <w:szCs w:val="21"/>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评分标准</w:t>
            </w:r>
          </w:p>
        </w:tc>
        <w:tc>
          <w:tcPr>
            <w:tcW w:w="2364" w:type="dxa"/>
            <w:noWrap w:val="0"/>
            <w:vAlign w:val="center"/>
          </w:tcPr>
          <w:p w14:paraId="085A5D9D">
            <w:pPr>
              <w:widowControl/>
              <w:spacing w:line="360" w:lineRule="auto"/>
              <w:jc w:val="center"/>
              <w:rPr>
                <w:rFonts w:hint="eastAsia" w:ascii="仿宋" w:hAnsi="仿宋" w:eastAsia="仿宋" w:cs="仿宋"/>
                <w:b/>
                <w:bCs/>
                <w:color w:val="000000" w:themeColor="text1"/>
                <w:sz w:val="21"/>
                <w:szCs w:val="21"/>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说明</w:t>
            </w:r>
          </w:p>
        </w:tc>
      </w:tr>
      <w:tr w14:paraId="3C13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544" w:type="dxa"/>
            <w:noWrap w:val="0"/>
            <w:vAlign w:val="center"/>
          </w:tcPr>
          <w:p w14:paraId="6A360CFD">
            <w:pPr>
              <w:widowControl/>
              <w:spacing w:line="360"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1</w:t>
            </w:r>
          </w:p>
        </w:tc>
        <w:tc>
          <w:tcPr>
            <w:tcW w:w="1287" w:type="dxa"/>
            <w:noWrap w:val="0"/>
            <w:vAlign w:val="center"/>
          </w:tcPr>
          <w:p w14:paraId="0312A26F">
            <w:pPr>
              <w:widowControl/>
              <w:spacing w:line="360" w:lineRule="auto"/>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报价</w:t>
            </w:r>
            <w:r>
              <w:rPr>
                <w:rFonts w:hint="eastAsia" w:ascii="仿宋" w:hAnsi="仿宋" w:eastAsia="仿宋" w:cs="仿宋"/>
                <w:color w:val="000000" w:themeColor="text1"/>
                <w:sz w:val="21"/>
                <w:szCs w:val="21"/>
                <w:lang w:val="en-US" w:eastAsia="zh-CN"/>
                <w14:textFill>
                  <w14:solidFill>
                    <w14:schemeClr w14:val="tx1"/>
                  </w14:solidFill>
                </w14:textFill>
              </w:rPr>
              <w:t>部分</w:t>
            </w:r>
            <w:r>
              <w:rPr>
                <w:rFonts w:hint="eastAsia" w:ascii="仿宋" w:hAnsi="仿宋" w:eastAsia="仿宋" w:cs="仿宋"/>
                <w:color w:val="000000" w:themeColor="text1"/>
                <w:sz w:val="21"/>
                <w:szCs w:val="21"/>
                <w14:textFill>
                  <w14:solidFill>
                    <w14:schemeClr w14:val="tx1"/>
                  </w14:solidFill>
                </w14:textFill>
              </w:rPr>
              <w:t>（</w:t>
            </w:r>
            <w:r>
              <w:rPr>
                <w:rFonts w:hint="eastAsia" w:ascii="仿宋" w:hAnsi="仿宋" w:eastAsia="仿宋" w:cs="仿宋"/>
                <w:color w:val="000000" w:themeColor="text1"/>
                <w:sz w:val="21"/>
                <w:szCs w:val="21"/>
                <w:lang w:val="en-US" w:eastAsia="zh-CN"/>
                <w14:textFill>
                  <w14:solidFill>
                    <w14:schemeClr w14:val="tx1"/>
                  </w14:solidFill>
                </w14:textFill>
              </w:rPr>
              <w:t>30</w:t>
            </w:r>
            <w:r>
              <w:rPr>
                <w:rFonts w:hint="eastAsia" w:ascii="仿宋" w:hAnsi="仿宋" w:eastAsia="仿宋" w:cs="仿宋"/>
                <w:color w:val="000000" w:themeColor="text1"/>
                <w:sz w:val="21"/>
                <w:szCs w:val="21"/>
                <w14:textFill>
                  <w14:solidFill>
                    <w14:schemeClr w14:val="tx1"/>
                  </w14:solidFill>
                </w14:textFill>
              </w:rPr>
              <w:t>%）</w:t>
            </w:r>
          </w:p>
        </w:tc>
        <w:tc>
          <w:tcPr>
            <w:tcW w:w="448" w:type="dxa"/>
            <w:noWrap w:val="0"/>
            <w:vAlign w:val="center"/>
          </w:tcPr>
          <w:p w14:paraId="1B44E6F4">
            <w:pPr>
              <w:widowControl/>
              <w:spacing w:line="360" w:lineRule="auto"/>
              <w:jc w:val="left"/>
              <w:rPr>
                <w:rFonts w:hint="default"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30</w:t>
            </w:r>
          </w:p>
        </w:tc>
        <w:tc>
          <w:tcPr>
            <w:tcW w:w="5687" w:type="dxa"/>
            <w:noWrap w:val="0"/>
            <w:vAlign w:val="center"/>
          </w:tcPr>
          <w:p w14:paraId="452D28E0">
            <w:pPr>
              <w:widowControl/>
              <w:spacing w:line="360" w:lineRule="auto"/>
              <w:jc w:val="lef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有效的投标报价中的最低价为评标基准价，其价格分为满分。其他供应商的价格分统一按照下列公式计算：</w:t>
            </w:r>
          </w:p>
          <w:p w14:paraId="514A2E29">
            <w:pPr>
              <w:widowControl/>
              <w:spacing w:line="360" w:lineRule="auto"/>
              <w:jc w:val="left"/>
              <w:rPr>
                <w:rFonts w:hint="eastAsia" w:ascii="仿宋" w:hAnsi="仿宋" w:eastAsia="仿宋" w:cs="仿宋"/>
                <w:color w:val="000000" w:themeColor="text1"/>
                <w:sz w:val="21"/>
                <w:szCs w:val="21"/>
                <w:lang w:eastAsia="zh-CN"/>
                <w14:textFill>
                  <w14:solidFill>
                    <w14:schemeClr w14:val="tx1"/>
                  </w14:solidFill>
                </w14:textFill>
              </w:rPr>
            </w:pPr>
            <w:r>
              <w:rPr>
                <w:rFonts w:hint="eastAsia" w:ascii="仿宋" w:hAnsi="仿宋" w:eastAsia="仿宋" w:cs="仿宋"/>
                <w:color w:val="auto"/>
                <w:sz w:val="21"/>
                <w:szCs w:val="21"/>
                <w:lang w:eastAsia="zh-CN"/>
              </w:rPr>
              <w:t>投标报价得分＝（评标基准价/投标报价）×价格权重×100</w:t>
            </w:r>
          </w:p>
        </w:tc>
        <w:tc>
          <w:tcPr>
            <w:tcW w:w="2364" w:type="dxa"/>
            <w:noWrap w:val="0"/>
            <w:vAlign w:val="center"/>
          </w:tcPr>
          <w:p w14:paraId="5C264CC9">
            <w:pPr>
              <w:widowControl/>
              <w:spacing w:line="360" w:lineRule="auto"/>
              <w:jc w:val="left"/>
              <w:rPr>
                <w:rFonts w:hint="eastAsia" w:ascii="仿宋" w:hAnsi="仿宋" w:eastAsia="仿宋" w:cs="仿宋"/>
                <w:color w:val="000000" w:themeColor="text1"/>
                <w:sz w:val="21"/>
                <w:szCs w:val="21"/>
                <w:lang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w:t>
            </w:r>
          </w:p>
        </w:tc>
      </w:tr>
      <w:tr w14:paraId="70F8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44" w:type="dxa"/>
            <w:vMerge w:val="restart"/>
            <w:noWrap w:val="0"/>
            <w:vAlign w:val="center"/>
          </w:tcPr>
          <w:p w14:paraId="7CD57791">
            <w:pPr>
              <w:widowControl/>
              <w:spacing w:line="360" w:lineRule="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2</w:t>
            </w:r>
          </w:p>
        </w:tc>
        <w:tc>
          <w:tcPr>
            <w:tcW w:w="1287" w:type="dxa"/>
            <w:vMerge w:val="restart"/>
            <w:noWrap w:val="0"/>
            <w:vAlign w:val="center"/>
          </w:tcPr>
          <w:p w14:paraId="0D13EFEA">
            <w:pPr>
              <w:widowControl/>
              <w:spacing w:line="360" w:lineRule="auto"/>
              <w:jc w:val="left"/>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技术部分（70%）</w:t>
            </w:r>
          </w:p>
        </w:tc>
        <w:tc>
          <w:tcPr>
            <w:tcW w:w="448" w:type="dxa"/>
            <w:vMerge w:val="restart"/>
            <w:noWrap w:val="0"/>
            <w:vAlign w:val="center"/>
          </w:tcPr>
          <w:p w14:paraId="00317633">
            <w:pPr>
              <w:widowControl/>
              <w:spacing w:line="360" w:lineRule="auto"/>
              <w:jc w:val="left"/>
              <w:rPr>
                <w:rFonts w:hint="default"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70</w:t>
            </w:r>
          </w:p>
        </w:tc>
        <w:tc>
          <w:tcPr>
            <w:tcW w:w="5687" w:type="dxa"/>
            <w:noWrap w:val="0"/>
            <w:vAlign w:val="center"/>
          </w:tcPr>
          <w:p w14:paraId="681FA09A">
            <w:pPr>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施工方案</w:t>
            </w:r>
            <w:r>
              <w:rPr>
                <w:rFonts w:hint="eastAsia" w:ascii="仿宋" w:hAnsi="仿宋" w:eastAsia="仿宋" w:cs="仿宋"/>
                <w:color w:val="000000" w:themeColor="text1"/>
                <w:sz w:val="21"/>
                <w:szCs w:val="21"/>
                <w:lang w:val="en-US" w:eastAsia="zh-CN"/>
                <w14:textFill>
                  <w14:solidFill>
                    <w14:schemeClr w14:val="tx1"/>
                  </w14:solidFill>
                </w14:textFill>
              </w:rPr>
              <w:t>与施工配置情况（20分）</w:t>
            </w:r>
          </w:p>
          <w:p w14:paraId="7E71BA1D">
            <w:pPr>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根据本项目的实际情况，提供施工方案，包含不限于施工方法、施工顺序、施工器具、施工技术、施工材料、对施工现场周围环境污染的保护措施等；提供施工设备配置情况，包含不限于施工组织架构、人员配备、资源配备及设备配置等</w:t>
            </w:r>
            <w:r>
              <w:rPr>
                <w:rFonts w:hint="eastAsia" w:ascii="仿宋" w:hAnsi="仿宋" w:eastAsia="仿宋" w:cs="仿宋"/>
                <w:color w:val="000000" w:themeColor="text1"/>
                <w:sz w:val="21"/>
                <w:szCs w:val="21"/>
                <w:lang w:val="en-US" w:eastAsia="zh-CN"/>
                <w14:textFill>
                  <w14:solidFill>
                    <w14:schemeClr w14:val="tx1"/>
                  </w14:solidFill>
                </w14:textFill>
              </w:rPr>
              <w:t>。</w:t>
            </w:r>
          </w:p>
          <w:p w14:paraId="61138C39">
            <w:pPr>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方案内容不存在瑕疵得15（含）-20分、方案内容存在1处瑕疵得10-15（不含）分、方案内容存在2处瑕疵得5-10（不含）分、方案内容存在3处瑕疵得1-5（不含）分，方案内容存在4处及以上瑕疵的或未提供得0分。</w:t>
            </w:r>
          </w:p>
        </w:tc>
        <w:tc>
          <w:tcPr>
            <w:tcW w:w="2364" w:type="dxa"/>
            <w:vMerge w:val="restart"/>
            <w:noWrap w:val="0"/>
            <w:vAlign w:val="center"/>
          </w:tcPr>
          <w:p w14:paraId="5219A716">
            <w:pPr>
              <w:widowControl/>
              <w:spacing w:line="360" w:lineRule="auto"/>
              <w:rPr>
                <w:rFonts w:hint="eastAsia" w:ascii="仿宋" w:hAnsi="仿宋" w:eastAsia="仿宋" w:cs="仿宋"/>
                <w:color w:val="000000" w:themeColor="text1"/>
                <w:sz w:val="21"/>
                <w:szCs w:val="21"/>
                <w14:textFill>
                  <w14:solidFill>
                    <w14:schemeClr w14:val="tx1"/>
                  </w14:solidFill>
                </w14:textFill>
              </w:rPr>
            </w:pPr>
          </w:p>
          <w:p w14:paraId="6587CF8C">
            <w:pPr>
              <w:widowControl/>
              <w:spacing w:line="360" w:lineRule="auto"/>
              <w:rPr>
                <w:rFonts w:hint="eastAsia" w:ascii="仿宋" w:hAnsi="仿宋" w:eastAsia="仿宋" w:cs="仿宋"/>
                <w:color w:val="000000" w:themeColor="text1"/>
                <w:sz w:val="21"/>
                <w:szCs w:val="21"/>
                <w:lang w:eastAsia="zh-CN"/>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本项内容中所称的“瑕疵”指：①方案内容缺项、内容表述不完整；②方案内容表述前后矛盾、无连贯性；③内容存在逻辑漏洞或常识错误；④可实施性差，不能保障该项工作开展。上述任意一种情形均作为1处瑕疵</w:t>
            </w:r>
            <w:r>
              <w:rPr>
                <w:rFonts w:hint="eastAsia" w:ascii="仿宋" w:hAnsi="仿宋" w:eastAsia="仿宋" w:cs="仿宋"/>
                <w:color w:val="000000" w:themeColor="text1"/>
                <w:sz w:val="21"/>
                <w:szCs w:val="21"/>
                <w:lang w:eastAsia="zh-CN"/>
                <w14:textFill>
                  <w14:solidFill>
                    <w14:schemeClr w14:val="tx1"/>
                  </w14:solidFill>
                </w14:textFill>
              </w:rPr>
              <w:t>。</w:t>
            </w:r>
          </w:p>
          <w:p w14:paraId="4BA6D52B">
            <w:pPr>
              <w:widowControl/>
              <w:spacing w:line="360" w:lineRule="auto"/>
              <w:rPr>
                <w:rFonts w:hint="eastAsia" w:ascii="仿宋" w:hAnsi="仿宋" w:eastAsia="仿宋" w:cs="仿宋"/>
                <w:color w:val="000000" w:themeColor="text1"/>
                <w:sz w:val="21"/>
                <w:szCs w:val="21"/>
                <w:lang w:eastAsia="zh-CN"/>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评标委员会全体成员对技术部分每项独立进行评审打分，取算术平均值为该</w:t>
            </w:r>
            <w:r>
              <w:rPr>
                <w:rFonts w:hint="eastAsia" w:ascii="仿宋" w:hAnsi="仿宋" w:eastAsia="仿宋" w:cs="仿宋"/>
                <w:color w:val="000000" w:themeColor="text1"/>
                <w:sz w:val="21"/>
                <w:szCs w:val="21"/>
                <w:lang w:eastAsia="zh-CN"/>
                <w14:textFill>
                  <w14:solidFill>
                    <w14:schemeClr w14:val="tx1"/>
                  </w14:solidFill>
                </w14:textFill>
              </w:rPr>
              <w:t>供应商</w:t>
            </w:r>
            <w:r>
              <w:rPr>
                <w:rFonts w:hint="eastAsia" w:ascii="仿宋" w:hAnsi="仿宋" w:eastAsia="仿宋" w:cs="仿宋"/>
                <w:color w:val="000000" w:themeColor="text1"/>
                <w:sz w:val="21"/>
                <w:szCs w:val="21"/>
                <w14:textFill>
                  <w14:solidFill>
                    <w14:schemeClr w14:val="tx1"/>
                  </w14:solidFill>
                </w14:textFill>
              </w:rPr>
              <w:t>技术部分得分。得分保留至小数点后两位，第三位四舍五入。</w:t>
            </w:r>
            <w:r>
              <w:rPr>
                <w:rFonts w:hint="eastAsia" w:ascii="仿宋" w:hAnsi="仿宋" w:eastAsia="仿宋" w:cs="仿宋"/>
                <w:b/>
                <w:bCs/>
                <w:color w:val="000000" w:themeColor="text1"/>
                <w:sz w:val="21"/>
                <w:szCs w:val="21"/>
                <w14:textFill>
                  <w14:solidFill>
                    <w14:schemeClr w14:val="tx1"/>
                  </w14:solidFill>
                </w14:textFill>
              </w:rPr>
              <w:t>供应商</w:t>
            </w:r>
            <w:r>
              <w:rPr>
                <w:rFonts w:hint="eastAsia" w:ascii="仿宋" w:hAnsi="仿宋" w:eastAsia="仿宋" w:cs="仿宋"/>
                <w:b/>
                <w:bCs/>
                <w:color w:val="000000" w:themeColor="text1"/>
                <w:sz w:val="21"/>
                <w:szCs w:val="21"/>
                <w:lang w:eastAsia="zh-CN"/>
                <w14:textFill>
                  <w14:solidFill>
                    <w14:schemeClr w14:val="tx1"/>
                  </w14:solidFill>
                </w14:textFill>
              </w:rPr>
              <w:t>需</w:t>
            </w:r>
            <w:r>
              <w:rPr>
                <w:rFonts w:hint="eastAsia" w:ascii="仿宋" w:hAnsi="仿宋" w:eastAsia="仿宋" w:cs="仿宋"/>
                <w:b/>
                <w:bCs/>
                <w:color w:val="000000" w:themeColor="text1"/>
                <w:sz w:val="21"/>
                <w:szCs w:val="21"/>
                <w14:textFill>
                  <w14:solidFill>
                    <w14:schemeClr w14:val="tx1"/>
                  </w14:solidFill>
                </w14:textFill>
              </w:rPr>
              <w:t>提供</w:t>
            </w:r>
            <w:r>
              <w:rPr>
                <w:rFonts w:hint="eastAsia" w:ascii="仿宋" w:hAnsi="仿宋" w:eastAsia="仿宋" w:cs="仿宋"/>
                <w:b/>
                <w:bCs/>
                <w:color w:val="000000" w:themeColor="text1"/>
                <w:sz w:val="21"/>
                <w:szCs w:val="21"/>
                <w:lang w:eastAsia="zh-CN"/>
                <w14:textFill>
                  <w14:solidFill>
                    <w14:schemeClr w14:val="tx1"/>
                  </w14:solidFill>
                </w14:textFill>
              </w:rPr>
              <w:t>服务</w:t>
            </w:r>
            <w:r>
              <w:rPr>
                <w:rFonts w:hint="eastAsia" w:ascii="仿宋" w:hAnsi="仿宋" w:eastAsia="仿宋" w:cs="仿宋"/>
                <w:b/>
                <w:bCs/>
                <w:color w:val="000000" w:themeColor="text1"/>
                <w:sz w:val="21"/>
                <w:szCs w:val="21"/>
                <w14:textFill>
                  <w14:solidFill>
                    <w14:schemeClr w14:val="tx1"/>
                  </w14:solidFill>
                </w14:textFill>
              </w:rPr>
              <w:t>方案</w:t>
            </w:r>
            <w:r>
              <w:rPr>
                <w:rFonts w:hint="eastAsia" w:ascii="仿宋" w:hAnsi="仿宋" w:eastAsia="仿宋" w:cs="仿宋"/>
                <w:b/>
                <w:bCs/>
                <w:color w:val="000000" w:themeColor="text1"/>
                <w:sz w:val="21"/>
                <w:szCs w:val="21"/>
                <w:lang w:eastAsia="zh-CN"/>
                <w14:textFill>
                  <w14:solidFill>
                    <w14:schemeClr w14:val="tx1"/>
                  </w14:solidFill>
                </w14:textFill>
              </w:rPr>
              <w:t>。（格式详见响应文件编制要求）</w:t>
            </w:r>
          </w:p>
        </w:tc>
      </w:tr>
      <w:tr w14:paraId="6B33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544" w:type="dxa"/>
            <w:vMerge w:val="continue"/>
            <w:noWrap w:val="0"/>
            <w:vAlign w:val="center"/>
          </w:tcPr>
          <w:p w14:paraId="7C509553">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c>
          <w:tcPr>
            <w:tcW w:w="1287" w:type="dxa"/>
            <w:vMerge w:val="continue"/>
            <w:noWrap w:val="0"/>
            <w:vAlign w:val="center"/>
          </w:tcPr>
          <w:p w14:paraId="0F6262E8">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c>
          <w:tcPr>
            <w:tcW w:w="448" w:type="dxa"/>
            <w:vMerge w:val="continue"/>
            <w:noWrap w:val="0"/>
            <w:vAlign w:val="center"/>
          </w:tcPr>
          <w:p w14:paraId="5F2B5E5B">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c>
          <w:tcPr>
            <w:tcW w:w="5687" w:type="dxa"/>
            <w:noWrap w:val="0"/>
            <w:vAlign w:val="center"/>
          </w:tcPr>
          <w:p w14:paraId="11622B05">
            <w:pPr>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2.质量保证措施（20分）</w:t>
            </w:r>
          </w:p>
          <w:p w14:paraId="72BDC27C">
            <w:pPr>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质量保证措施是否健全有效，硬性措施是否切实可行，限期工程的赶工措施是否可行。保证措施具有针对性，材料的质量保证措施满足采购文件所要求的工程质量要求等</w:t>
            </w:r>
            <w:r>
              <w:rPr>
                <w:rFonts w:hint="eastAsia" w:ascii="仿宋" w:hAnsi="仿宋" w:eastAsia="仿宋" w:cs="仿宋"/>
                <w:color w:val="000000" w:themeColor="text1"/>
                <w:sz w:val="21"/>
                <w:szCs w:val="21"/>
                <w:lang w:val="en-US" w:eastAsia="zh-CN"/>
                <w14:textFill>
                  <w14:solidFill>
                    <w14:schemeClr w14:val="tx1"/>
                  </w14:solidFill>
                </w14:textFill>
              </w:rPr>
              <w:t>。</w:t>
            </w:r>
          </w:p>
          <w:p w14:paraId="0712F4E3">
            <w:pPr>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方案内容不存在瑕疵得15（含）-20分、方案内容存在1处瑕疵得10-15（不含）分、方案内容存在2处瑕疵得5-10（不含）分、方案内容存在3处瑕疵得1-5（不含）分，方案内容存在4处及以上瑕疵的或未提供得0分。</w:t>
            </w:r>
          </w:p>
        </w:tc>
        <w:tc>
          <w:tcPr>
            <w:tcW w:w="2364" w:type="dxa"/>
            <w:vMerge w:val="continue"/>
            <w:noWrap w:val="0"/>
            <w:vAlign w:val="center"/>
          </w:tcPr>
          <w:p w14:paraId="237E9663">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r>
      <w:tr w14:paraId="3E44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3" w:hRule="atLeast"/>
          <w:jc w:val="center"/>
        </w:trPr>
        <w:tc>
          <w:tcPr>
            <w:tcW w:w="544" w:type="dxa"/>
            <w:vMerge w:val="continue"/>
            <w:noWrap w:val="0"/>
            <w:vAlign w:val="center"/>
          </w:tcPr>
          <w:p w14:paraId="5BCEB3A1">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c>
          <w:tcPr>
            <w:tcW w:w="1287" w:type="dxa"/>
            <w:vMerge w:val="continue"/>
            <w:noWrap w:val="0"/>
            <w:vAlign w:val="center"/>
          </w:tcPr>
          <w:p w14:paraId="73D4DD64">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c>
          <w:tcPr>
            <w:tcW w:w="448" w:type="dxa"/>
            <w:vMerge w:val="continue"/>
            <w:noWrap w:val="0"/>
            <w:vAlign w:val="center"/>
          </w:tcPr>
          <w:p w14:paraId="6D0DA194">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c>
          <w:tcPr>
            <w:tcW w:w="5687" w:type="dxa"/>
            <w:noWrap w:val="0"/>
            <w:vAlign w:val="center"/>
          </w:tcPr>
          <w:p w14:paraId="6873B6BD">
            <w:pPr>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3.</w:t>
            </w:r>
            <w:r>
              <w:rPr>
                <w:rFonts w:hint="eastAsia" w:ascii="仿宋" w:hAnsi="仿宋" w:eastAsia="仿宋" w:cs="仿宋"/>
                <w:color w:val="000000" w:themeColor="text1"/>
                <w:sz w:val="22"/>
                <w:szCs w:val="22"/>
                <w:highlight w:val="none"/>
                <w:lang w:val="en-US" w:eastAsia="zh-CN"/>
                <w14:textFill>
                  <w14:solidFill>
                    <w14:schemeClr w14:val="tx1"/>
                  </w14:solidFill>
                </w14:textFill>
              </w:rPr>
              <w:t>安全及应急预案</w:t>
            </w:r>
            <w:r>
              <w:rPr>
                <w:rFonts w:hint="eastAsia" w:ascii="仿宋" w:hAnsi="仿宋" w:eastAsia="仿宋" w:cs="仿宋"/>
                <w:color w:val="000000" w:themeColor="text1"/>
                <w:sz w:val="21"/>
                <w:szCs w:val="21"/>
                <w:lang w:val="en-US" w:eastAsia="zh-CN"/>
                <w14:textFill>
                  <w14:solidFill>
                    <w14:schemeClr w14:val="tx1"/>
                  </w14:solidFill>
                </w14:textFill>
              </w:rPr>
              <w:t>（15分）</w:t>
            </w:r>
          </w:p>
          <w:p w14:paraId="1197B207">
            <w:pPr>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安全及应急预案全有效，施工安全专项方案及安全管理保证措施具有针对性、文明施工和防止扰民措施是否得当等。方案内容不存在瑕疵得11（含）-15分、方案内容存在1处瑕疵得7-11（不含）分、方案内容存在2处瑕疵得3-7(不含）分、方案内容存在3处瑕疵得1-3（不含）分，方案内容存在4处及以上瑕疵的或未提供得0分。</w:t>
            </w:r>
          </w:p>
        </w:tc>
        <w:tc>
          <w:tcPr>
            <w:tcW w:w="2364" w:type="dxa"/>
            <w:vMerge w:val="continue"/>
            <w:noWrap w:val="0"/>
            <w:vAlign w:val="center"/>
          </w:tcPr>
          <w:p w14:paraId="411F20D4">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r>
      <w:tr w14:paraId="2055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3" w:hRule="atLeast"/>
          <w:jc w:val="center"/>
        </w:trPr>
        <w:tc>
          <w:tcPr>
            <w:tcW w:w="544" w:type="dxa"/>
            <w:vMerge w:val="continue"/>
            <w:noWrap w:val="0"/>
            <w:vAlign w:val="center"/>
          </w:tcPr>
          <w:p w14:paraId="2E399E5B">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c>
          <w:tcPr>
            <w:tcW w:w="1287" w:type="dxa"/>
            <w:vMerge w:val="continue"/>
            <w:noWrap w:val="0"/>
            <w:vAlign w:val="center"/>
          </w:tcPr>
          <w:p w14:paraId="02783444">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c>
          <w:tcPr>
            <w:tcW w:w="448" w:type="dxa"/>
            <w:vMerge w:val="continue"/>
            <w:noWrap w:val="0"/>
            <w:vAlign w:val="center"/>
          </w:tcPr>
          <w:p w14:paraId="696F8367">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c>
          <w:tcPr>
            <w:tcW w:w="5687" w:type="dxa"/>
            <w:noWrap w:val="0"/>
            <w:vAlign w:val="center"/>
          </w:tcPr>
          <w:p w14:paraId="10E2FB3B">
            <w:pPr>
              <w:spacing w:line="360" w:lineRule="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4.进度计划（15分）</w:t>
            </w:r>
          </w:p>
          <w:p w14:paraId="36A9C854">
            <w:pPr>
              <w:spacing w:line="360" w:lineRule="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进度安排满足项目进度要求，关键线路进度安排可行、合理，实现进度安排的保证措施可行，工期安排合理可行，有序组织施工，在确保质量、降低成本、缩短工期、减轻劳动强度、提高工效等。方案内容不存在瑕疵得11（含）-15分、方案内容存在1处瑕疵得7-11（不含）分、方案内容存在2处瑕疵得3-7(不含）分、方案内容存在3处瑕疵得1-3（不含）分，方案内容存在4处及以上瑕疵的或未提供得0分。</w:t>
            </w:r>
          </w:p>
        </w:tc>
        <w:tc>
          <w:tcPr>
            <w:tcW w:w="2364" w:type="dxa"/>
            <w:vMerge w:val="continue"/>
            <w:noWrap w:val="0"/>
            <w:vAlign w:val="center"/>
          </w:tcPr>
          <w:p w14:paraId="07C648CC">
            <w:pPr>
              <w:widowControl/>
              <w:spacing w:line="360" w:lineRule="auto"/>
              <w:rPr>
                <w:rFonts w:hint="eastAsia" w:ascii="仿宋" w:hAnsi="仿宋" w:eastAsia="仿宋" w:cs="仿宋"/>
                <w:color w:val="000000" w:themeColor="text1"/>
                <w:sz w:val="21"/>
                <w:szCs w:val="21"/>
                <w14:textFill>
                  <w14:solidFill>
                    <w14:schemeClr w14:val="tx1"/>
                  </w14:solidFill>
                </w14:textFill>
              </w:rPr>
            </w:pPr>
          </w:p>
        </w:tc>
      </w:tr>
      <w:tr w14:paraId="7D74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44" w:type="dxa"/>
            <w:noWrap w:val="0"/>
            <w:vAlign w:val="center"/>
          </w:tcPr>
          <w:p w14:paraId="762FCFB3">
            <w:pPr>
              <w:widowControl/>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3</w:t>
            </w:r>
          </w:p>
        </w:tc>
        <w:tc>
          <w:tcPr>
            <w:tcW w:w="1287" w:type="dxa"/>
            <w:noWrap w:val="0"/>
            <w:vAlign w:val="center"/>
          </w:tcPr>
          <w:p w14:paraId="10D4CF31">
            <w:pPr>
              <w:widowControl/>
              <w:spacing w:line="360" w:lineRule="auto"/>
              <w:rPr>
                <w:rStyle w:val="380"/>
                <w:rFonts w:hint="eastAsia" w:ascii="仿宋" w:hAnsi="仿宋" w:eastAsia="仿宋" w:cs="仿宋"/>
                <w:color w:val="000000" w:themeColor="text1"/>
                <w:kern w:val="0"/>
                <w:sz w:val="21"/>
                <w:szCs w:val="21"/>
                <w:lang w:eastAsia="zh-CN"/>
                <w14:textFill>
                  <w14:solidFill>
                    <w14:schemeClr w14:val="tx1"/>
                  </w14:solidFill>
                </w14:textFill>
              </w:rPr>
            </w:pPr>
            <w:r>
              <w:rPr>
                <w:rStyle w:val="380"/>
                <w:rFonts w:hint="eastAsia" w:ascii="仿宋" w:hAnsi="仿宋" w:eastAsia="仿宋" w:cs="仿宋"/>
                <w:color w:val="000000" w:themeColor="text1"/>
                <w:kern w:val="0"/>
                <w:sz w:val="21"/>
                <w:szCs w:val="21"/>
                <w:lang w:eastAsia="zh-CN"/>
                <w14:textFill>
                  <w14:solidFill>
                    <w14:schemeClr w14:val="tx1"/>
                  </w14:solidFill>
                </w14:textFill>
              </w:rPr>
              <w:t>供应商</w:t>
            </w:r>
            <w:r>
              <w:rPr>
                <w:rStyle w:val="380"/>
                <w:rFonts w:hint="eastAsia" w:ascii="仿宋" w:hAnsi="仿宋" w:eastAsia="仿宋" w:cs="仿宋"/>
                <w:color w:val="000000" w:themeColor="text1"/>
                <w:kern w:val="0"/>
                <w:sz w:val="21"/>
                <w:szCs w:val="21"/>
                <w14:textFill>
                  <w14:solidFill>
                    <w14:schemeClr w14:val="tx1"/>
                  </w14:solidFill>
                </w14:textFill>
              </w:rPr>
              <w:t>得分</w:t>
            </w:r>
          </w:p>
        </w:tc>
        <w:tc>
          <w:tcPr>
            <w:tcW w:w="448" w:type="dxa"/>
            <w:noWrap w:val="0"/>
            <w:vAlign w:val="center"/>
          </w:tcPr>
          <w:p w14:paraId="001BBA94">
            <w:pPr>
              <w:widowControl/>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p>
        </w:tc>
        <w:tc>
          <w:tcPr>
            <w:tcW w:w="5687" w:type="dxa"/>
            <w:noWrap w:val="0"/>
            <w:vAlign w:val="center"/>
          </w:tcPr>
          <w:p w14:paraId="15EDA6C0">
            <w:pPr>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r>
              <w:rPr>
                <w:rStyle w:val="380"/>
                <w:rFonts w:hint="eastAsia" w:ascii="仿宋" w:hAnsi="仿宋" w:eastAsia="仿宋" w:cs="仿宋"/>
                <w:color w:val="000000" w:themeColor="text1"/>
                <w:kern w:val="0"/>
                <w:sz w:val="21"/>
                <w:szCs w:val="21"/>
                <w:lang w:eastAsia="zh-CN"/>
                <w14:textFill>
                  <w14:solidFill>
                    <w14:schemeClr w14:val="tx1"/>
                  </w14:solidFill>
                </w14:textFill>
              </w:rPr>
              <w:t>供应商</w:t>
            </w:r>
            <w:r>
              <w:rPr>
                <w:rStyle w:val="380"/>
                <w:rFonts w:hint="eastAsia" w:ascii="仿宋" w:hAnsi="仿宋" w:eastAsia="仿宋" w:cs="仿宋"/>
                <w:color w:val="000000" w:themeColor="text1"/>
                <w:kern w:val="0"/>
                <w:sz w:val="21"/>
                <w:szCs w:val="21"/>
                <w14:textFill>
                  <w14:solidFill>
                    <w14:schemeClr w14:val="tx1"/>
                  </w14:solidFill>
                </w14:textFill>
              </w:rPr>
              <w:t>得分</w:t>
            </w:r>
            <w:r>
              <w:rPr>
                <w:rStyle w:val="380"/>
                <w:rFonts w:hint="eastAsia" w:ascii="仿宋" w:hAnsi="仿宋" w:eastAsia="仿宋" w:cs="仿宋"/>
                <w:color w:val="000000" w:themeColor="text1"/>
                <w:kern w:val="0"/>
                <w:sz w:val="21"/>
                <w:szCs w:val="21"/>
                <w:lang w:val="en-US" w:eastAsia="zh-CN"/>
                <w14:textFill>
                  <w14:solidFill>
                    <w14:schemeClr w14:val="tx1"/>
                  </w14:solidFill>
                </w14:textFill>
              </w:rPr>
              <w:t>=</w:t>
            </w:r>
            <w:r>
              <w:rPr>
                <w:rFonts w:hint="eastAsia" w:ascii="仿宋" w:hAnsi="仿宋" w:eastAsia="仿宋" w:cs="仿宋"/>
                <w:color w:val="000000" w:themeColor="text1"/>
                <w:sz w:val="21"/>
                <w:szCs w:val="21"/>
                <w14:textFill>
                  <w14:solidFill>
                    <w14:schemeClr w14:val="tx1"/>
                  </w14:solidFill>
                </w14:textFill>
              </w:rPr>
              <w:t>报价</w:t>
            </w:r>
            <w:r>
              <w:rPr>
                <w:rFonts w:hint="eastAsia" w:ascii="仿宋" w:hAnsi="仿宋" w:eastAsia="仿宋" w:cs="仿宋"/>
                <w:color w:val="000000" w:themeColor="text1"/>
                <w:sz w:val="21"/>
                <w:szCs w:val="21"/>
                <w:lang w:eastAsia="zh-CN"/>
                <w14:textFill>
                  <w14:solidFill>
                    <w14:schemeClr w14:val="tx1"/>
                  </w14:solidFill>
                </w14:textFill>
              </w:rPr>
              <w:t>得分</w:t>
            </w:r>
            <w:r>
              <w:rPr>
                <w:rFonts w:hint="eastAsia" w:ascii="仿宋" w:hAnsi="仿宋" w:eastAsia="仿宋" w:cs="仿宋"/>
                <w:color w:val="000000" w:themeColor="text1"/>
                <w:sz w:val="21"/>
                <w:szCs w:val="21"/>
                <w:lang w:val="en-US" w:eastAsia="zh-CN"/>
                <w14:textFill>
                  <w14:solidFill>
                    <w14:schemeClr w14:val="tx1"/>
                  </w14:solidFill>
                </w14:textFill>
              </w:rPr>
              <w:t>+</w:t>
            </w:r>
            <w:r>
              <w:rPr>
                <w:rFonts w:hint="eastAsia" w:ascii="仿宋" w:hAnsi="仿宋" w:eastAsia="仿宋" w:cs="仿宋"/>
                <w:color w:val="000000" w:themeColor="text1"/>
                <w:sz w:val="21"/>
                <w:szCs w:val="21"/>
                <w14:textFill>
                  <w14:solidFill>
                    <w14:schemeClr w14:val="tx1"/>
                  </w14:solidFill>
                </w14:textFill>
              </w:rPr>
              <w:t>技术部分</w:t>
            </w:r>
            <w:r>
              <w:rPr>
                <w:rFonts w:hint="eastAsia" w:ascii="仿宋" w:hAnsi="仿宋" w:eastAsia="仿宋" w:cs="仿宋"/>
                <w:color w:val="000000" w:themeColor="text1"/>
                <w:sz w:val="21"/>
                <w:szCs w:val="21"/>
                <w:lang w:eastAsia="zh-CN"/>
                <w14:textFill>
                  <w14:solidFill>
                    <w14:schemeClr w14:val="tx1"/>
                  </w14:solidFill>
                </w14:textFill>
              </w:rPr>
              <w:t>得分</w:t>
            </w:r>
          </w:p>
        </w:tc>
        <w:tc>
          <w:tcPr>
            <w:tcW w:w="2364" w:type="dxa"/>
            <w:noWrap w:val="0"/>
            <w:vAlign w:val="center"/>
          </w:tcPr>
          <w:p w14:paraId="7B53A097">
            <w:pPr>
              <w:widowControl/>
              <w:spacing w:line="360" w:lineRule="auto"/>
              <w:rPr>
                <w:rFonts w:hint="eastAsia" w:ascii="仿宋" w:hAnsi="仿宋" w:eastAsia="仿宋" w:cs="仿宋"/>
                <w:color w:val="000000" w:themeColor="text1"/>
                <w:sz w:val="21"/>
                <w:szCs w:val="21"/>
                <w:lang w:val="en-US" w:eastAsia="zh-CN"/>
                <w14:textFill>
                  <w14:solidFill>
                    <w14:schemeClr w14:val="tx1"/>
                  </w14:solidFill>
                </w14:textFill>
              </w:rPr>
            </w:pPr>
          </w:p>
        </w:tc>
      </w:tr>
    </w:tbl>
    <w:p w14:paraId="73198532">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5F08A341">
      <w:pPr>
        <w:widowControl/>
        <w:spacing w:line="360" w:lineRule="auto"/>
        <w:jc w:val="left"/>
        <w:rPr>
          <w:rStyle w:val="74"/>
          <w:rFonts w:hint="default" w:ascii="Times New Roman" w:hAnsi="Times New Roman" w:eastAsia="宋体"/>
          <w:color w:val="000000" w:themeColor="text1"/>
          <w:lang w:val="en-US" w:eastAsia="zh-CN"/>
          <w14:textFill>
            <w14:solidFill>
              <w14:schemeClr w14:val="tx1"/>
            </w14:solidFill>
          </w14:textFill>
        </w:rPr>
      </w:pPr>
      <w:bookmarkStart w:id="76" w:name="_Toc64550276"/>
      <w:bookmarkStart w:id="77" w:name="_Toc19307"/>
      <w:bookmarkStart w:id="78" w:name="_Toc4493"/>
      <w:r>
        <w:rPr>
          <w:rStyle w:val="74"/>
          <w:rFonts w:hint="eastAsia" w:ascii="Times New Roman" w:hAnsi="Times New Roman" w:eastAsia="宋体"/>
          <w:color w:val="000000" w:themeColor="text1"/>
          <w:lang w:val="en-US" w:eastAsia="zh-CN"/>
          <w14:textFill>
            <w14:solidFill>
              <w14:schemeClr w14:val="tx1"/>
            </w14:solidFill>
          </w14:textFill>
        </w:rPr>
        <w:t>三、无效</w:t>
      </w:r>
      <w:bookmarkEnd w:id="76"/>
      <w:bookmarkEnd w:id="77"/>
      <w:r>
        <w:rPr>
          <w:rStyle w:val="74"/>
          <w:rFonts w:hint="eastAsia"/>
          <w:color w:val="000000" w:themeColor="text1"/>
          <w:lang w:val="en-US" w:eastAsia="zh-CN"/>
          <w14:textFill>
            <w14:solidFill>
              <w14:schemeClr w14:val="tx1"/>
            </w14:solidFill>
          </w14:textFill>
        </w:rPr>
        <w:t>采购</w:t>
      </w:r>
    </w:p>
    <w:bookmarkEnd w:id="78"/>
    <w:p w14:paraId="1EA6C98E">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供应商发生以下条款情况之一者，视为无效</w:t>
      </w:r>
      <w:r>
        <w:rPr>
          <w:rFonts w:hint="eastAsia" w:ascii="仿宋" w:hAnsi="仿宋" w:eastAsia="仿宋" w:cs="仿宋"/>
          <w:color w:val="000000" w:themeColor="text1"/>
          <w:sz w:val="24"/>
          <w:szCs w:val="24"/>
          <w:lang w:val="en-US"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w:t>
      </w:r>
    </w:p>
    <w:p w14:paraId="6AF410F8">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（一）供应商不符合规定的基本资格条件或特定资格条件的；</w:t>
      </w:r>
    </w:p>
    <w:p w14:paraId="3952ED09">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（二）供应商未通过符合性检查的；</w:t>
      </w:r>
    </w:p>
    <w:p w14:paraId="393FE471">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（三）供应商未实质性响应</w:t>
      </w:r>
      <w:r>
        <w:rPr>
          <w:rFonts w:hint="eastAsia" w:ascii="仿宋" w:hAnsi="仿宋" w:eastAsia="仿宋" w:cs="仿宋"/>
          <w:color w:val="000000" w:themeColor="text1"/>
          <w:sz w:val="24"/>
          <w:szCs w:val="24"/>
          <w:lang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文件的；</w:t>
      </w:r>
    </w:p>
    <w:p w14:paraId="048A8651">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（四）供应商的法定代表人或其授权代表未参加</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的；</w:t>
      </w:r>
    </w:p>
    <w:p w14:paraId="49F55A3D">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（五）供应商所提交的响应文件不按规定签字、盖章的；</w:t>
      </w:r>
    </w:p>
    <w:p w14:paraId="46BB1358">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（六）供应商的报价超过采购预算或最高限价的；</w:t>
      </w:r>
    </w:p>
    <w:p w14:paraId="71305944">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（七）供应商不接受</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小组修正后的价格的；</w:t>
      </w:r>
    </w:p>
    <w:p w14:paraId="3F0DF5ED">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（八）</w:t>
      </w:r>
      <w:r>
        <w:rPr>
          <w:rFonts w:hint="eastAsia" w:ascii="仿宋" w:hAnsi="仿宋" w:eastAsia="仿宋" w:cs="仿宋"/>
          <w:color w:val="000000" w:themeColor="text1"/>
          <w:sz w:val="24"/>
          <w:szCs w:val="24"/>
          <w:lang w:val="en-US"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小组认为，供应商的报价明显不合理或者低于成本，有可能影响商品质量和不能诚信履约的，要求其在规定的期限内提供书面文件予以解释说明，并提交相关证明材料，供应商未在规定的期限内提供书面文件予以解释说明，并提交相关证明材料的；</w:t>
      </w:r>
    </w:p>
    <w:p w14:paraId="214677C1">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（九）单位负责人为同一人或者存在直接控股、管理关系的不同供应商，参加同一合同项（分包）</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的；</w:t>
      </w:r>
    </w:p>
    <w:p w14:paraId="564E3B9D">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（十）为采购项目提供整体设计、规范编制或者项目管理、监理、检测等服务的供应商再参加该采购项目的其他采购活动的； </w:t>
      </w:r>
    </w:p>
    <w:p w14:paraId="7421EE8F">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（十一）同一合同项（分包）下的货物，制造商参与</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，再委托代理商参与</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的；</w:t>
      </w:r>
    </w:p>
    <w:p w14:paraId="38C241A1">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（十二）供应商以联合体形式参与</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的；</w:t>
      </w:r>
    </w:p>
    <w:p w14:paraId="5E6E9325">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（十三）供应商响应文件内容有与国家现行法律法规相违背的内容，或附有采购人无法接受条件的。</w:t>
      </w:r>
    </w:p>
    <w:p w14:paraId="2A78AB8E">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79" w:name="_Toc24304"/>
      <w:bookmarkStart w:id="80" w:name="_Toc64550277"/>
      <w:bookmarkStart w:id="81" w:name="_Toc26913"/>
      <w:r>
        <w:rPr>
          <w:rStyle w:val="74"/>
          <w:rFonts w:hint="eastAsia" w:ascii="Times New Roman" w:hAnsi="Times New Roman" w:eastAsia="宋体"/>
          <w:color w:val="000000" w:themeColor="text1"/>
          <w:lang w:val="en-US" w:eastAsia="zh-CN"/>
          <w14:textFill>
            <w14:solidFill>
              <w14:schemeClr w14:val="tx1"/>
            </w14:solidFill>
          </w14:textFill>
        </w:rPr>
        <w:t>四、采购终止</w:t>
      </w:r>
      <w:bookmarkEnd w:id="79"/>
      <w:bookmarkEnd w:id="80"/>
    </w:p>
    <w:bookmarkEnd w:id="81"/>
    <w:p w14:paraId="6AFAF25B">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出现下列情形之一的，采购人或者采购代理机构应当终止采购活动，发布项目终止公告并说明原因，重新开展采购活动：</w:t>
      </w:r>
    </w:p>
    <w:p w14:paraId="7339D580">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（一）因情况变化，不再符合规定的采购方式适用情形的；</w:t>
      </w:r>
    </w:p>
    <w:p w14:paraId="63B2135A">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（二）出现影响采购公正的违法、违规行为的；</w:t>
      </w:r>
    </w:p>
    <w:p w14:paraId="0822AC7D">
      <w:pPr>
        <w:pStyle w:val="4"/>
        <w:spacing w:line="360" w:lineRule="auto"/>
        <w:jc w:val="center"/>
        <w:rPr>
          <w:rFonts w:hint="eastAsia" w:ascii="仿宋" w:hAnsi="仿宋" w:eastAsia="仿宋" w:cs="仿宋"/>
          <w:color w:val="000000" w:themeColor="text1"/>
          <w:sz w:val="24"/>
          <w:szCs w:val="24"/>
          <w14:textFill>
            <w14:solidFill>
              <w14:schemeClr w14:val="tx1"/>
            </w14:solidFill>
          </w14:textFill>
        </w:rPr>
      </w:pPr>
    </w:p>
    <w:p w14:paraId="0B3A93F8">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sectPr>
          <w:headerReference r:id="rId5" w:type="default"/>
          <w:footerReference r:id="rId6" w:type="default"/>
          <w:pgSz w:w="11907" w:h="16840"/>
          <w:pgMar w:top="1134" w:right="1134" w:bottom="1134" w:left="1247" w:header="1077" w:footer="794" w:gutter="0"/>
          <w:pgNumType w:fmt="decimal" w:start="1"/>
          <w:cols w:space="720" w:num="1"/>
          <w:docGrid w:linePitch="381" w:charSpace="0"/>
        </w:sectPr>
      </w:pPr>
    </w:p>
    <w:p w14:paraId="2DBF2DC3">
      <w:pPr>
        <w:pStyle w:val="4"/>
        <w:spacing w:line="360" w:lineRule="auto"/>
        <w:jc w:val="center"/>
        <w:rPr>
          <w:rFonts w:hint="eastAsia" w:ascii="仿宋" w:hAnsi="仿宋" w:eastAsia="仿宋" w:cs="仿宋"/>
          <w:color w:val="000000" w:themeColor="text1"/>
          <w:sz w:val="28"/>
          <w:szCs w:val="28"/>
          <w14:textFill>
            <w14:solidFill>
              <w14:schemeClr w14:val="tx1"/>
            </w14:solidFill>
          </w14:textFill>
        </w:rPr>
      </w:pPr>
      <w:bookmarkStart w:id="82" w:name="_Hlt41879464"/>
      <w:bookmarkEnd w:id="82"/>
      <w:bookmarkStart w:id="83" w:name="_Toc5413"/>
      <w:bookmarkStart w:id="84" w:name="_Toc12789072"/>
      <w:r>
        <w:rPr>
          <w:rFonts w:hint="eastAsia" w:ascii="仿宋" w:hAnsi="仿宋" w:eastAsia="仿宋" w:cs="仿宋"/>
          <w:color w:val="000000" w:themeColor="text1"/>
          <w:sz w:val="28"/>
          <w:szCs w:val="28"/>
          <w14:textFill>
            <w14:solidFill>
              <w14:schemeClr w14:val="tx1"/>
            </w14:solidFill>
          </w14:textFill>
        </w:rPr>
        <w:t>第五篇  供应商须知</w:t>
      </w:r>
      <w:bookmarkEnd w:id="83"/>
    </w:p>
    <w:p w14:paraId="2C33EE2C">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85" w:name="_Toc342913389"/>
      <w:bookmarkStart w:id="86" w:name="_Toc8012"/>
      <w:bookmarkStart w:id="87" w:name="_Toc14218"/>
      <w:r>
        <w:rPr>
          <w:rStyle w:val="74"/>
          <w:rFonts w:hint="eastAsia" w:ascii="Times New Roman" w:hAnsi="Times New Roman" w:eastAsia="宋体"/>
          <w:color w:val="000000" w:themeColor="text1"/>
          <w:lang w:val="en-US" w:eastAsia="zh-CN"/>
          <w14:textFill>
            <w14:solidFill>
              <w14:schemeClr w14:val="tx1"/>
            </w14:solidFill>
          </w14:textFill>
        </w:rPr>
        <w:t>一、</w:t>
      </w:r>
      <w:r>
        <w:rPr>
          <w:rStyle w:val="74"/>
          <w:rFonts w:hint="eastAsia"/>
          <w:color w:val="000000" w:themeColor="text1"/>
          <w:lang w:val="en-US" w:eastAsia="zh-CN"/>
          <w14:textFill>
            <w14:solidFill>
              <w14:schemeClr w14:val="tx1"/>
            </w14:solidFill>
          </w14:textFill>
        </w:rPr>
        <w:t>采购</w:t>
      </w:r>
      <w:r>
        <w:rPr>
          <w:rStyle w:val="74"/>
          <w:rFonts w:hint="eastAsia" w:ascii="Times New Roman" w:hAnsi="Times New Roman" w:eastAsia="宋体"/>
          <w:color w:val="000000" w:themeColor="text1"/>
          <w:lang w:val="en-US" w:eastAsia="zh-CN"/>
          <w14:textFill>
            <w14:solidFill>
              <w14:schemeClr w14:val="tx1"/>
            </w14:solidFill>
          </w14:textFill>
        </w:rPr>
        <w:t>费用</w:t>
      </w:r>
      <w:bookmarkEnd w:id="85"/>
      <w:bookmarkEnd w:id="86"/>
    </w:p>
    <w:bookmarkEnd w:id="87"/>
    <w:p w14:paraId="2E75C226">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bookmarkStart w:id="88" w:name="_Toc342913391"/>
      <w:r>
        <w:rPr>
          <w:rFonts w:hint="eastAsia" w:ascii="仿宋" w:hAnsi="仿宋" w:eastAsia="仿宋" w:cs="仿宋"/>
          <w:color w:val="000000" w:themeColor="text1"/>
          <w:sz w:val="24"/>
          <w:szCs w:val="24"/>
          <w14:textFill>
            <w14:solidFill>
              <w14:schemeClr w14:val="tx1"/>
            </w14:solidFill>
          </w14:textFill>
        </w:rPr>
        <w:t>参与</w:t>
      </w:r>
      <w:r>
        <w:rPr>
          <w:rFonts w:hint="eastAsia" w:ascii="仿宋" w:hAnsi="仿宋" w:eastAsia="仿宋" w:cs="仿宋"/>
          <w:color w:val="000000" w:themeColor="text1"/>
          <w:sz w:val="24"/>
          <w:szCs w:val="24"/>
          <w:lang w:eastAsia="zh-CN"/>
          <w14:textFill>
            <w14:solidFill>
              <w14:schemeClr w14:val="tx1"/>
            </w14:solidFill>
          </w14:textFill>
        </w:rPr>
        <w:t>网上</w:t>
      </w:r>
      <w:r>
        <w:rPr>
          <w:rFonts w:hint="eastAsia" w:ascii="仿宋" w:hAnsi="仿宋" w:eastAsia="仿宋" w:cs="仿宋"/>
          <w:color w:val="000000" w:themeColor="text1"/>
          <w:sz w:val="24"/>
          <w:szCs w:val="24"/>
          <w:lang w:val="en-US"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的供应商应承担其编制响应文件与递交响应文件所涉及的一切费用，不论</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结果如何，采购人和采购代理机构在任何情况下无义务也无责任承担这些费用。</w:t>
      </w:r>
    </w:p>
    <w:p w14:paraId="2F37F1E9">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89" w:name="_Toc20690"/>
      <w:bookmarkStart w:id="90" w:name="_Toc24828"/>
      <w:r>
        <w:rPr>
          <w:rStyle w:val="74"/>
          <w:rFonts w:hint="eastAsia" w:ascii="Times New Roman" w:hAnsi="Times New Roman" w:eastAsia="宋体"/>
          <w:color w:val="000000" w:themeColor="text1"/>
          <w:lang w:val="en-US" w:eastAsia="zh-CN"/>
          <w14:textFill>
            <w14:solidFill>
              <w14:schemeClr w14:val="tx1"/>
            </w14:solidFill>
          </w14:textFill>
        </w:rPr>
        <w:t>二、采购文件</w:t>
      </w:r>
      <w:bookmarkEnd w:id="88"/>
      <w:bookmarkEnd w:id="89"/>
    </w:p>
    <w:bookmarkEnd w:id="90"/>
    <w:p w14:paraId="1D586B45">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（一）采购文件由</w:t>
      </w:r>
      <w:r>
        <w:rPr>
          <w:rFonts w:hint="eastAsia" w:ascii="仿宋" w:hAnsi="仿宋" w:eastAsia="仿宋" w:cs="仿宋"/>
          <w:color w:val="000000" w:themeColor="text1"/>
          <w:sz w:val="24"/>
          <w:szCs w:val="24"/>
          <w:lang w:val="en-US" w:eastAsia="zh-CN"/>
          <w14:textFill>
            <w14:solidFill>
              <w14:schemeClr w14:val="tx1"/>
            </w14:solidFill>
          </w14:textFill>
        </w:rPr>
        <w:t>采购</w:t>
      </w:r>
      <w:r>
        <w:rPr>
          <w:rFonts w:hint="eastAsia" w:ascii="仿宋" w:hAnsi="仿宋" w:eastAsia="仿宋" w:cs="仿宋"/>
          <w:color w:val="000000" w:themeColor="text1"/>
          <w:sz w:val="24"/>
          <w:szCs w:val="24"/>
          <w:lang w:eastAsia="zh-CN"/>
          <w14:textFill>
            <w14:solidFill>
              <w14:schemeClr w14:val="tx1"/>
            </w14:solidFill>
          </w14:textFill>
        </w:rPr>
        <w:t>公告</w:t>
      </w:r>
      <w:r>
        <w:rPr>
          <w:rFonts w:hint="eastAsia" w:ascii="仿宋" w:hAnsi="仿宋" w:eastAsia="仿宋" w:cs="仿宋"/>
          <w:color w:val="000000" w:themeColor="text1"/>
          <w:sz w:val="24"/>
          <w:szCs w:val="24"/>
          <w14:textFill>
            <w14:solidFill>
              <w14:schemeClr w14:val="tx1"/>
            </w14:solidFill>
          </w14:textFill>
        </w:rPr>
        <w:t>、项目技术需求、项目商务需求、</w:t>
      </w:r>
      <w:r>
        <w:rPr>
          <w:rFonts w:hint="eastAsia" w:ascii="仿宋" w:hAnsi="仿宋" w:eastAsia="仿宋" w:cs="仿宋"/>
          <w:color w:val="000000" w:themeColor="text1"/>
          <w:sz w:val="24"/>
          <w:szCs w:val="24"/>
          <w:lang w:val="en-US"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程序及方法、评审标准、响应无效和采购终止、供应商须知、合同主要条款和格式合同、响应文件编制要求七部分组成。</w:t>
      </w:r>
    </w:p>
    <w:p w14:paraId="38F390C7">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（二）采购人（或采购代理机构）所作的一切有效的书面通知、修改及补充，都是采购文件不可分割的部分。</w:t>
      </w:r>
    </w:p>
    <w:p w14:paraId="7490CA56">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（三）采购文件的解释</w:t>
      </w:r>
    </w:p>
    <w:p w14:paraId="6CF6F1E7">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供应商如对采购文件有疑问，必须以书面形式在提交响应文件截止时间</w:t>
      </w: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14:textFill>
            <w14:solidFill>
              <w14:schemeClr w14:val="tx1"/>
            </w14:solidFill>
          </w14:textFill>
        </w:rPr>
        <w:t>个工作日前向采购人（或采购代理机构）要求澄清，采购人（或采购代理机构）可视具体情况做出处理或答复。如供应商未提出疑问，视为完全理解并同意本采购文件。一经进入</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程序，即视为供应商已详细阅读全部文件资料，完全理解采购文件所有条款内容并同意放弃对这方面有不明白及误解的权利。</w:t>
      </w:r>
      <w:bookmarkStart w:id="91" w:name="_Toc318159160"/>
      <w:bookmarkStart w:id="92" w:name="_Toc318166429"/>
      <w:bookmarkStart w:id="93" w:name="_Toc318159349"/>
      <w:bookmarkStart w:id="94" w:name="_Toc318159780"/>
    </w:p>
    <w:p w14:paraId="19BABBC4">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（四）本采购文件中</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小组根据与供应商进行</w:t>
      </w:r>
      <w:r>
        <w:rPr>
          <w:rFonts w:hint="eastAsia" w:ascii="仿宋" w:hAnsi="仿宋" w:eastAsia="仿宋" w:cs="仿宋"/>
          <w:color w:val="000000" w:themeColor="text1"/>
          <w:sz w:val="24"/>
          <w:szCs w:val="24"/>
          <w:lang w:eastAsia="zh-CN"/>
          <w14:textFill>
            <w14:solidFill>
              <w14:schemeClr w14:val="tx1"/>
            </w14:solidFill>
          </w14:textFill>
        </w:rPr>
        <w:t>网上竞采</w:t>
      </w:r>
      <w:r>
        <w:rPr>
          <w:rFonts w:hint="eastAsia" w:ascii="仿宋" w:hAnsi="仿宋" w:eastAsia="仿宋" w:cs="仿宋"/>
          <w:color w:val="000000" w:themeColor="text1"/>
          <w:sz w:val="24"/>
          <w:szCs w:val="24"/>
          <w14:textFill>
            <w14:solidFill>
              <w14:schemeClr w14:val="tx1"/>
            </w14:solidFill>
          </w14:textFill>
        </w:rPr>
        <w:t>可能实质性变动的内容为采购文件第二、三、</w:t>
      </w:r>
      <w:r>
        <w:rPr>
          <w:rFonts w:hint="eastAsia" w:ascii="仿宋" w:hAnsi="仿宋" w:eastAsia="仿宋" w:cs="仿宋"/>
          <w:color w:val="000000" w:themeColor="text1"/>
          <w:sz w:val="24"/>
          <w:szCs w:val="24"/>
          <w:lang w:eastAsia="zh-CN"/>
          <w14:textFill>
            <w14:solidFill>
              <w14:schemeClr w14:val="tx1"/>
            </w14:solidFill>
          </w14:textFill>
        </w:rPr>
        <w:t>六</w:t>
      </w:r>
      <w:r>
        <w:rPr>
          <w:rFonts w:hint="eastAsia" w:ascii="仿宋" w:hAnsi="仿宋" w:eastAsia="仿宋" w:cs="仿宋"/>
          <w:color w:val="000000" w:themeColor="text1"/>
          <w:sz w:val="24"/>
          <w:szCs w:val="24"/>
          <w14:textFill>
            <w14:solidFill>
              <w14:schemeClr w14:val="tx1"/>
            </w14:solidFill>
          </w14:textFill>
        </w:rPr>
        <w:t>篇全部内容。</w:t>
      </w:r>
    </w:p>
    <w:p w14:paraId="4AE72F82">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（五）评审的依据为采购文件和响应文件（含有效的书面承诺）。</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小组判断响应文件对采购文件的响应，仅基于响应文件本身而不靠外部证据。</w:t>
      </w:r>
    </w:p>
    <w:bookmarkEnd w:id="91"/>
    <w:bookmarkEnd w:id="92"/>
    <w:bookmarkEnd w:id="93"/>
    <w:bookmarkEnd w:id="94"/>
    <w:p w14:paraId="4F44353B">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95" w:name="_Toc10014"/>
      <w:bookmarkStart w:id="96" w:name="_Toc102227318"/>
      <w:bookmarkStart w:id="97" w:name="_Toc179714297"/>
      <w:bookmarkStart w:id="98" w:name="_Toc342913392"/>
      <w:bookmarkStart w:id="99" w:name="_Toc26358"/>
      <w:r>
        <w:rPr>
          <w:rStyle w:val="74"/>
          <w:rFonts w:hint="eastAsia" w:ascii="Times New Roman" w:hAnsi="Times New Roman" w:eastAsia="宋体"/>
          <w:color w:val="000000" w:themeColor="text1"/>
          <w:lang w:val="en-US" w:eastAsia="zh-CN"/>
          <w14:textFill>
            <w14:solidFill>
              <w14:schemeClr w14:val="tx1"/>
            </w14:solidFill>
          </w14:textFill>
        </w:rPr>
        <w:t>三、</w:t>
      </w:r>
      <w:r>
        <w:rPr>
          <w:rStyle w:val="74"/>
          <w:rFonts w:hint="eastAsia"/>
          <w:color w:val="000000" w:themeColor="text1"/>
          <w:lang w:val="en-US" w:eastAsia="zh-CN"/>
          <w14:textFill>
            <w14:solidFill>
              <w14:schemeClr w14:val="tx1"/>
            </w14:solidFill>
          </w14:textFill>
        </w:rPr>
        <w:t>网上竞采</w:t>
      </w:r>
      <w:r>
        <w:rPr>
          <w:rStyle w:val="74"/>
          <w:rFonts w:hint="eastAsia" w:ascii="Times New Roman" w:hAnsi="Times New Roman" w:eastAsia="宋体"/>
          <w:color w:val="000000" w:themeColor="text1"/>
          <w:lang w:val="en-US" w:eastAsia="zh-CN"/>
          <w14:textFill>
            <w14:solidFill>
              <w14:schemeClr w14:val="tx1"/>
            </w14:solidFill>
          </w14:textFill>
        </w:rPr>
        <w:t>要求</w:t>
      </w:r>
      <w:bookmarkEnd w:id="95"/>
      <w:bookmarkEnd w:id="96"/>
      <w:bookmarkEnd w:id="97"/>
      <w:bookmarkEnd w:id="98"/>
    </w:p>
    <w:bookmarkEnd w:id="99"/>
    <w:p w14:paraId="147781E2">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（一）响应文件</w:t>
      </w:r>
    </w:p>
    <w:p w14:paraId="1ED2056C">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1.供应商应当按照采购文件的要求编制响应文件，并对采购文件提出的要求和条件作出实质性响应，响应文件原则上采用软面订本，同时应编制完整的页码、目录。</w:t>
      </w:r>
    </w:p>
    <w:p w14:paraId="39796D20">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2.响应文件组成</w:t>
      </w:r>
    </w:p>
    <w:p w14:paraId="63A31BDD">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0E2B06DC">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（二）联合体</w:t>
      </w:r>
    </w:p>
    <w:p w14:paraId="1B5F2AEA">
      <w:pPr>
        <w:spacing w:line="360" w:lineRule="auto"/>
        <w:ind w:firstLine="482" w:firstLineChars="2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本项目不接受联合体竞标。</w:t>
      </w:r>
    </w:p>
    <w:p w14:paraId="2E8E4458">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w:t>
      </w:r>
      <w:r>
        <w:rPr>
          <w:rFonts w:hint="eastAsia" w:ascii="仿宋" w:hAnsi="仿宋" w:eastAsia="仿宋" w:cs="仿宋"/>
          <w:color w:val="000000" w:themeColor="text1"/>
          <w:sz w:val="24"/>
          <w:szCs w:val="24"/>
          <w:lang w:val="en-US"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有效期：响应文件及有关承诺文件有效期为提交响应文件截止时间起90天。</w:t>
      </w:r>
    </w:p>
    <w:p w14:paraId="3DEBF197">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（四）修正错误</w:t>
      </w:r>
    </w:p>
    <w:p w14:paraId="4E2DCA9D">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1.若供应商所递交的响应文件或报价中的价格出现大写金额和小写金额不一致的错误，以大写金额修正为准。</w:t>
      </w:r>
    </w:p>
    <w:p w14:paraId="165E6038">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r>
        <w:rPr>
          <w:rFonts w:hint="eastAsia" w:ascii="仿宋" w:hAnsi="仿宋" w:eastAsia="仿宋" w:cs="仿宋"/>
          <w:color w:val="000000" w:themeColor="text1"/>
          <w:sz w:val="24"/>
          <w:szCs w:val="24"/>
          <w:lang w:val="en-US"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小组按上述修正错误的原则及方法修正供应商的报价，供应商同意并签字确认后，修正后的报价对供应商具有约束作用。如果供应商不接受修正后的价格，将失去成为供应商的资格。</w:t>
      </w:r>
    </w:p>
    <w:p w14:paraId="6EB28D83">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（五）提交响应文件的份数和签署</w:t>
      </w:r>
    </w:p>
    <w:p w14:paraId="67AAA1A1">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1.供应商须在平台报名并上传盖章后的响应文件电子文档一份，线下</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时提供响应文件一式三份，其中正本一份，副本两份（电子文档内容必须与纸质文件正本一致）</w:t>
      </w:r>
      <w:r>
        <w:rPr>
          <w:rFonts w:hint="eastAsia" w:ascii="仿宋" w:hAnsi="仿宋" w:eastAsia="仿宋" w:cs="仿宋"/>
          <w:color w:val="000000" w:themeColor="text1"/>
          <w:sz w:val="24"/>
          <w:szCs w:val="24"/>
          <w:lang w:val="en-US" w:eastAsia="zh-CN"/>
          <w14:textFill>
            <w14:solidFill>
              <w14:schemeClr w14:val="tx1"/>
            </w14:solidFill>
          </w14:textFill>
        </w:rPr>
        <w:t>并单独提供手持件：【身份证原件、法人身份证证明及授权委托书（法定代表人亲自参加竞采的不需要）】，并加盖鲜章。</w:t>
      </w:r>
    </w:p>
    <w:p w14:paraId="4FBA81FB">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2.在网上电子文档及响应文件正本中，采购文件第七篇响应文件编制要求中规定签字、盖章的地方必须按其规定签字</w:t>
      </w:r>
      <w:r>
        <w:rPr>
          <w:rFonts w:hint="eastAsia" w:ascii="仿宋" w:hAnsi="仿宋" w:eastAsia="仿宋" w:cs="仿宋"/>
          <w:color w:val="000000" w:themeColor="text1"/>
          <w:sz w:val="24"/>
          <w:szCs w:val="24"/>
          <w:lang w:eastAsia="zh-CN"/>
          <w14:textFill>
            <w14:solidFill>
              <w14:schemeClr w14:val="tx1"/>
            </w14:solidFill>
          </w14:textFill>
        </w:rPr>
        <w:t>、逐页</w:t>
      </w:r>
      <w:r>
        <w:rPr>
          <w:rFonts w:hint="eastAsia" w:ascii="仿宋" w:hAnsi="仿宋" w:eastAsia="仿宋" w:cs="仿宋"/>
          <w:color w:val="000000" w:themeColor="text1"/>
          <w:sz w:val="24"/>
          <w:szCs w:val="24"/>
          <w14:textFill>
            <w14:solidFill>
              <w14:schemeClr w14:val="tx1"/>
            </w14:solidFill>
          </w14:textFill>
        </w:rPr>
        <w:t>盖章。</w:t>
      </w:r>
    </w:p>
    <w:p w14:paraId="2E07C13C">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（六）响应文件的递交</w:t>
      </w:r>
    </w:p>
    <w:p w14:paraId="77D3379F">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1.响应文件的密封与标记</w:t>
      </w:r>
    </w:p>
    <w:p w14:paraId="0F12B5E5">
      <w:pPr>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1.1响应文件的正本、副本</w:t>
      </w:r>
      <w:r>
        <w:rPr>
          <w:rFonts w:hint="eastAsia" w:ascii="仿宋" w:hAnsi="仿宋" w:eastAsia="仿宋" w:cs="仿宋"/>
          <w:color w:val="000000" w:themeColor="text1"/>
          <w:sz w:val="24"/>
          <w14:textFill>
            <w14:solidFill>
              <w14:schemeClr w14:val="tx1"/>
            </w14:solidFill>
          </w14:textFill>
        </w:rPr>
        <w:t>均应密封送达线下</w:t>
      </w:r>
      <w:r>
        <w:rPr>
          <w:rFonts w:hint="eastAsia" w:ascii="仿宋" w:hAnsi="仿宋" w:eastAsia="仿宋" w:cs="仿宋"/>
          <w:color w:val="000000" w:themeColor="text1"/>
          <w:sz w:val="24"/>
          <w:lang w:eastAsia="zh-CN"/>
          <w14:textFill>
            <w14:solidFill>
              <w14:schemeClr w14:val="tx1"/>
            </w14:solidFill>
          </w14:textFill>
        </w:rPr>
        <w:t>竞采</w:t>
      </w:r>
      <w:r>
        <w:rPr>
          <w:rFonts w:hint="eastAsia" w:ascii="仿宋" w:hAnsi="仿宋" w:eastAsia="仿宋" w:cs="仿宋"/>
          <w:color w:val="000000" w:themeColor="text1"/>
          <w:sz w:val="24"/>
          <w14:textFill>
            <w14:solidFill>
              <w14:schemeClr w14:val="tx1"/>
            </w14:solidFill>
          </w14:textFill>
        </w:rPr>
        <w:t>地点，</w:t>
      </w:r>
      <w:r>
        <w:rPr>
          <w:rFonts w:hint="eastAsia" w:ascii="仿宋" w:hAnsi="仿宋" w:eastAsia="仿宋" w:cs="仿宋"/>
          <w:color w:val="000000" w:themeColor="text1"/>
          <w:sz w:val="24"/>
          <w:szCs w:val="24"/>
          <w14:textFill>
            <w14:solidFill>
              <w14:schemeClr w14:val="tx1"/>
            </w14:solidFill>
          </w14:textFill>
        </w:rPr>
        <w:t>响应文件正本、副本</w:t>
      </w:r>
      <w:r>
        <w:rPr>
          <w:rFonts w:hint="eastAsia" w:ascii="仿宋" w:hAnsi="仿宋" w:eastAsia="仿宋" w:cs="仿宋"/>
          <w:color w:val="000000" w:themeColor="text1"/>
          <w:sz w:val="24"/>
          <w:szCs w:val="24"/>
          <w:lang w:eastAsia="zh-CN"/>
          <w14:textFill>
            <w14:solidFill>
              <w14:schemeClr w14:val="tx1"/>
            </w14:solidFill>
          </w14:textFill>
        </w:rPr>
        <w:t>应单独装订成册</w:t>
      </w:r>
      <w:r>
        <w:rPr>
          <w:rFonts w:hint="eastAsia" w:ascii="仿宋" w:hAnsi="仿宋" w:eastAsia="仿宋" w:cs="仿宋"/>
          <w:color w:val="000000" w:themeColor="text1"/>
          <w:sz w:val="24"/>
          <w:lang w:eastAsia="zh-CN"/>
          <w14:textFill>
            <w14:solidFill>
              <w14:schemeClr w14:val="tx1"/>
            </w14:solidFill>
          </w14:textFill>
        </w:rPr>
        <w:t>并</w:t>
      </w:r>
      <w:r>
        <w:rPr>
          <w:rFonts w:hint="eastAsia" w:ascii="仿宋" w:hAnsi="仿宋" w:eastAsia="仿宋" w:cs="仿宋"/>
          <w:color w:val="000000" w:themeColor="text1"/>
          <w:sz w:val="24"/>
          <w14:textFill>
            <w14:solidFill>
              <w14:schemeClr w14:val="tx1"/>
            </w14:solidFill>
          </w14:textFill>
        </w:rPr>
        <w:t>在封套上注明项目名称、供应商名称。若正本、副本分别进行密封的，还应在封套上注明“正本”、“副本”字样。</w:t>
      </w:r>
    </w:p>
    <w:p w14:paraId="59A06C9A">
      <w:pPr>
        <w:pStyle w:val="32"/>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1.2封套的封口处应加盖供应商公章或由法定代表人授权代表签字。</w:t>
      </w:r>
    </w:p>
    <w:p w14:paraId="12902731">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.如果未按上述规定进行密封和标记，采购代理机构对响应文件误投、丢失或提前拆封不负责任。</w:t>
      </w:r>
    </w:p>
    <w:p w14:paraId="575FF59E">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（七）供应商参与人员</w:t>
      </w:r>
    </w:p>
    <w:p w14:paraId="325785F5">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各个供应商应当派1</w:t>
      </w: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名代表参与</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，应为法定代表人或具有法定代表人授权委托书的授权代表。</w:t>
      </w:r>
    </w:p>
    <w:p w14:paraId="17B199D3">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100" w:name="_Toc29457"/>
      <w:bookmarkStart w:id="101" w:name="_Toc29059"/>
      <w:r>
        <w:rPr>
          <w:rStyle w:val="74"/>
          <w:rFonts w:hint="eastAsia" w:ascii="Times New Roman" w:hAnsi="Times New Roman" w:eastAsia="宋体"/>
          <w:color w:val="000000" w:themeColor="text1"/>
          <w:lang w:val="en-US" w:eastAsia="zh-CN"/>
          <w14:textFill>
            <w14:solidFill>
              <w14:schemeClr w14:val="tx1"/>
            </w14:solidFill>
          </w14:textFill>
        </w:rPr>
        <w:t>四、成交供应商的确认和变更</w:t>
      </w:r>
      <w:bookmarkEnd w:id="100"/>
    </w:p>
    <w:bookmarkEnd w:id="101"/>
    <w:p w14:paraId="191382F9">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（一）成交供应商的确认</w:t>
      </w:r>
    </w:p>
    <w:p w14:paraId="18749DAE">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小组直接确定成交供应商。采购人逾期未确定成交供应商且不提出异议的，视为确定评审报告提出的排序第一的供应商为成交供应商。</w:t>
      </w:r>
    </w:p>
    <w:p w14:paraId="7A6F8ECE">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（二）成交供应商的变更</w:t>
      </w:r>
    </w:p>
    <w:p w14:paraId="0A4D3773">
      <w:pPr>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成交供应商拒绝与采购人签订合同的，采购人可以按照评标报告推荐的成交候选供应商顺序，确定排名下一位的候选人为成交供应商，也可以重新开展采购活动。</w:t>
      </w:r>
    </w:p>
    <w:p w14:paraId="02397963">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102" w:name="_Toc13407"/>
      <w:bookmarkStart w:id="103" w:name="_Toc342913395"/>
      <w:bookmarkStart w:id="104" w:name="_Toc102227321"/>
      <w:bookmarkStart w:id="105" w:name="_Toc21023"/>
      <w:r>
        <w:rPr>
          <w:rStyle w:val="74"/>
          <w:rFonts w:hint="eastAsia" w:ascii="Times New Roman" w:hAnsi="Times New Roman" w:eastAsia="宋体"/>
          <w:color w:val="000000" w:themeColor="text1"/>
          <w:lang w:val="en-US" w:eastAsia="zh-CN"/>
          <w14:textFill>
            <w14:solidFill>
              <w14:schemeClr w14:val="tx1"/>
            </w14:solidFill>
          </w14:textFill>
        </w:rPr>
        <w:t>五、成交通知</w:t>
      </w:r>
      <w:bookmarkEnd w:id="102"/>
      <w:bookmarkEnd w:id="103"/>
      <w:bookmarkEnd w:id="104"/>
    </w:p>
    <w:bookmarkEnd w:id="105"/>
    <w:p w14:paraId="5FE9FD87">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（一）成交供应商确定后，采购人或采购代理机构将在“行采家”平台（http://www.gec123.com）上发布成交结果公告。</w:t>
      </w:r>
    </w:p>
    <w:p w14:paraId="42A3AB76">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（二）结果公告发出同时，采购代理机构将以书面形式发出《</w:t>
      </w:r>
      <w:r>
        <w:rPr>
          <w:rFonts w:hint="eastAsia" w:ascii="仿宋" w:hAnsi="仿宋" w:eastAsia="仿宋" w:cs="仿宋"/>
          <w:color w:val="000000" w:themeColor="text1"/>
          <w:sz w:val="24"/>
          <w:szCs w:val="24"/>
          <w:lang w:eastAsia="zh-CN"/>
          <w14:textFill>
            <w14:solidFill>
              <w14:schemeClr w14:val="tx1"/>
            </w14:solidFill>
          </w14:textFill>
        </w:rPr>
        <w:t>中标</w:t>
      </w:r>
      <w:r>
        <w:rPr>
          <w:rFonts w:hint="eastAsia" w:ascii="仿宋" w:hAnsi="仿宋" w:eastAsia="仿宋" w:cs="仿宋"/>
          <w:color w:val="000000" w:themeColor="text1"/>
          <w:sz w:val="24"/>
          <w:szCs w:val="24"/>
          <w14:textFill>
            <w14:solidFill>
              <w14:schemeClr w14:val="tx1"/>
            </w14:solidFill>
          </w14:textFill>
        </w:rPr>
        <w:t>通知书》。《</w:t>
      </w:r>
      <w:r>
        <w:rPr>
          <w:rFonts w:hint="eastAsia" w:ascii="仿宋" w:hAnsi="仿宋" w:eastAsia="仿宋" w:cs="仿宋"/>
          <w:color w:val="000000" w:themeColor="text1"/>
          <w:sz w:val="24"/>
          <w:szCs w:val="24"/>
          <w:lang w:eastAsia="zh-CN"/>
          <w14:textFill>
            <w14:solidFill>
              <w14:schemeClr w14:val="tx1"/>
            </w14:solidFill>
          </w14:textFill>
        </w:rPr>
        <w:t>中标</w:t>
      </w:r>
      <w:r>
        <w:rPr>
          <w:rFonts w:hint="eastAsia" w:ascii="仿宋" w:hAnsi="仿宋" w:eastAsia="仿宋" w:cs="仿宋"/>
          <w:color w:val="000000" w:themeColor="text1"/>
          <w:sz w:val="24"/>
          <w:szCs w:val="24"/>
          <w14:textFill>
            <w14:solidFill>
              <w14:schemeClr w14:val="tx1"/>
            </w14:solidFill>
          </w14:textFill>
        </w:rPr>
        <w:t>通知书》一经发出即发生法律效力。</w:t>
      </w:r>
    </w:p>
    <w:p w14:paraId="7B442E26">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w:t>
      </w:r>
      <w:r>
        <w:rPr>
          <w:rFonts w:hint="eastAsia" w:ascii="仿宋" w:hAnsi="仿宋" w:eastAsia="仿宋" w:cs="仿宋"/>
          <w:color w:val="000000" w:themeColor="text1"/>
          <w:sz w:val="24"/>
          <w:szCs w:val="24"/>
          <w:lang w:eastAsia="zh-CN"/>
          <w14:textFill>
            <w14:solidFill>
              <w14:schemeClr w14:val="tx1"/>
            </w14:solidFill>
          </w14:textFill>
        </w:rPr>
        <w:t>中标</w:t>
      </w:r>
      <w:r>
        <w:rPr>
          <w:rFonts w:hint="eastAsia" w:ascii="仿宋" w:hAnsi="仿宋" w:eastAsia="仿宋" w:cs="仿宋"/>
          <w:color w:val="000000" w:themeColor="text1"/>
          <w:sz w:val="24"/>
          <w:szCs w:val="24"/>
          <w14:textFill>
            <w14:solidFill>
              <w14:schemeClr w14:val="tx1"/>
            </w14:solidFill>
          </w14:textFill>
        </w:rPr>
        <w:t>通知书》将作为签订合同的依据。</w:t>
      </w:r>
    </w:p>
    <w:p w14:paraId="2F538A47">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bookmarkStart w:id="106" w:name="_Toc11295"/>
      <w:bookmarkStart w:id="107" w:name="_Toc19410"/>
      <w:bookmarkStart w:id="108" w:name="_Toc2108"/>
      <w:bookmarkStart w:id="109" w:name="_Toc10383"/>
      <w:bookmarkStart w:id="110" w:name="_Toc30859"/>
      <w:bookmarkStart w:id="111" w:name="_Toc4797"/>
      <w:bookmarkStart w:id="112" w:name="_Toc3060"/>
      <w:r>
        <w:rPr>
          <w:rFonts w:hint="eastAsia" w:ascii="仿宋" w:hAnsi="仿宋" w:eastAsia="仿宋" w:cs="仿宋"/>
          <w:color w:val="000000" w:themeColor="text1"/>
          <w:sz w:val="24"/>
          <w:szCs w:val="24"/>
          <w14:textFill>
            <w14:solidFill>
              <w14:schemeClr w14:val="tx1"/>
            </w14:solidFill>
          </w14:textFill>
        </w:rPr>
        <w:t>（四）如有供应商对成交结果提出质疑的，在质疑处理完毕后发出《</w:t>
      </w:r>
      <w:r>
        <w:rPr>
          <w:rFonts w:hint="eastAsia" w:ascii="仿宋" w:hAnsi="仿宋" w:eastAsia="仿宋" w:cs="仿宋"/>
          <w:color w:val="000000" w:themeColor="text1"/>
          <w:sz w:val="24"/>
          <w:szCs w:val="24"/>
          <w:lang w:eastAsia="zh-CN"/>
          <w14:textFill>
            <w14:solidFill>
              <w14:schemeClr w14:val="tx1"/>
            </w14:solidFill>
          </w14:textFill>
        </w:rPr>
        <w:t>中标</w:t>
      </w:r>
      <w:r>
        <w:rPr>
          <w:rFonts w:hint="eastAsia" w:ascii="仿宋" w:hAnsi="仿宋" w:eastAsia="仿宋" w:cs="仿宋"/>
          <w:color w:val="000000" w:themeColor="text1"/>
          <w:sz w:val="24"/>
          <w:szCs w:val="24"/>
          <w14:textFill>
            <w14:solidFill>
              <w14:schemeClr w14:val="tx1"/>
            </w14:solidFill>
          </w14:textFill>
        </w:rPr>
        <w:t>通知书》。</w:t>
      </w:r>
      <w:bookmarkEnd w:id="106"/>
      <w:bookmarkEnd w:id="107"/>
      <w:bookmarkEnd w:id="108"/>
      <w:bookmarkEnd w:id="109"/>
      <w:bookmarkEnd w:id="110"/>
      <w:bookmarkEnd w:id="111"/>
      <w:bookmarkEnd w:id="112"/>
      <w:bookmarkStart w:id="113" w:name="_Toc23268"/>
    </w:p>
    <w:p w14:paraId="52AD26A8">
      <w:pPr>
        <w:widowControl/>
        <w:spacing w:line="360" w:lineRule="auto"/>
        <w:jc w:val="left"/>
        <w:rPr>
          <w:rStyle w:val="74"/>
          <w:rFonts w:hint="eastAsia" w:ascii="Times New Roman" w:hAnsi="Times New Roman" w:eastAsia="宋体"/>
          <w:color w:val="000000" w:themeColor="text1"/>
          <w:lang w:val="en-US" w:eastAsia="zh-CN"/>
          <w14:textFill>
            <w14:solidFill>
              <w14:schemeClr w14:val="tx1"/>
            </w14:solidFill>
          </w14:textFill>
        </w:rPr>
      </w:pPr>
      <w:bookmarkStart w:id="114" w:name="_Toc20972"/>
      <w:bookmarkStart w:id="115" w:name="_Toc28273"/>
      <w:r>
        <w:rPr>
          <w:rStyle w:val="74"/>
          <w:rFonts w:hint="eastAsia" w:ascii="Times New Roman" w:hAnsi="Times New Roman" w:eastAsia="宋体"/>
          <w:color w:val="000000" w:themeColor="text1"/>
          <w:lang w:val="en-US" w:eastAsia="zh-CN"/>
          <w14:textFill>
            <w14:solidFill>
              <w14:schemeClr w14:val="tx1"/>
            </w14:solidFill>
          </w14:textFill>
        </w:rPr>
        <w:t>六、采购代理服务费</w:t>
      </w:r>
      <w:bookmarkEnd w:id="113"/>
      <w:bookmarkEnd w:id="114"/>
    </w:p>
    <w:bookmarkEnd w:id="115"/>
    <w:p w14:paraId="1D6DF5A3">
      <w:pPr>
        <w:spacing w:line="360" w:lineRule="auto"/>
        <w:ind w:right="12" w:firstLine="480"/>
        <w:rPr>
          <w:rFonts w:hint="eastAsia" w:ascii="仿宋" w:hAnsi="仿宋" w:eastAsia="仿宋" w:cs="仿宋"/>
          <w:color w:val="000000" w:themeColor="text1"/>
          <w:sz w:val="24"/>
          <w:lang w:val="en-US" w:eastAsia="zh-CN"/>
          <w14:textFill>
            <w14:solidFill>
              <w14:schemeClr w14:val="tx1"/>
            </w14:solidFill>
          </w14:textFill>
        </w:rPr>
      </w:pPr>
      <w:bookmarkStart w:id="116" w:name="_Toc31826"/>
      <w:r>
        <w:rPr>
          <w:rFonts w:hint="eastAsia" w:ascii="仿宋" w:hAnsi="仿宋" w:eastAsia="仿宋" w:cs="仿宋"/>
          <w:color w:val="000000" w:themeColor="text1"/>
          <w:sz w:val="24"/>
          <w:lang w:val="en-US" w:eastAsia="zh-CN"/>
          <w14:textFill>
            <w14:solidFill>
              <w14:schemeClr w14:val="tx1"/>
            </w14:solidFill>
          </w14:textFill>
        </w:rPr>
        <w:t>（一）缴纳代理服务费</w:t>
      </w:r>
    </w:p>
    <w:bookmarkEnd w:id="116"/>
    <w:p w14:paraId="0E06E097">
      <w:pPr>
        <w:spacing w:line="360" w:lineRule="auto"/>
        <w:ind w:right="12" w:firstLine="480"/>
        <w:rPr>
          <w:rFonts w:hint="eastAsia" w:ascii="仿宋" w:hAnsi="仿宋" w:eastAsia="仿宋" w:cs="仿宋"/>
          <w:color w:val="000000" w:themeColor="text1"/>
          <w:sz w:val="24"/>
          <w:lang w:eastAsia="zh-CN"/>
          <w14:textFill>
            <w14:solidFill>
              <w14:schemeClr w14:val="tx1"/>
            </w14:solidFill>
          </w14:textFill>
        </w:rPr>
      </w:pPr>
      <w:bookmarkStart w:id="117" w:name="_Toc102227322"/>
      <w:bookmarkStart w:id="118" w:name="_Toc342913396"/>
      <w:bookmarkStart w:id="119" w:name="_Toc8420"/>
      <w:r>
        <w:rPr>
          <w:rFonts w:hint="eastAsia" w:ascii="仿宋" w:hAnsi="仿宋" w:eastAsia="仿宋" w:cs="仿宋"/>
          <w:color w:val="000000" w:themeColor="text1"/>
          <w:sz w:val="24"/>
          <w14:textFill>
            <w14:solidFill>
              <w14:schemeClr w14:val="tx1"/>
            </w14:solidFill>
          </w14:textFill>
        </w:rPr>
        <w:t>本项目采购代理服务费</w:t>
      </w:r>
      <w:r>
        <w:rPr>
          <w:rFonts w:hint="eastAsia" w:ascii="仿宋" w:hAnsi="仿宋" w:eastAsia="仿宋" w:cs="仿宋"/>
          <w:color w:val="000000" w:themeColor="text1"/>
          <w:sz w:val="24"/>
          <w:lang w:val="en-US" w:eastAsia="zh-CN"/>
          <w14:textFill>
            <w14:solidFill>
              <w14:schemeClr w14:val="tx1"/>
            </w14:solidFill>
          </w14:textFill>
        </w:rPr>
        <w:t>为4500.00元</w:t>
      </w:r>
      <w:r>
        <w:rPr>
          <w:rFonts w:hint="eastAsia" w:ascii="仿宋" w:hAnsi="仿宋" w:eastAsia="仿宋" w:cs="仿宋"/>
          <w:color w:val="000000" w:themeColor="text1"/>
          <w:sz w:val="24"/>
          <w14:textFill>
            <w14:solidFill>
              <w14:schemeClr w14:val="tx1"/>
            </w14:solidFill>
          </w14:textFill>
        </w:rPr>
        <w:t>，即成交供应商在领取《</w:t>
      </w:r>
      <w:r>
        <w:rPr>
          <w:rFonts w:hint="eastAsia" w:ascii="仿宋" w:hAnsi="仿宋" w:eastAsia="仿宋" w:cs="仿宋"/>
          <w:color w:val="000000" w:themeColor="text1"/>
          <w:sz w:val="24"/>
          <w:lang w:eastAsia="zh-CN"/>
          <w14:textFill>
            <w14:solidFill>
              <w14:schemeClr w14:val="tx1"/>
            </w14:solidFill>
          </w14:textFill>
        </w:rPr>
        <w:t>中标</w:t>
      </w:r>
      <w:r>
        <w:rPr>
          <w:rFonts w:hint="eastAsia" w:ascii="仿宋" w:hAnsi="仿宋" w:eastAsia="仿宋" w:cs="仿宋"/>
          <w:color w:val="000000" w:themeColor="text1"/>
          <w:sz w:val="24"/>
          <w14:textFill>
            <w14:solidFill>
              <w14:schemeClr w14:val="tx1"/>
            </w14:solidFill>
          </w14:textFill>
        </w:rPr>
        <w:t>通知书》之前以现金或转账形式一次性支付给代理机构</w:t>
      </w:r>
      <w:r>
        <w:rPr>
          <w:rFonts w:hint="eastAsia" w:ascii="仿宋" w:hAnsi="仿宋" w:eastAsia="仿宋" w:cs="仿宋"/>
          <w:color w:val="000000" w:themeColor="text1"/>
          <w:sz w:val="24"/>
          <w:lang w:eastAsia="zh-CN"/>
          <w14:textFill>
            <w14:solidFill>
              <w14:schemeClr w14:val="tx1"/>
            </w14:solidFill>
          </w14:textFill>
        </w:rPr>
        <w:t>。</w:t>
      </w:r>
    </w:p>
    <w:p w14:paraId="65FA7113">
      <w:pPr>
        <w:spacing w:line="360" w:lineRule="auto"/>
        <w:ind w:right="12"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（二）成交供应商如未按上述规定缴纳采购代理服务费，将不予发放《</w:t>
      </w:r>
      <w:r>
        <w:rPr>
          <w:rFonts w:hint="eastAsia" w:ascii="仿宋" w:hAnsi="仿宋" w:eastAsia="仿宋" w:cs="仿宋"/>
          <w:color w:val="000000" w:themeColor="text1"/>
          <w:sz w:val="24"/>
          <w:lang w:eastAsia="zh-CN"/>
          <w14:textFill>
            <w14:solidFill>
              <w14:schemeClr w14:val="tx1"/>
            </w14:solidFill>
          </w14:textFill>
        </w:rPr>
        <w:t>中标</w:t>
      </w:r>
      <w:r>
        <w:rPr>
          <w:rFonts w:hint="eastAsia" w:ascii="仿宋" w:hAnsi="仿宋" w:eastAsia="仿宋" w:cs="仿宋"/>
          <w:color w:val="000000" w:themeColor="text1"/>
          <w:sz w:val="24"/>
          <w14:textFill>
            <w14:solidFill>
              <w14:schemeClr w14:val="tx1"/>
            </w14:solidFill>
          </w14:textFill>
        </w:rPr>
        <w:t>通知书》。</w:t>
      </w:r>
    </w:p>
    <w:p w14:paraId="512C8B48">
      <w:pPr>
        <w:spacing w:line="360" w:lineRule="auto"/>
        <w:ind w:right="12"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（三）采购代理服务费缴纳账户信息：</w:t>
      </w:r>
    </w:p>
    <w:p w14:paraId="105B38C1">
      <w:pPr>
        <w:spacing w:line="360" w:lineRule="auto"/>
        <w:ind w:right="12" w:firstLine="480"/>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户  名：重庆市新创工程咨询有限公司</w:t>
      </w:r>
    </w:p>
    <w:p w14:paraId="1C04C625">
      <w:pPr>
        <w:spacing w:line="360" w:lineRule="auto"/>
        <w:ind w:right="12" w:firstLine="48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开户行：中国建设银行大足复兴支行</w:t>
      </w:r>
    </w:p>
    <w:p w14:paraId="02985939">
      <w:pPr>
        <w:spacing w:line="360" w:lineRule="auto"/>
        <w:ind w:right="12" w:firstLine="480"/>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账  号：50050110068600000695</w:t>
      </w:r>
    </w:p>
    <w:p w14:paraId="275A393C">
      <w:pPr>
        <w:widowControl/>
        <w:spacing w:line="360" w:lineRule="auto"/>
        <w:jc w:val="left"/>
        <w:rPr>
          <w:rStyle w:val="74"/>
          <w:rFonts w:hint="eastAsia" w:ascii="Times New Roman" w:hAnsi="Times New Roman" w:eastAsia="宋体" w:cs="Times New Roman"/>
          <w:color w:val="000000" w:themeColor="text1"/>
          <w:lang w:val="en-US" w:eastAsia="zh-CN"/>
          <w14:textFill>
            <w14:solidFill>
              <w14:schemeClr w14:val="tx1"/>
            </w14:solidFill>
          </w14:textFill>
        </w:rPr>
      </w:pPr>
      <w:bookmarkStart w:id="120" w:name="_Toc25142"/>
      <w:r>
        <w:rPr>
          <w:rStyle w:val="74"/>
          <w:rFonts w:hint="eastAsia" w:ascii="Times New Roman" w:hAnsi="Times New Roman" w:eastAsia="宋体" w:cs="Times New Roman"/>
          <w:color w:val="000000" w:themeColor="text1"/>
          <w:lang w:val="en-US" w:eastAsia="zh-CN"/>
          <w14:textFill>
            <w14:solidFill>
              <w14:schemeClr w14:val="tx1"/>
            </w14:solidFill>
          </w14:textFill>
        </w:rPr>
        <w:t>七、签订</w:t>
      </w:r>
      <w:bookmarkEnd w:id="117"/>
      <w:r>
        <w:rPr>
          <w:rStyle w:val="74"/>
          <w:rFonts w:hint="eastAsia" w:ascii="Times New Roman" w:hAnsi="Times New Roman" w:eastAsia="宋体" w:cs="Times New Roman"/>
          <w:color w:val="000000" w:themeColor="text1"/>
          <w:lang w:val="en-US" w:eastAsia="zh-CN"/>
          <w14:textFill>
            <w14:solidFill>
              <w14:schemeClr w14:val="tx1"/>
            </w14:solidFill>
          </w14:textFill>
        </w:rPr>
        <w:t>合同</w:t>
      </w:r>
      <w:bookmarkEnd w:id="118"/>
      <w:bookmarkEnd w:id="119"/>
    </w:p>
    <w:bookmarkEnd w:id="120"/>
    <w:p w14:paraId="20D88C07">
      <w:pPr>
        <w:spacing w:line="360" w:lineRule="auto"/>
        <w:ind w:firstLine="360" w:firstLineChars="1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（一）采购人应当自《</w:t>
      </w:r>
      <w:r>
        <w:rPr>
          <w:rFonts w:hint="eastAsia" w:ascii="仿宋" w:hAnsi="仿宋" w:eastAsia="仿宋" w:cs="仿宋"/>
          <w:color w:val="000000" w:themeColor="text1"/>
          <w:sz w:val="24"/>
          <w:szCs w:val="24"/>
          <w:lang w:eastAsia="zh-CN"/>
          <w14:textFill>
            <w14:solidFill>
              <w14:schemeClr w14:val="tx1"/>
            </w14:solidFill>
          </w14:textFill>
        </w:rPr>
        <w:t>中标</w:t>
      </w:r>
      <w:r>
        <w:rPr>
          <w:rFonts w:hint="eastAsia" w:ascii="仿宋" w:hAnsi="仿宋" w:eastAsia="仿宋" w:cs="仿宋"/>
          <w:color w:val="000000" w:themeColor="text1"/>
          <w:sz w:val="24"/>
          <w:szCs w:val="24"/>
          <w14:textFill>
            <w14:solidFill>
              <w14:schemeClr w14:val="tx1"/>
            </w14:solidFill>
          </w14:textFill>
        </w:rPr>
        <w:t>通知书》发出之日起</w:t>
      </w:r>
      <w:r>
        <w:rPr>
          <w:rFonts w:hint="eastAsia" w:ascii="仿宋" w:hAnsi="仿宋" w:eastAsia="仿宋" w:cs="仿宋"/>
          <w:color w:val="000000" w:themeColor="text1"/>
          <w:sz w:val="24"/>
          <w:szCs w:val="24"/>
          <w:lang w:eastAsia="zh-CN"/>
          <w14:textFill>
            <w14:solidFill>
              <w14:schemeClr w14:val="tx1"/>
            </w14:solidFill>
          </w14:textFill>
        </w:rPr>
        <w:t>二</w:t>
      </w:r>
      <w:r>
        <w:rPr>
          <w:rFonts w:hint="eastAsia" w:ascii="仿宋" w:hAnsi="仿宋" w:eastAsia="仿宋" w:cs="仿宋"/>
          <w:color w:val="000000" w:themeColor="text1"/>
          <w:sz w:val="24"/>
          <w:szCs w:val="24"/>
          <w14:textFill>
            <w14:solidFill>
              <w14:schemeClr w14:val="tx1"/>
            </w14:solidFill>
          </w14:textFill>
        </w:rPr>
        <w:t>十日内，按照采购文件和成交供应商响应文件的约定，与成交供应商签订书面合同</w:t>
      </w:r>
      <w:r>
        <w:rPr>
          <w:rFonts w:hint="eastAsia" w:ascii="仿宋" w:hAnsi="仿宋" w:eastAsia="仿宋" w:cs="仿宋"/>
          <w:color w:val="000000" w:themeColor="text1"/>
          <w:sz w:val="24"/>
          <w:szCs w:val="24"/>
          <w:lang w:eastAsia="zh-CN"/>
          <w14:textFill>
            <w14:solidFill>
              <w14:schemeClr w14:val="tx1"/>
            </w14:solidFill>
          </w14:textFill>
        </w:rPr>
        <w:t>（详见第六篇合同条款及格式）</w:t>
      </w:r>
      <w:r>
        <w:rPr>
          <w:rFonts w:hint="eastAsia" w:ascii="仿宋" w:hAnsi="仿宋" w:eastAsia="仿宋" w:cs="仿宋"/>
          <w:color w:val="000000" w:themeColor="text1"/>
          <w:sz w:val="24"/>
          <w:szCs w:val="24"/>
          <w14:textFill>
            <w14:solidFill>
              <w14:schemeClr w14:val="tx1"/>
            </w14:solidFill>
          </w14:textFill>
        </w:rPr>
        <w:t>。</w:t>
      </w:r>
    </w:p>
    <w:p w14:paraId="4005A9FF">
      <w:pPr>
        <w:spacing w:line="360" w:lineRule="auto"/>
        <w:ind w:firstLine="360" w:firstLineChars="1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（二）采购文件、供应商的响应文件及澄清文件等，均为签订采购合同的依据。</w:t>
      </w:r>
    </w:p>
    <w:p w14:paraId="58248C98">
      <w:pPr>
        <w:spacing w:line="360" w:lineRule="auto"/>
        <w:ind w:firstLine="360" w:firstLineChars="15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（三）合同生效条款由供需双方约定，法律、行政法规规定应当办理批准、登记等手续后生效的合同，依照其规定。</w:t>
      </w:r>
    </w:p>
    <w:p w14:paraId="172B0721">
      <w:pPr>
        <w:spacing w:line="360" w:lineRule="auto"/>
        <w:rPr>
          <w:rFonts w:hint="eastAsia"/>
          <w:color w:val="000000" w:themeColor="text1"/>
          <w:lang w:eastAsia="zh-CN"/>
          <w14:textFill>
            <w14:solidFill>
              <w14:schemeClr w14:val="tx1"/>
            </w14:solidFill>
          </w14:textFill>
        </w:rPr>
      </w:pPr>
    </w:p>
    <w:p w14:paraId="71CDE8AD">
      <w:pPr>
        <w:pStyle w:val="59"/>
        <w:spacing w:line="360" w:lineRule="auto"/>
        <w:rPr>
          <w:rFonts w:hint="eastAsia"/>
          <w:color w:val="000000" w:themeColor="text1"/>
          <w:lang w:eastAsia="zh-CN"/>
          <w14:textFill>
            <w14:solidFill>
              <w14:schemeClr w14:val="tx1"/>
            </w14:solidFill>
          </w14:textFill>
        </w:rPr>
      </w:pPr>
    </w:p>
    <w:p w14:paraId="7CB70282">
      <w:pPr>
        <w:spacing w:line="360" w:lineRule="auto"/>
        <w:rPr>
          <w:rFonts w:hint="eastAsia"/>
          <w:color w:val="000000" w:themeColor="text1"/>
          <w:lang w:eastAsia="zh-CN"/>
          <w14:textFill>
            <w14:solidFill>
              <w14:schemeClr w14:val="tx1"/>
            </w14:solidFill>
          </w14:textFill>
        </w:rPr>
      </w:pPr>
    </w:p>
    <w:p w14:paraId="5B33F23C">
      <w:pPr>
        <w:pStyle w:val="4"/>
        <w:numPr>
          <w:ilvl w:val="0"/>
          <w:numId w:val="15"/>
        </w:numPr>
        <w:spacing w:line="360" w:lineRule="auto"/>
        <w:jc w:val="center"/>
        <w:rPr>
          <w:rFonts w:hint="eastAsia" w:ascii="仿宋" w:hAnsi="仿宋" w:eastAsia="仿宋" w:cs="仿宋"/>
          <w:color w:val="000000" w:themeColor="text1"/>
          <w:sz w:val="28"/>
          <w:szCs w:val="28"/>
          <w:lang w:eastAsia="zh-CN"/>
          <w14:textFill>
            <w14:solidFill>
              <w14:schemeClr w14:val="tx1"/>
            </w14:solidFill>
          </w14:textFill>
        </w:rPr>
      </w:pPr>
      <w:bookmarkStart w:id="121" w:name="_Toc25382"/>
      <w:r>
        <w:rPr>
          <w:rFonts w:hint="eastAsia" w:ascii="仿宋" w:hAnsi="仿宋" w:eastAsia="仿宋" w:cs="仿宋"/>
          <w:color w:val="000000" w:themeColor="text1"/>
          <w:sz w:val="28"/>
          <w:szCs w:val="28"/>
          <w:lang w:eastAsia="zh-CN"/>
          <w14:textFill>
            <w14:solidFill>
              <w14:schemeClr w14:val="tx1"/>
            </w14:solidFill>
          </w14:textFill>
        </w:rPr>
        <w:t>合同条款及格式</w:t>
      </w:r>
      <w:bookmarkEnd w:id="121"/>
    </w:p>
    <w:p w14:paraId="6A346122">
      <w:pPr>
        <w:spacing w:line="360" w:lineRule="auto"/>
        <w:rPr>
          <w:rFonts w:hint="eastAsia"/>
          <w:color w:val="000000" w:themeColor="text1"/>
          <w:sz w:val="24"/>
          <w:szCs w:val="18"/>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bCs/>
          <w:color w:val="000000" w:themeColor="text1"/>
          <w:sz w:val="22"/>
          <w:szCs w:val="22"/>
          <w:lang w:eastAsia="zh-CN"/>
          <w14:textFill>
            <w14:solidFill>
              <w14:schemeClr w14:val="tx1"/>
            </w14:solidFill>
          </w14:textFill>
        </w:rPr>
        <w:t>采购人与成交供应商根据双方协商后</w:t>
      </w:r>
      <w:r>
        <w:rPr>
          <w:rFonts w:hint="eastAsia" w:ascii="仿宋" w:hAnsi="仿宋" w:eastAsia="仿宋" w:cs="仿宋"/>
          <w:bCs/>
          <w:color w:val="000000" w:themeColor="text1"/>
          <w:sz w:val="22"/>
          <w:szCs w:val="22"/>
          <w:lang w:val="en-US" w:eastAsia="zh-CN"/>
          <w14:textFill>
            <w14:solidFill>
              <w14:schemeClr w14:val="tx1"/>
            </w14:solidFill>
          </w14:textFill>
        </w:rPr>
        <w:t>可</w:t>
      </w:r>
      <w:r>
        <w:rPr>
          <w:rFonts w:hint="eastAsia" w:ascii="仿宋" w:hAnsi="仿宋" w:eastAsia="仿宋" w:cs="仿宋"/>
          <w:bCs/>
          <w:color w:val="000000" w:themeColor="text1"/>
          <w:sz w:val="22"/>
          <w:szCs w:val="22"/>
          <w:lang w:eastAsia="zh-CN"/>
          <w14:textFill>
            <w14:solidFill>
              <w14:schemeClr w14:val="tx1"/>
            </w14:solidFill>
          </w14:textFill>
        </w:rPr>
        <w:t>自行编写采购合同</w:t>
      </w:r>
      <w:r>
        <w:rPr>
          <w:rFonts w:hint="eastAsia" w:ascii="仿宋" w:hAnsi="仿宋" w:eastAsia="仿宋" w:cs="仿宋"/>
          <w:bCs/>
          <w:color w:val="000000" w:themeColor="text1"/>
          <w:sz w:val="22"/>
          <w:szCs w:val="22"/>
          <w:lang w:val="en-US" w:eastAsia="zh-CN"/>
          <w14:textFill>
            <w14:solidFill>
              <w14:schemeClr w14:val="tx1"/>
            </w14:solidFill>
          </w14:textFill>
        </w:rPr>
        <w:t>或采用以下模板</w:t>
      </w:r>
      <w:r>
        <w:rPr>
          <w:rFonts w:hint="eastAsia" w:ascii="仿宋" w:hAnsi="仿宋" w:eastAsia="仿宋" w:cs="仿宋"/>
          <w:bCs/>
          <w:color w:val="000000" w:themeColor="text1"/>
          <w:sz w:val="22"/>
          <w:szCs w:val="22"/>
          <w:lang w:eastAsia="zh-CN"/>
          <w14:textFill>
            <w14:solidFill>
              <w14:schemeClr w14:val="tx1"/>
            </w14:solidFill>
          </w14:textFill>
        </w:rPr>
        <w:t>，但不得违背采购文件的实质性要求</w:t>
      </w:r>
      <w:r>
        <w:rPr>
          <w:rFonts w:hint="eastAsia" w:ascii="仿宋" w:hAnsi="仿宋" w:eastAsia="仿宋" w:cs="仿宋"/>
          <w:color w:val="000000" w:themeColor="text1"/>
          <w:sz w:val="24"/>
          <w:szCs w:val="24"/>
          <w:lang w:eastAsia="zh-CN"/>
          <w14:textFill>
            <w14:solidFill>
              <w14:schemeClr w14:val="tx1"/>
            </w14:solidFill>
          </w14:textFill>
        </w:rPr>
        <w:t>）</w:t>
      </w:r>
    </w:p>
    <w:p w14:paraId="13391E49">
      <w:pPr>
        <w:pStyle w:val="3"/>
        <w:ind w:firstLine="2069" w:firstLineChars="398"/>
        <w:rPr>
          <w:rFonts w:hint="eastAsia" w:ascii="宋体" w:hAnsi="宋体" w:cs="宋体"/>
          <w:color w:val="000000"/>
          <w:sz w:val="52"/>
          <w:szCs w:val="52"/>
          <w:highlight w:val="none"/>
        </w:rPr>
      </w:pPr>
      <w:r>
        <w:rPr>
          <w:rFonts w:hint="eastAsia" w:ascii="宋体" w:hAnsi="宋体" w:cs="宋体"/>
          <w:color w:val="000000"/>
          <w:sz w:val="52"/>
          <w:szCs w:val="52"/>
          <w:highlight w:val="none"/>
        </w:rPr>
        <w:t>建设工程项目施工合同</w:t>
      </w:r>
    </w:p>
    <w:p w14:paraId="39B33E1D">
      <w:pPr>
        <w:jc w:val="center"/>
        <w:rPr>
          <w:rFonts w:hint="eastAsia" w:ascii="宋体" w:hAnsi="宋体" w:cs="宋体"/>
          <w:b/>
          <w:color w:val="000000"/>
          <w:sz w:val="28"/>
          <w:szCs w:val="28"/>
          <w:highlight w:val="none"/>
        </w:rPr>
      </w:pPr>
    </w:p>
    <w:p w14:paraId="3E108E62">
      <w:pPr>
        <w:jc w:val="center"/>
        <w:rPr>
          <w:rFonts w:hint="eastAsia" w:ascii="宋体" w:hAnsi="宋体" w:cs="宋体"/>
          <w:b/>
          <w:color w:val="000000"/>
          <w:sz w:val="28"/>
          <w:szCs w:val="28"/>
          <w:highlight w:val="none"/>
        </w:rPr>
      </w:pPr>
    </w:p>
    <w:p w14:paraId="708F3EEE">
      <w:pPr>
        <w:jc w:val="center"/>
        <w:rPr>
          <w:rFonts w:hint="eastAsia" w:ascii="宋体" w:hAnsi="宋体" w:cs="宋体"/>
          <w:b/>
          <w:color w:val="000000"/>
          <w:sz w:val="28"/>
          <w:szCs w:val="28"/>
          <w:highlight w:val="none"/>
        </w:rPr>
      </w:pPr>
    </w:p>
    <w:p w14:paraId="100822CE">
      <w:pPr>
        <w:jc w:val="center"/>
        <w:rPr>
          <w:rFonts w:hint="eastAsia" w:ascii="宋体" w:hAnsi="宋体" w:cs="宋体"/>
          <w:b/>
          <w:color w:val="000000"/>
          <w:sz w:val="28"/>
          <w:szCs w:val="28"/>
          <w:highlight w:val="none"/>
        </w:rPr>
      </w:pPr>
    </w:p>
    <w:p w14:paraId="2944FA2A">
      <w:pPr>
        <w:rPr>
          <w:rFonts w:hint="eastAsia" w:ascii="宋体" w:hAnsi="宋体" w:cs="宋体"/>
          <w:b/>
          <w:color w:val="000000"/>
          <w:sz w:val="28"/>
          <w:szCs w:val="28"/>
          <w:highlight w:val="none"/>
        </w:rPr>
      </w:pPr>
    </w:p>
    <w:p w14:paraId="563A6080">
      <w:pPr>
        <w:jc w:val="center"/>
        <w:rPr>
          <w:rFonts w:hint="eastAsia" w:ascii="宋体" w:hAnsi="宋体" w:cs="宋体"/>
          <w:b/>
          <w:color w:val="000000"/>
          <w:sz w:val="28"/>
          <w:szCs w:val="28"/>
          <w:highlight w:val="none"/>
        </w:rPr>
      </w:pPr>
    </w:p>
    <w:p w14:paraId="632A6D80">
      <w:pPr>
        <w:jc w:val="center"/>
        <w:rPr>
          <w:rFonts w:hint="eastAsia" w:ascii="宋体" w:hAnsi="宋体" w:cs="宋体"/>
          <w:b/>
          <w:color w:val="000000"/>
          <w:sz w:val="28"/>
          <w:szCs w:val="28"/>
          <w:highlight w:val="none"/>
        </w:rPr>
      </w:pPr>
    </w:p>
    <w:p w14:paraId="25254AF0">
      <w:pPr>
        <w:spacing w:line="320" w:lineRule="atLeast"/>
        <w:textAlignment w:val="center"/>
        <w:rPr>
          <w:rFonts w:hint="eastAsia" w:ascii="宋体" w:hAnsi="宋体" w:cs="宋体"/>
          <w:color w:val="000000"/>
          <w:spacing w:val="-20"/>
          <w:kern w:val="10"/>
          <w:sz w:val="28"/>
          <w:szCs w:val="28"/>
          <w:highlight w:val="none"/>
        </w:rPr>
      </w:pPr>
    </w:p>
    <w:p w14:paraId="0133FF99">
      <w:pPr>
        <w:spacing w:line="320" w:lineRule="atLeast"/>
        <w:textAlignment w:val="center"/>
        <w:rPr>
          <w:rFonts w:hint="eastAsia" w:ascii="宋体" w:hAnsi="宋体" w:cs="宋体"/>
          <w:color w:val="000000"/>
          <w:spacing w:val="-20"/>
          <w:kern w:val="10"/>
          <w:sz w:val="28"/>
          <w:szCs w:val="28"/>
          <w:highlight w:val="none"/>
        </w:rPr>
      </w:pPr>
    </w:p>
    <w:p w14:paraId="5977B781">
      <w:pPr>
        <w:spacing w:line="320" w:lineRule="atLeast"/>
        <w:textAlignment w:val="center"/>
        <w:rPr>
          <w:rFonts w:hint="eastAsia" w:ascii="宋体" w:hAnsi="宋体" w:cs="宋体"/>
          <w:color w:val="000000"/>
          <w:spacing w:val="-20"/>
          <w:kern w:val="10"/>
          <w:sz w:val="28"/>
          <w:szCs w:val="28"/>
          <w:highlight w:val="none"/>
        </w:rPr>
      </w:pPr>
    </w:p>
    <w:p w14:paraId="719E8B8C">
      <w:pPr>
        <w:spacing w:line="320" w:lineRule="atLeast"/>
        <w:textAlignment w:val="center"/>
        <w:rPr>
          <w:rFonts w:hint="eastAsia" w:ascii="宋体" w:hAnsi="宋体" w:cs="宋体"/>
          <w:b/>
          <w:color w:val="000000"/>
          <w:spacing w:val="-20"/>
          <w:kern w:val="10"/>
          <w:sz w:val="32"/>
          <w:szCs w:val="32"/>
          <w:highlight w:val="none"/>
        </w:rPr>
      </w:pPr>
      <w:r>
        <w:rPr>
          <w:rFonts w:hint="eastAsia" w:ascii="宋体" w:hAnsi="宋体" w:cs="宋体"/>
          <w:b/>
          <w:color w:val="000000"/>
          <w:spacing w:val="-20"/>
          <w:kern w:val="10"/>
          <w:sz w:val="32"/>
          <w:szCs w:val="32"/>
          <w:highlight w:val="none"/>
        </w:rPr>
        <w:t xml:space="preserve">                         中华人民共和国建设部　　</w:t>
      </w:r>
    </w:p>
    <w:p w14:paraId="30EACB20">
      <w:pPr>
        <w:spacing w:line="320" w:lineRule="atLeast"/>
        <w:jc w:val="center"/>
        <w:textAlignment w:val="center"/>
        <w:rPr>
          <w:rFonts w:hint="eastAsia" w:ascii="宋体" w:hAnsi="宋体" w:cs="宋体"/>
          <w:b/>
          <w:color w:val="000000"/>
          <w:spacing w:val="-20"/>
          <w:kern w:val="10"/>
          <w:sz w:val="32"/>
          <w:szCs w:val="32"/>
          <w:highlight w:val="none"/>
        </w:rPr>
      </w:pPr>
      <w:r>
        <w:rPr>
          <w:rFonts w:hint="eastAsia" w:ascii="宋体" w:hAnsi="宋体" w:cs="宋体"/>
          <w:b/>
          <w:color w:val="000000"/>
          <w:spacing w:val="-20"/>
          <w:kern w:val="10"/>
          <w:sz w:val="32"/>
          <w:szCs w:val="32"/>
          <w:highlight w:val="none"/>
        </w:rPr>
        <w:t xml:space="preserve">                                    制定</w:t>
      </w:r>
    </w:p>
    <w:p w14:paraId="7465BA64">
      <w:pPr>
        <w:spacing w:line="320" w:lineRule="atLeast"/>
        <w:textAlignment w:val="center"/>
        <w:rPr>
          <w:rFonts w:hint="eastAsia" w:ascii="宋体" w:hAnsi="宋体" w:cs="宋体"/>
          <w:b/>
          <w:color w:val="000000"/>
          <w:spacing w:val="-20"/>
          <w:kern w:val="10"/>
          <w:sz w:val="32"/>
          <w:szCs w:val="32"/>
          <w:highlight w:val="none"/>
        </w:rPr>
      </w:pPr>
      <w:r>
        <w:rPr>
          <w:rFonts w:hint="eastAsia" w:ascii="宋体" w:hAnsi="宋体" w:cs="宋体"/>
          <w:b/>
          <w:color w:val="000000"/>
          <w:spacing w:val="-20"/>
          <w:kern w:val="10"/>
          <w:sz w:val="32"/>
          <w:szCs w:val="32"/>
          <w:highlight w:val="none"/>
        </w:rPr>
        <w:t xml:space="preserve">                         国家工商行政管理总局 </w:t>
      </w:r>
    </w:p>
    <w:p w14:paraId="6424D845">
      <w:pPr>
        <w:pStyle w:val="3"/>
        <w:spacing w:before="0" w:after="0" w:line="360" w:lineRule="auto"/>
        <w:rPr>
          <w:rFonts w:hint="eastAsia" w:ascii="宋体" w:hAnsi="宋体" w:cs="宋体"/>
          <w:bCs w:val="0"/>
          <w:color w:val="000000"/>
          <w:kern w:val="0"/>
          <w:sz w:val="32"/>
          <w:highlight w:val="none"/>
        </w:rPr>
      </w:pPr>
    </w:p>
    <w:p w14:paraId="3213C1F6">
      <w:pPr>
        <w:rPr>
          <w:rFonts w:hint="eastAsia" w:ascii="宋体" w:hAnsi="宋体" w:cs="宋体"/>
          <w:color w:val="000000"/>
          <w:highlight w:val="none"/>
        </w:rPr>
      </w:pPr>
    </w:p>
    <w:p w14:paraId="3020E4C4">
      <w:pPr>
        <w:pStyle w:val="2"/>
        <w:rPr>
          <w:rFonts w:hint="eastAsia" w:ascii="宋体" w:hAnsi="宋体" w:cs="宋体"/>
          <w:color w:val="000000"/>
          <w:highlight w:val="none"/>
        </w:rPr>
      </w:pPr>
    </w:p>
    <w:p w14:paraId="588FC060">
      <w:pPr>
        <w:rPr>
          <w:rFonts w:hint="eastAsia" w:ascii="宋体" w:hAnsi="宋体" w:cs="宋体"/>
          <w:color w:val="000000"/>
          <w:highlight w:val="none"/>
        </w:rPr>
      </w:pPr>
    </w:p>
    <w:p w14:paraId="727A754C">
      <w:pPr>
        <w:pStyle w:val="2"/>
        <w:rPr>
          <w:rFonts w:hint="eastAsia" w:ascii="宋体" w:hAnsi="宋体" w:cs="宋体"/>
          <w:color w:val="000000"/>
          <w:highlight w:val="none"/>
        </w:rPr>
      </w:pPr>
    </w:p>
    <w:p w14:paraId="4F6F15F6">
      <w:pPr>
        <w:rPr>
          <w:rFonts w:hint="eastAsia"/>
        </w:rPr>
      </w:pPr>
    </w:p>
    <w:p w14:paraId="4DFDE2E4">
      <w:pPr>
        <w:pStyle w:val="2"/>
        <w:rPr>
          <w:rFonts w:hint="eastAsia"/>
          <w:color w:val="000000"/>
          <w:highlight w:val="none"/>
        </w:rPr>
      </w:pPr>
    </w:p>
    <w:p w14:paraId="07EF7ADC">
      <w:pPr>
        <w:rPr>
          <w:rFonts w:hint="eastAsia"/>
          <w:color w:val="000000"/>
          <w:highlight w:val="none"/>
        </w:rPr>
      </w:pPr>
    </w:p>
    <w:p w14:paraId="4061E3C5">
      <w:pPr>
        <w:pStyle w:val="2"/>
        <w:rPr>
          <w:rFonts w:hint="eastAsia"/>
          <w:color w:val="000000"/>
          <w:highlight w:val="none"/>
        </w:rPr>
      </w:pPr>
    </w:p>
    <w:p w14:paraId="6F37E15A">
      <w:pPr>
        <w:rPr>
          <w:rFonts w:hint="eastAsia"/>
          <w:color w:val="000000"/>
          <w:highlight w:val="none"/>
        </w:rPr>
      </w:pPr>
    </w:p>
    <w:p w14:paraId="73CFE230">
      <w:pPr>
        <w:pStyle w:val="2"/>
        <w:rPr>
          <w:rFonts w:hint="eastAsia"/>
          <w:color w:val="000000"/>
          <w:highlight w:val="none"/>
        </w:rPr>
      </w:pPr>
    </w:p>
    <w:p w14:paraId="3713EE7C">
      <w:pPr>
        <w:rPr>
          <w:rFonts w:hint="eastAsia"/>
          <w:color w:val="000000"/>
          <w:highlight w:val="none"/>
        </w:rPr>
      </w:pPr>
    </w:p>
    <w:p w14:paraId="7C5EF2A1">
      <w:pPr>
        <w:pStyle w:val="2"/>
        <w:rPr>
          <w:rFonts w:hint="eastAsia"/>
        </w:rPr>
      </w:pPr>
    </w:p>
    <w:p w14:paraId="095F9A85">
      <w:pPr>
        <w:pStyle w:val="4"/>
        <w:jc w:val="center"/>
        <w:rPr>
          <w:rFonts w:hint="eastAsia" w:ascii="宋体" w:hAnsi="宋体" w:cs="宋体"/>
          <w:b w:val="0"/>
          <w:color w:val="000000"/>
          <w:sz w:val="44"/>
          <w:szCs w:val="44"/>
          <w:highlight w:val="none"/>
        </w:rPr>
      </w:pPr>
      <w:bookmarkStart w:id="122" w:name="_Toc18478"/>
      <w:bookmarkStart w:id="123" w:name="_Toc11953"/>
      <w:bookmarkStart w:id="124" w:name="_Toc26063"/>
      <w:bookmarkStart w:id="125" w:name="_Toc534185765"/>
      <w:bookmarkStart w:id="126" w:name="_Toc509218786"/>
      <w:bookmarkStart w:id="127" w:name="_Toc351203494"/>
      <w:r>
        <w:rPr>
          <w:rFonts w:hint="eastAsia" w:ascii="宋体" w:hAnsi="宋体" w:cs="宋体"/>
          <w:color w:val="000000"/>
          <w:sz w:val="44"/>
          <w:szCs w:val="44"/>
          <w:highlight w:val="none"/>
        </w:rPr>
        <w:t>第一部分 合同协议书</w:t>
      </w:r>
      <w:bookmarkEnd w:id="122"/>
      <w:bookmarkEnd w:id="123"/>
      <w:bookmarkEnd w:id="124"/>
      <w:bookmarkEnd w:id="125"/>
      <w:bookmarkEnd w:id="126"/>
    </w:p>
    <w:bookmarkEnd w:id="127"/>
    <w:p w14:paraId="32FF88A6">
      <w:pPr>
        <w:snapToGrid w:val="0"/>
        <w:spacing w:line="600" w:lineRule="exact"/>
        <w:ind w:firstLine="480" w:firstLineChars="200"/>
        <w:rPr>
          <w:rFonts w:hint="eastAsia" w:ascii="宋体" w:hAnsi="宋体" w:cs="宋体"/>
          <w:color w:val="000000"/>
          <w:sz w:val="24"/>
          <w:highlight w:val="none"/>
        </w:rPr>
      </w:pPr>
    </w:p>
    <w:p w14:paraId="1EAB5503">
      <w:pPr>
        <w:snapToGrid w:val="0"/>
        <w:spacing w:line="360" w:lineRule="auto"/>
        <w:ind w:firstLine="562" w:firstLineChars="200"/>
        <w:rPr>
          <w:rFonts w:hint="eastAsia" w:ascii="宋体" w:hAnsi="宋体" w:cs="宋体"/>
          <w:b/>
          <w:color w:val="000000"/>
          <w:szCs w:val="21"/>
          <w:highlight w:val="none"/>
          <w:u w:val="single"/>
        </w:rPr>
      </w:pPr>
      <w:r>
        <w:rPr>
          <w:rFonts w:hint="eastAsia" w:ascii="宋体" w:hAnsi="宋体" w:cs="宋体"/>
          <w:b/>
          <w:color w:val="000000"/>
          <w:szCs w:val="21"/>
          <w:highlight w:val="none"/>
        </w:rPr>
        <w:t>发包人（全称）：</w:t>
      </w:r>
      <w:r>
        <w:rPr>
          <w:rFonts w:hint="eastAsia" w:ascii="宋体" w:hAnsi="宋体" w:cs="宋体"/>
          <w:color w:val="000000"/>
          <w:szCs w:val="21"/>
          <w:highlight w:val="none"/>
          <w:u w:val="single"/>
        </w:rPr>
        <w:t xml:space="preserve">                             </w:t>
      </w:r>
    </w:p>
    <w:p w14:paraId="425180D1">
      <w:pPr>
        <w:snapToGrid w:val="0"/>
        <w:spacing w:line="360" w:lineRule="auto"/>
        <w:ind w:firstLine="562" w:firstLineChars="200"/>
        <w:rPr>
          <w:rFonts w:hint="eastAsia" w:ascii="宋体" w:hAnsi="宋体" w:cs="宋体"/>
          <w:b/>
          <w:color w:val="000000"/>
          <w:szCs w:val="21"/>
          <w:highlight w:val="none"/>
          <w:u w:val="single"/>
        </w:rPr>
      </w:pPr>
      <w:r>
        <w:rPr>
          <w:rFonts w:hint="eastAsia" w:ascii="宋体" w:hAnsi="宋体" w:cs="宋体"/>
          <w:b/>
          <w:color w:val="000000"/>
          <w:szCs w:val="21"/>
          <w:highlight w:val="none"/>
        </w:rPr>
        <w:t>承包人（全称）：</w:t>
      </w:r>
      <w:r>
        <w:rPr>
          <w:rFonts w:hint="eastAsia" w:ascii="宋体" w:hAnsi="宋体" w:cs="宋体"/>
          <w:color w:val="000000"/>
          <w:szCs w:val="21"/>
          <w:highlight w:val="none"/>
          <w:u w:val="single"/>
        </w:rPr>
        <w:t xml:space="preserve">                                 </w:t>
      </w:r>
    </w:p>
    <w:p w14:paraId="15A9C26F">
      <w:pPr>
        <w:spacing w:line="360" w:lineRule="auto"/>
        <w:ind w:firstLine="560" w:firstLineChars="200"/>
        <w:rPr>
          <w:rFonts w:hint="eastAsia" w:ascii="宋体" w:hAnsi="宋体" w:cs="宋体"/>
          <w:b/>
          <w:color w:val="000000"/>
          <w:szCs w:val="21"/>
          <w:highlight w:val="none"/>
          <w:u w:val="single"/>
        </w:rPr>
      </w:pPr>
      <w:r>
        <w:rPr>
          <w:rFonts w:hint="eastAsia" w:ascii="宋体" w:hAnsi="宋体" w:cs="宋体"/>
          <w:color w:val="000000"/>
          <w:szCs w:val="21"/>
          <w:highlight w:val="none"/>
        </w:rPr>
        <w:t>根据《中华人民共和国民法典》、《中华人民共和国建筑法》及有关法律、法规规定，遵循平等、自愿、公平和诚实信用的原则，双方就</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工程施工及有关事项协商一致，共同达成如下协议：</w:t>
      </w:r>
    </w:p>
    <w:p w14:paraId="259919BB">
      <w:pPr>
        <w:pStyle w:val="6"/>
        <w:keepNext/>
        <w:keepLines/>
        <w:spacing w:before="120" w:after="120" w:line="360" w:lineRule="auto"/>
        <w:ind w:firstLine="422" w:firstLineChars="200"/>
        <w:jc w:val="both"/>
        <w:rPr>
          <w:rFonts w:hint="eastAsia"/>
          <w:color w:val="000000"/>
          <w:kern w:val="2"/>
          <w:sz w:val="21"/>
          <w:szCs w:val="21"/>
          <w:highlight w:val="none"/>
        </w:rPr>
      </w:pPr>
      <w:bookmarkStart w:id="128" w:name="_Toc351203481"/>
      <w:bookmarkStart w:id="129" w:name="_Toc532377166"/>
      <w:bookmarkStart w:id="130" w:name="_Toc532375573"/>
      <w:bookmarkStart w:id="131" w:name="_Toc29388"/>
      <w:r>
        <w:rPr>
          <w:rFonts w:hint="eastAsia"/>
          <w:color w:val="000000"/>
          <w:kern w:val="2"/>
          <w:sz w:val="21"/>
          <w:szCs w:val="21"/>
          <w:highlight w:val="none"/>
        </w:rPr>
        <w:t>一、工程概况</w:t>
      </w:r>
      <w:bookmarkEnd w:id="128"/>
      <w:bookmarkEnd w:id="129"/>
      <w:bookmarkEnd w:id="130"/>
      <w:bookmarkEnd w:id="131"/>
    </w:p>
    <w:p w14:paraId="193BAB94">
      <w:pPr>
        <w:snapToGrid w:val="0"/>
        <w:spacing w:line="360" w:lineRule="auto"/>
        <w:ind w:firstLine="560" w:firstLineChars="200"/>
        <w:rPr>
          <w:rFonts w:hint="eastAsia" w:ascii="宋体" w:hAnsi="宋体" w:cs="宋体"/>
          <w:color w:val="000000"/>
          <w:szCs w:val="21"/>
          <w:highlight w:val="none"/>
          <w:u w:val="single"/>
        </w:rPr>
      </w:pPr>
      <w:r>
        <w:rPr>
          <w:rFonts w:hint="eastAsia" w:ascii="宋体" w:hAnsi="宋体" w:cs="宋体"/>
          <w:bCs/>
          <w:color w:val="000000"/>
          <w:szCs w:val="21"/>
          <w:highlight w:val="none"/>
        </w:rPr>
        <w:t>1.工程名称</w:t>
      </w:r>
      <w:r>
        <w:rPr>
          <w:rFonts w:hint="eastAsia" w:ascii="宋体" w:hAnsi="宋体" w:cs="宋体"/>
          <w:color w:val="000000"/>
          <w:szCs w:val="21"/>
          <w:highlight w:val="none"/>
        </w:rPr>
        <w:t>：</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46E5327B">
      <w:pPr>
        <w:snapToGrid w:val="0"/>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2.工程地点：</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60997C9D">
      <w:pPr>
        <w:snapToGrid w:val="0"/>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3.工程立项批准文号：</w:t>
      </w:r>
      <w:r>
        <w:rPr>
          <w:rFonts w:hint="eastAsia" w:ascii="宋体" w:hAnsi="宋体" w:cs="宋体"/>
          <w:color w:val="000000"/>
          <w:szCs w:val="21"/>
          <w:highlight w:val="none"/>
          <w:u w:val="single"/>
        </w:rPr>
        <w:t xml:space="preserve">                        </w:t>
      </w:r>
      <w:r>
        <w:rPr>
          <w:rFonts w:hint="eastAsia" w:ascii="宋体" w:hAnsi="宋体" w:cs="宋体"/>
          <w:bCs/>
          <w:color w:val="000000"/>
          <w:szCs w:val="21"/>
          <w:highlight w:val="none"/>
        </w:rPr>
        <w:t>。</w:t>
      </w:r>
    </w:p>
    <w:p w14:paraId="4138480E">
      <w:pPr>
        <w:snapToGrid w:val="0"/>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4.资金来源：</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0ED686EC">
      <w:pPr>
        <w:snapToGrid w:val="0"/>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5.工程内容：</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5809A532">
      <w:pPr>
        <w:snapToGrid w:val="0"/>
        <w:spacing w:line="360" w:lineRule="auto"/>
        <w:ind w:firstLine="560" w:firstLineChars="200"/>
        <w:jc w:val="left"/>
        <w:rPr>
          <w:rFonts w:hint="eastAsia" w:ascii="宋体" w:hAnsi="宋体" w:cs="宋体"/>
          <w:bCs/>
          <w:color w:val="000000"/>
          <w:szCs w:val="21"/>
          <w:highlight w:val="none"/>
        </w:rPr>
      </w:pPr>
      <w:r>
        <w:rPr>
          <w:rFonts w:hint="eastAsia" w:ascii="宋体" w:hAnsi="宋体" w:cs="宋体"/>
          <w:bCs/>
          <w:color w:val="000000"/>
          <w:szCs w:val="21"/>
          <w:highlight w:val="none"/>
        </w:rPr>
        <w:t>6.工程承包范围：</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04EA91DD">
      <w:pPr>
        <w:pStyle w:val="6"/>
        <w:keepNext/>
        <w:keepLines/>
        <w:spacing w:before="120" w:after="120" w:line="360" w:lineRule="auto"/>
        <w:ind w:firstLine="422" w:firstLineChars="200"/>
        <w:jc w:val="both"/>
        <w:rPr>
          <w:rFonts w:hint="eastAsia"/>
          <w:color w:val="000000"/>
          <w:kern w:val="2"/>
          <w:sz w:val="21"/>
          <w:szCs w:val="21"/>
          <w:highlight w:val="none"/>
        </w:rPr>
      </w:pPr>
      <w:bookmarkStart w:id="132" w:name="_Toc351203482"/>
      <w:bookmarkStart w:id="133" w:name="_Toc532377167"/>
      <w:bookmarkStart w:id="134" w:name="_Toc6750"/>
      <w:bookmarkStart w:id="135" w:name="_Toc532375574"/>
      <w:r>
        <w:rPr>
          <w:rFonts w:hint="eastAsia"/>
          <w:color w:val="000000"/>
          <w:kern w:val="2"/>
          <w:sz w:val="21"/>
          <w:szCs w:val="21"/>
          <w:highlight w:val="none"/>
        </w:rPr>
        <w:t>二、合同工期</w:t>
      </w:r>
      <w:bookmarkEnd w:id="132"/>
      <w:bookmarkEnd w:id="133"/>
      <w:bookmarkEnd w:id="134"/>
      <w:bookmarkEnd w:id="135"/>
    </w:p>
    <w:p w14:paraId="2DD220A8">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承包人投标函中承诺的工期：</w:t>
      </w:r>
      <w:r>
        <w:rPr>
          <w:rFonts w:hint="eastAsia" w:ascii="宋体" w:hAnsi="宋体" w:cs="宋体"/>
          <w:bCs/>
          <w:color w:val="000000"/>
          <w:szCs w:val="21"/>
          <w:highlight w:val="none"/>
          <w:u w:val="single"/>
        </w:rPr>
        <w:t>日历天，</w:t>
      </w:r>
      <w:r>
        <w:rPr>
          <w:rFonts w:ascii="宋体" w:hAnsi="宋体" w:cs="宋体"/>
          <w:bCs/>
          <w:color w:val="000000"/>
          <w:szCs w:val="21"/>
          <w:highlight w:val="none"/>
          <w:u w:val="single"/>
        </w:rPr>
        <w:t>缺陷责任期</w:t>
      </w:r>
      <w:r>
        <w:rPr>
          <w:rFonts w:hint="eastAsia" w:ascii="宋体" w:hAnsi="宋体" w:cs="宋体"/>
          <w:bCs/>
          <w:color w:val="000000"/>
          <w:szCs w:val="21"/>
          <w:highlight w:val="none"/>
          <w:u w:val="single"/>
        </w:rPr>
        <w:t>24个</w:t>
      </w:r>
      <w:r>
        <w:rPr>
          <w:rFonts w:ascii="宋体" w:hAnsi="宋体" w:cs="宋体"/>
          <w:bCs/>
          <w:color w:val="000000"/>
          <w:szCs w:val="21"/>
          <w:highlight w:val="none"/>
          <w:u w:val="single"/>
        </w:rPr>
        <w:t>月（</w:t>
      </w:r>
      <w:r>
        <w:rPr>
          <w:rFonts w:hint="eastAsia" w:ascii="宋体" w:hAnsi="宋体" w:cs="宋体"/>
          <w:bCs/>
          <w:color w:val="000000"/>
          <w:szCs w:val="21"/>
          <w:highlight w:val="none"/>
          <w:u w:val="single"/>
        </w:rPr>
        <w:t>自</w:t>
      </w:r>
      <w:r>
        <w:rPr>
          <w:rFonts w:ascii="宋体" w:hAnsi="宋体" w:cs="宋体"/>
          <w:bCs/>
          <w:color w:val="000000"/>
          <w:szCs w:val="21"/>
          <w:highlight w:val="none"/>
          <w:u w:val="single"/>
        </w:rPr>
        <w:t>竣工验收合格之日起）</w:t>
      </w:r>
      <w:r>
        <w:rPr>
          <w:rFonts w:hint="eastAsia" w:ascii="宋体" w:hAnsi="宋体" w:cs="宋体"/>
          <w:bCs/>
          <w:color w:val="000000"/>
          <w:szCs w:val="21"/>
          <w:highlight w:val="none"/>
        </w:rPr>
        <w:t>。</w:t>
      </w:r>
    </w:p>
    <w:p w14:paraId="35A30C38">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计划开工日期：</w:t>
      </w:r>
      <w:r>
        <w:rPr>
          <w:rFonts w:hint="eastAsia" w:ascii="宋体" w:hAnsi="宋体" w:cs="宋体"/>
          <w:bCs/>
          <w:color w:val="000000"/>
          <w:szCs w:val="21"/>
          <w:highlight w:val="none"/>
          <w:u w:val="single"/>
        </w:rPr>
        <w:t></w:t>
      </w:r>
      <w:r>
        <w:rPr>
          <w:rFonts w:hint="eastAsia" w:ascii="宋体" w:hAnsi="宋体" w:cs="宋体"/>
          <w:bCs/>
          <w:color w:val="000000"/>
          <w:szCs w:val="21"/>
          <w:highlight w:val="none"/>
        </w:rPr>
        <w:t>年</w:t>
      </w:r>
      <w:r>
        <w:rPr>
          <w:rFonts w:hint="eastAsia" w:ascii="宋体" w:hAnsi="宋体" w:cs="宋体"/>
          <w:bCs/>
          <w:color w:val="000000"/>
          <w:szCs w:val="21"/>
          <w:highlight w:val="none"/>
          <w:u w:val="single"/>
        </w:rPr>
        <w:t></w:t>
      </w:r>
      <w:r>
        <w:rPr>
          <w:rFonts w:hint="eastAsia" w:ascii="宋体" w:hAnsi="宋体" w:cs="宋体"/>
          <w:bCs/>
          <w:color w:val="000000"/>
          <w:szCs w:val="21"/>
          <w:highlight w:val="none"/>
        </w:rPr>
        <w:t>月</w:t>
      </w:r>
      <w:r>
        <w:rPr>
          <w:rFonts w:hint="eastAsia" w:ascii="宋体" w:hAnsi="宋体" w:cs="宋体"/>
          <w:bCs/>
          <w:color w:val="000000"/>
          <w:szCs w:val="21"/>
          <w:highlight w:val="none"/>
          <w:u w:val="single"/>
        </w:rPr>
        <w:t></w:t>
      </w:r>
      <w:r>
        <w:rPr>
          <w:rFonts w:hint="eastAsia" w:ascii="宋体" w:hAnsi="宋体" w:cs="宋体"/>
          <w:bCs/>
          <w:color w:val="000000"/>
          <w:szCs w:val="21"/>
          <w:highlight w:val="none"/>
        </w:rPr>
        <w:t>日，实际开工日期以监理工程师签发的工程开工通知明确的开工日期为准。</w:t>
      </w:r>
    </w:p>
    <w:p w14:paraId="5C3B7440">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计划竣工日期：</w:t>
      </w:r>
      <w:r>
        <w:rPr>
          <w:rFonts w:hint="eastAsia" w:ascii="宋体" w:hAnsi="宋体" w:cs="宋体"/>
          <w:bCs/>
          <w:color w:val="000000"/>
          <w:szCs w:val="21"/>
          <w:highlight w:val="none"/>
          <w:u w:val="single"/>
        </w:rPr>
        <w:t></w:t>
      </w:r>
      <w:r>
        <w:rPr>
          <w:rFonts w:hint="eastAsia" w:ascii="宋体" w:hAnsi="宋体" w:cs="宋体"/>
          <w:bCs/>
          <w:color w:val="000000"/>
          <w:szCs w:val="21"/>
          <w:highlight w:val="none"/>
        </w:rPr>
        <w:t>年</w:t>
      </w:r>
      <w:r>
        <w:rPr>
          <w:rFonts w:hint="eastAsia" w:ascii="宋体" w:hAnsi="宋体" w:cs="宋体"/>
          <w:bCs/>
          <w:color w:val="000000"/>
          <w:szCs w:val="21"/>
          <w:highlight w:val="none"/>
          <w:u w:val="single"/>
        </w:rPr>
        <w:t></w:t>
      </w:r>
      <w:r>
        <w:rPr>
          <w:rFonts w:hint="eastAsia" w:ascii="宋体" w:hAnsi="宋体" w:cs="宋体"/>
          <w:bCs/>
          <w:color w:val="000000"/>
          <w:szCs w:val="21"/>
          <w:highlight w:val="none"/>
        </w:rPr>
        <w:t>月</w:t>
      </w:r>
      <w:r>
        <w:rPr>
          <w:rFonts w:hint="eastAsia" w:ascii="宋体" w:hAnsi="宋体" w:cs="宋体"/>
          <w:bCs/>
          <w:color w:val="000000"/>
          <w:szCs w:val="21"/>
          <w:highlight w:val="none"/>
          <w:u w:val="single"/>
        </w:rPr>
        <w:t></w:t>
      </w:r>
      <w:r>
        <w:rPr>
          <w:rFonts w:hint="eastAsia" w:ascii="宋体" w:hAnsi="宋体" w:cs="宋体"/>
          <w:bCs/>
          <w:color w:val="000000"/>
          <w:szCs w:val="21"/>
          <w:highlight w:val="none"/>
        </w:rPr>
        <w:t>日，实际竣工日期以工程竣工验收合格之日为准。</w:t>
      </w:r>
    </w:p>
    <w:p w14:paraId="72503F12">
      <w:pPr>
        <w:spacing w:line="360" w:lineRule="auto"/>
        <w:ind w:firstLine="560" w:firstLineChars="200"/>
        <w:rPr>
          <w:rFonts w:hint="eastAsia" w:ascii="宋体" w:hAnsi="宋体" w:cs="宋体"/>
          <w:color w:val="000000"/>
          <w:szCs w:val="21"/>
          <w:highlight w:val="none"/>
        </w:rPr>
      </w:pPr>
      <w:r>
        <w:rPr>
          <w:rFonts w:hint="eastAsia" w:ascii="宋体" w:hAnsi="宋体" w:cs="宋体"/>
          <w:bCs/>
          <w:color w:val="000000"/>
          <w:szCs w:val="21"/>
          <w:highlight w:val="none"/>
        </w:rPr>
        <w:t>工期总日历天数</w:t>
      </w:r>
      <w:r>
        <w:rPr>
          <w:rFonts w:hint="eastAsia" w:ascii="宋体" w:hAnsi="宋体" w:cs="宋体"/>
          <w:bCs/>
          <w:color w:val="000000"/>
          <w:szCs w:val="21"/>
          <w:highlight w:val="none"/>
          <w:u w:val="single"/>
        </w:rPr>
        <w:t></w:t>
      </w:r>
      <w:r>
        <w:rPr>
          <w:rFonts w:hint="eastAsia" w:ascii="宋体" w:hAnsi="宋体" w:cs="宋体"/>
          <w:bCs/>
          <w:color w:val="000000"/>
          <w:szCs w:val="21"/>
          <w:highlight w:val="none"/>
        </w:rPr>
        <w:t>天。工期总日历天数与根据前述计划开竣工日期计算的工期天数不一</w:t>
      </w:r>
      <w:r>
        <w:rPr>
          <w:rFonts w:hint="eastAsia" w:ascii="宋体" w:hAnsi="宋体" w:cs="宋体"/>
          <w:color w:val="000000"/>
          <w:szCs w:val="21"/>
          <w:highlight w:val="none"/>
        </w:rPr>
        <w:t>致的，以工期总日历天数为准。</w:t>
      </w:r>
    </w:p>
    <w:p w14:paraId="6F87BDC6">
      <w:pPr>
        <w:pStyle w:val="6"/>
        <w:keepNext/>
        <w:keepLines/>
        <w:spacing w:before="120" w:after="120" w:line="360" w:lineRule="auto"/>
        <w:ind w:firstLine="422" w:firstLineChars="200"/>
        <w:jc w:val="both"/>
        <w:rPr>
          <w:rFonts w:hint="eastAsia"/>
          <w:color w:val="000000"/>
          <w:kern w:val="2"/>
          <w:sz w:val="21"/>
          <w:szCs w:val="21"/>
          <w:highlight w:val="none"/>
        </w:rPr>
      </w:pPr>
      <w:bookmarkStart w:id="136" w:name="_Toc351203483"/>
      <w:bookmarkStart w:id="137" w:name="_Toc532375575"/>
      <w:bookmarkStart w:id="138" w:name="_Toc532377168"/>
      <w:bookmarkStart w:id="139" w:name="_Toc16536"/>
      <w:r>
        <w:rPr>
          <w:rFonts w:hint="eastAsia"/>
          <w:color w:val="000000"/>
          <w:kern w:val="2"/>
          <w:sz w:val="21"/>
          <w:szCs w:val="21"/>
          <w:highlight w:val="none"/>
        </w:rPr>
        <w:t>三、质量标准</w:t>
      </w:r>
      <w:bookmarkEnd w:id="136"/>
      <w:bookmarkEnd w:id="137"/>
      <w:bookmarkEnd w:id="138"/>
      <w:bookmarkEnd w:id="139"/>
    </w:p>
    <w:p w14:paraId="379D0E74">
      <w:pPr>
        <w:snapToGrid w:val="0"/>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工程质量符合强制性质量标准，</w:t>
      </w:r>
      <w:r>
        <w:rPr>
          <w:rFonts w:hint="eastAsia" w:ascii="宋体" w:hAnsi="宋体" w:cs="宋体"/>
          <w:color w:val="000000"/>
          <w:szCs w:val="21"/>
          <w:highlight w:val="none"/>
          <w:u w:val="single"/>
        </w:rPr>
        <w:t>符合国家和重庆市现行有关施工质量验收规范要求，并达到合格</w:t>
      </w:r>
      <w:r>
        <w:rPr>
          <w:rFonts w:hint="eastAsia" w:ascii="宋体" w:hAnsi="宋体" w:cs="宋体"/>
          <w:color w:val="000000"/>
          <w:szCs w:val="21"/>
          <w:highlight w:val="none"/>
        </w:rPr>
        <w:t>标准。</w:t>
      </w:r>
    </w:p>
    <w:p w14:paraId="17032582">
      <w:pPr>
        <w:pStyle w:val="6"/>
        <w:keepNext/>
        <w:keepLines/>
        <w:spacing w:before="120" w:after="120" w:line="360" w:lineRule="auto"/>
        <w:ind w:firstLine="422" w:firstLineChars="200"/>
        <w:jc w:val="both"/>
        <w:rPr>
          <w:rFonts w:hint="eastAsia"/>
          <w:color w:val="000000"/>
          <w:kern w:val="2"/>
          <w:sz w:val="21"/>
          <w:szCs w:val="21"/>
          <w:highlight w:val="none"/>
        </w:rPr>
      </w:pPr>
      <w:bookmarkStart w:id="140" w:name="_Toc532375576"/>
      <w:bookmarkStart w:id="141" w:name="_Toc351203484"/>
      <w:bookmarkStart w:id="142" w:name="_Toc32139"/>
      <w:bookmarkStart w:id="143" w:name="_Toc532377169"/>
      <w:r>
        <w:rPr>
          <w:rFonts w:hint="eastAsia"/>
          <w:color w:val="000000"/>
          <w:kern w:val="2"/>
          <w:sz w:val="21"/>
          <w:szCs w:val="21"/>
          <w:highlight w:val="none"/>
        </w:rPr>
        <w:t>四、签约合同价与合同价格形式</w:t>
      </w:r>
      <w:bookmarkEnd w:id="140"/>
      <w:bookmarkEnd w:id="141"/>
      <w:bookmarkEnd w:id="142"/>
      <w:bookmarkEnd w:id="143"/>
      <w:r>
        <w:rPr>
          <w:rFonts w:hint="eastAsia"/>
          <w:color w:val="000000"/>
          <w:kern w:val="2"/>
          <w:sz w:val="21"/>
          <w:szCs w:val="21"/>
          <w:highlight w:val="none"/>
        </w:rPr>
        <w:tab/>
      </w:r>
    </w:p>
    <w:p w14:paraId="07D8DF23">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1.承包人投标函中承诺的中选价为：</w:t>
      </w:r>
    </w:p>
    <w:p w14:paraId="6EB1CF5B">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人民币（大写）</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元）；</w:t>
      </w:r>
    </w:p>
    <w:p w14:paraId="58DE1EDA">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2.签约合同价为：</w:t>
      </w:r>
    </w:p>
    <w:p w14:paraId="4B44DEC0">
      <w:pPr>
        <w:snapToGrid w:val="0"/>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人民币（大写）</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元）；</w:t>
      </w:r>
    </w:p>
    <w:p w14:paraId="400FB43E">
      <w:pPr>
        <w:snapToGrid w:val="0"/>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其中：</w:t>
      </w:r>
    </w:p>
    <w:p w14:paraId="663D5D14">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（1）安全文明施工费：</w:t>
      </w:r>
    </w:p>
    <w:p w14:paraId="29198A1E">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人民币（大写）</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元）；</w:t>
      </w:r>
    </w:p>
    <w:p w14:paraId="0D767898">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（2）材料和工程设备暂估价金额：</w:t>
      </w:r>
    </w:p>
    <w:p w14:paraId="5013D76A">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人民币（大写）</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元）；</w:t>
      </w:r>
    </w:p>
    <w:p w14:paraId="0ED8759D">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（3）专业工程暂估价金额：</w:t>
      </w:r>
    </w:p>
    <w:p w14:paraId="6E52A0C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人民币（大写）</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元）；</w:t>
      </w:r>
    </w:p>
    <w:p w14:paraId="36608A8C">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（4）暂列金额：</w:t>
      </w:r>
    </w:p>
    <w:p w14:paraId="63128C77">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人民币（大写）</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元）。</w:t>
      </w:r>
    </w:p>
    <w:p w14:paraId="50423433">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（5）人工费（工资款）</w:t>
      </w:r>
    </w:p>
    <w:p w14:paraId="781CA9D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该项目实行人工费（工资款）与其他工程款分账管理，发包人将应付工程款中的人工费（工资款），以不低于已完成合同价款的</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25</w:t>
      </w:r>
      <w:r>
        <w:rPr>
          <w:rFonts w:ascii="宋体" w:hAnsi="宋体" w:cs="宋体"/>
          <w:color w:val="000000"/>
          <w:szCs w:val="21"/>
          <w:highlight w:val="none"/>
          <w:u w:val="single"/>
        </w:rPr>
        <w:t>%</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，发包人应按行业主管部门的相关规定将合同价款支付至发包人、承包人、银行三方共同监管的农民工专户。</w:t>
      </w:r>
    </w:p>
    <w:p w14:paraId="11B37FAA">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3.合同价格形式：</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6F9FF31E">
      <w:pPr>
        <w:pStyle w:val="6"/>
        <w:keepNext/>
        <w:keepLines/>
        <w:spacing w:before="120" w:after="120" w:line="360" w:lineRule="auto"/>
        <w:ind w:firstLine="422" w:firstLineChars="200"/>
        <w:jc w:val="both"/>
        <w:rPr>
          <w:rFonts w:hint="eastAsia"/>
          <w:color w:val="000000"/>
          <w:kern w:val="2"/>
          <w:sz w:val="21"/>
          <w:szCs w:val="21"/>
          <w:highlight w:val="none"/>
        </w:rPr>
      </w:pPr>
      <w:bookmarkStart w:id="144" w:name="_Toc351203485"/>
      <w:bookmarkStart w:id="145" w:name="_Toc25720"/>
      <w:bookmarkStart w:id="146" w:name="_Toc532375577"/>
      <w:bookmarkStart w:id="147" w:name="_Toc532377170"/>
      <w:r>
        <w:rPr>
          <w:rFonts w:hint="eastAsia"/>
          <w:color w:val="000000"/>
          <w:kern w:val="2"/>
          <w:sz w:val="21"/>
          <w:szCs w:val="21"/>
          <w:highlight w:val="none"/>
        </w:rPr>
        <w:t>五、</w:t>
      </w:r>
      <w:bookmarkEnd w:id="144"/>
      <w:r>
        <w:rPr>
          <w:rFonts w:hint="eastAsia"/>
          <w:color w:val="000000"/>
          <w:kern w:val="2"/>
          <w:sz w:val="21"/>
          <w:szCs w:val="21"/>
          <w:highlight w:val="none"/>
        </w:rPr>
        <w:t>项目经理及技术负责人</w:t>
      </w:r>
      <w:bookmarkEnd w:id="145"/>
      <w:bookmarkEnd w:id="146"/>
      <w:bookmarkEnd w:id="147"/>
    </w:p>
    <w:p w14:paraId="1DC834A1">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承包人比价申请文件中承诺的项目经理：</w:t>
      </w:r>
    </w:p>
    <w:p w14:paraId="7859CEDE">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姓名：</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26A8B18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身份证号码：</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4CFEBCB3">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建造师注册证书号：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06CB3D38">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承包人比价申请文件中承诺的技术负责人：</w:t>
      </w:r>
    </w:p>
    <w:p w14:paraId="4178B93F">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姓名：</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709676FA">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身份证号码：</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3B92135E">
      <w:pPr>
        <w:pStyle w:val="2"/>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    证书名称及号码：</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11758814">
      <w:pPr>
        <w:pStyle w:val="6"/>
        <w:keepNext/>
        <w:keepLines/>
        <w:spacing w:before="120" w:after="120" w:line="360" w:lineRule="auto"/>
        <w:ind w:firstLine="422" w:firstLineChars="200"/>
        <w:jc w:val="both"/>
        <w:rPr>
          <w:rFonts w:hint="eastAsia"/>
          <w:color w:val="000000"/>
          <w:kern w:val="2"/>
          <w:sz w:val="21"/>
          <w:szCs w:val="21"/>
          <w:highlight w:val="none"/>
        </w:rPr>
      </w:pPr>
      <w:bookmarkStart w:id="148" w:name="_Toc532375578"/>
      <w:bookmarkStart w:id="149" w:name="_Toc4176"/>
      <w:bookmarkStart w:id="150" w:name="_Toc351203486"/>
      <w:bookmarkStart w:id="151" w:name="_Toc532377171"/>
      <w:r>
        <w:rPr>
          <w:rFonts w:hint="eastAsia"/>
          <w:color w:val="000000"/>
          <w:kern w:val="2"/>
          <w:sz w:val="21"/>
          <w:szCs w:val="21"/>
          <w:highlight w:val="none"/>
        </w:rPr>
        <w:t>六、合同文件构成</w:t>
      </w:r>
      <w:bookmarkEnd w:id="148"/>
      <w:bookmarkEnd w:id="149"/>
      <w:bookmarkEnd w:id="150"/>
      <w:bookmarkEnd w:id="151"/>
    </w:p>
    <w:p w14:paraId="1F8481C9">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合同由以下文件构成：</w:t>
      </w:r>
    </w:p>
    <w:p w14:paraId="2B81E43F">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（1）合同协议书；</w:t>
      </w:r>
    </w:p>
    <w:p w14:paraId="0547B0F8">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（2）中选通知书；</w:t>
      </w:r>
    </w:p>
    <w:p w14:paraId="782FEB1B">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（3）投标函及投标函附录；</w:t>
      </w:r>
    </w:p>
    <w:p w14:paraId="15F1FB23">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（4）专用合同条款及其附件；</w:t>
      </w:r>
    </w:p>
    <w:p w14:paraId="544E2FBB">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（5）通用合同条款；</w:t>
      </w:r>
    </w:p>
    <w:p w14:paraId="6B6EF3EE">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（6）比价申请文件（投标函及投标函附录除外）；</w:t>
      </w:r>
    </w:p>
    <w:p w14:paraId="5BCCE17C">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（7）比选文件及修改文件；</w:t>
      </w:r>
    </w:p>
    <w:p w14:paraId="531F33D8">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（8）技术标准和要求；</w:t>
      </w:r>
    </w:p>
    <w:p w14:paraId="2F226947">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（9）图纸；</w:t>
      </w:r>
    </w:p>
    <w:p w14:paraId="42A21421">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（10）其他合同文件。</w:t>
      </w:r>
    </w:p>
    <w:p w14:paraId="51238C8D">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在合同订立、履行过程中形成的与合同有关的书面形式的文件均构成合同文件组成部分。</w:t>
      </w:r>
    </w:p>
    <w:p w14:paraId="130C5588">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上述各项合同文件包括合同当事人就该项合同文件所作出的补充和修改，属于同一类内容的文件，应以最新签署的为准。专用合同条款及其附件须经合同当事人签名或盖章。</w:t>
      </w:r>
    </w:p>
    <w:p w14:paraId="331A6B47">
      <w:pPr>
        <w:pStyle w:val="6"/>
        <w:keepNext/>
        <w:keepLines/>
        <w:spacing w:before="120" w:after="120" w:line="360" w:lineRule="auto"/>
        <w:ind w:firstLine="422" w:firstLineChars="200"/>
        <w:jc w:val="both"/>
        <w:rPr>
          <w:rFonts w:hint="eastAsia"/>
          <w:color w:val="000000"/>
          <w:kern w:val="2"/>
          <w:sz w:val="21"/>
          <w:szCs w:val="21"/>
          <w:highlight w:val="none"/>
        </w:rPr>
      </w:pPr>
      <w:bookmarkStart w:id="152" w:name="_Toc532375579"/>
      <w:bookmarkStart w:id="153" w:name="_Toc32029"/>
      <w:bookmarkStart w:id="154" w:name="_Toc351203487"/>
      <w:bookmarkStart w:id="155" w:name="_Toc532377172"/>
      <w:r>
        <w:rPr>
          <w:rFonts w:hint="eastAsia"/>
          <w:color w:val="000000"/>
          <w:kern w:val="2"/>
          <w:sz w:val="21"/>
          <w:szCs w:val="21"/>
          <w:highlight w:val="none"/>
        </w:rPr>
        <w:t>七、承诺</w:t>
      </w:r>
      <w:bookmarkEnd w:id="152"/>
      <w:bookmarkEnd w:id="153"/>
      <w:bookmarkEnd w:id="154"/>
      <w:bookmarkEnd w:id="155"/>
    </w:p>
    <w:p w14:paraId="4D84A8A0">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1.发包人承诺按照法律规定履行项目审批手续、筹集工程建设资金并按照合同约定的期限和方式支付合同价款。</w:t>
      </w:r>
    </w:p>
    <w:p w14:paraId="1535FEA6">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w:t>
      </w:r>
      <w:r>
        <w:rPr>
          <w:rFonts w:hint="eastAsia" w:ascii="宋体" w:hAnsi="宋体" w:cs="宋体"/>
          <w:color w:val="000000"/>
          <w:szCs w:val="21"/>
          <w:highlight w:val="none"/>
        </w:rPr>
        <w:t>承包人承诺按照法律规定及合同约定组织完成工程施工，确保工程质量和安全，不进行转包及违法分包，并在缺陷责任期及保修期内承担相应的工程维修责任</w:t>
      </w:r>
      <w:r>
        <w:rPr>
          <w:rFonts w:hint="eastAsia" w:ascii="宋体" w:hAnsi="宋体" w:cs="宋体"/>
          <w:bCs/>
          <w:color w:val="000000"/>
          <w:szCs w:val="21"/>
          <w:highlight w:val="none"/>
        </w:rPr>
        <w:t>。</w:t>
      </w:r>
    </w:p>
    <w:p w14:paraId="2863FD23">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3.发包人和承包人通过招投标形式签订合同的，双方理解并承诺不再就同一工程另行签订与合同实质性内容相背离的协议。</w:t>
      </w:r>
    </w:p>
    <w:p w14:paraId="2F31D601">
      <w:pPr>
        <w:pStyle w:val="6"/>
        <w:keepNext/>
        <w:keepLines/>
        <w:spacing w:before="120" w:after="120" w:line="360" w:lineRule="auto"/>
        <w:ind w:firstLine="422" w:firstLineChars="200"/>
        <w:jc w:val="both"/>
        <w:rPr>
          <w:rFonts w:hint="eastAsia"/>
          <w:color w:val="000000"/>
          <w:kern w:val="2"/>
          <w:sz w:val="21"/>
          <w:szCs w:val="21"/>
          <w:highlight w:val="none"/>
        </w:rPr>
      </w:pPr>
      <w:bookmarkStart w:id="156" w:name="_Toc532375580"/>
      <w:bookmarkStart w:id="157" w:name="_Toc532377173"/>
      <w:bookmarkStart w:id="158" w:name="_Toc28458"/>
      <w:bookmarkStart w:id="159" w:name="_Toc351203488"/>
      <w:r>
        <w:rPr>
          <w:rFonts w:hint="eastAsia"/>
          <w:color w:val="000000"/>
          <w:kern w:val="2"/>
          <w:sz w:val="21"/>
          <w:szCs w:val="21"/>
          <w:highlight w:val="none"/>
        </w:rPr>
        <w:t>八、词语含义</w:t>
      </w:r>
      <w:bookmarkEnd w:id="156"/>
      <w:bookmarkEnd w:id="157"/>
      <w:bookmarkEnd w:id="158"/>
      <w:bookmarkEnd w:id="159"/>
    </w:p>
    <w:p w14:paraId="29BC120B">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本协议书中词语含义与专用合同条款及通用合同条款中赋予的含义相同。</w:t>
      </w:r>
    </w:p>
    <w:p w14:paraId="10C45956">
      <w:pPr>
        <w:pStyle w:val="6"/>
        <w:keepNext/>
        <w:keepLines/>
        <w:spacing w:before="120" w:after="120" w:line="360" w:lineRule="auto"/>
        <w:ind w:firstLine="422" w:firstLineChars="200"/>
        <w:jc w:val="both"/>
        <w:rPr>
          <w:rFonts w:hint="eastAsia"/>
          <w:color w:val="000000"/>
          <w:kern w:val="2"/>
          <w:sz w:val="21"/>
          <w:szCs w:val="21"/>
          <w:highlight w:val="none"/>
        </w:rPr>
      </w:pPr>
      <w:bookmarkStart w:id="160" w:name="_Toc532375581"/>
      <w:bookmarkStart w:id="161" w:name="_Toc532377174"/>
      <w:bookmarkStart w:id="162" w:name="_Toc4948"/>
      <w:r>
        <w:rPr>
          <w:rFonts w:hint="eastAsia"/>
          <w:color w:val="000000"/>
          <w:kern w:val="2"/>
          <w:sz w:val="21"/>
          <w:szCs w:val="21"/>
          <w:highlight w:val="none"/>
        </w:rPr>
        <w:t>九、签订时间</w:t>
      </w:r>
      <w:bookmarkEnd w:id="160"/>
      <w:bookmarkEnd w:id="161"/>
      <w:bookmarkEnd w:id="162"/>
    </w:p>
    <w:p w14:paraId="13F28296">
      <w:pPr>
        <w:spacing w:line="360" w:lineRule="auto"/>
        <w:ind w:firstLine="560" w:firstLineChars="200"/>
        <w:rPr>
          <w:rFonts w:hint="eastAsia" w:ascii="宋体" w:hAnsi="宋体" w:cs="宋体"/>
          <w:color w:val="000000"/>
          <w:szCs w:val="21"/>
          <w:highlight w:val="none"/>
        </w:rPr>
      </w:pPr>
      <w:r>
        <w:rPr>
          <w:rFonts w:hint="eastAsia" w:ascii="宋体" w:hAnsi="宋体" w:cs="宋体"/>
          <w:bCs/>
          <w:color w:val="000000"/>
          <w:szCs w:val="21"/>
          <w:highlight w:val="none"/>
        </w:rPr>
        <w:t>合同于</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年</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月</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日签订</w:t>
      </w:r>
    </w:p>
    <w:p w14:paraId="7723ED62">
      <w:pPr>
        <w:pStyle w:val="6"/>
        <w:keepNext/>
        <w:keepLines/>
        <w:spacing w:before="120" w:after="120" w:line="360" w:lineRule="auto"/>
        <w:ind w:firstLine="422" w:firstLineChars="200"/>
        <w:jc w:val="both"/>
        <w:rPr>
          <w:rFonts w:hint="eastAsia"/>
          <w:color w:val="000000"/>
          <w:kern w:val="2"/>
          <w:sz w:val="21"/>
          <w:szCs w:val="21"/>
          <w:highlight w:val="none"/>
        </w:rPr>
      </w:pPr>
      <w:bookmarkStart w:id="163" w:name="_Toc351203489"/>
      <w:bookmarkStart w:id="164" w:name="_Toc532375582"/>
      <w:bookmarkStart w:id="165" w:name="_Toc532377175"/>
      <w:bookmarkStart w:id="166" w:name="_Toc3286"/>
      <w:r>
        <w:rPr>
          <w:rFonts w:hint="eastAsia"/>
          <w:color w:val="000000"/>
          <w:kern w:val="2"/>
          <w:sz w:val="21"/>
          <w:szCs w:val="21"/>
          <w:highlight w:val="none"/>
        </w:rPr>
        <w:t>十、</w:t>
      </w:r>
      <w:bookmarkEnd w:id="163"/>
      <w:bookmarkStart w:id="167" w:name="_Toc351203490"/>
      <w:r>
        <w:rPr>
          <w:rFonts w:hint="eastAsia"/>
          <w:color w:val="000000"/>
          <w:kern w:val="2"/>
          <w:sz w:val="21"/>
          <w:szCs w:val="21"/>
          <w:highlight w:val="none"/>
        </w:rPr>
        <w:t>签订地点</w:t>
      </w:r>
      <w:bookmarkEnd w:id="164"/>
      <w:bookmarkEnd w:id="165"/>
      <w:bookmarkEnd w:id="166"/>
      <w:bookmarkEnd w:id="167"/>
    </w:p>
    <w:p w14:paraId="4BE2E2F3">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合同在</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签订。</w:t>
      </w:r>
    </w:p>
    <w:p w14:paraId="2C2EA11A">
      <w:pPr>
        <w:pStyle w:val="6"/>
        <w:keepNext/>
        <w:keepLines/>
        <w:spacing w:before="120" w:after="120" w:line="360" w:lineRule="auto"/>
        <w:ind w:firstLine="422" w:firstLineChars="200"/>
        <w:jc w:val="both"/>
        <w:rPr>
          <w:rFonts w:hint="eastAsia"/>
          <w:color w:val="000000"/>
          <w:kern w:val="2"/>
          <w:sz w:val="21"/>
          <w:szCs w:val="21"/>
          <w:highlight w:val="none"/>
        </w:rPr>
      </w:pPr>
      <w:bookmarkStart w:id="168" w:name="_Toc351203491"/>
      <w:bookmarkStart w:id="169" w:name="_Toc532375583"/>
      <w:bookmarkStart w:id="170" w:name="_Toc12164"/>
      <w:bookmarkStart w:id="171" w:name="_Toc532377176"/>
      <w:r>
        <w:rPr>
          <w:rFonts w:hint="eastAsia"/>
          <w:color w:val="000000"/>
          <w:kern w:val="2"/>
          <w:sz w:val="21"/>
          <w:szCs w:val="21"/>
          <w:highlight w:val="none"/>
        </w:rPr>
        <w:t>十一、补充协议</w:t>
      </w:r>
      <w:bookmarkEnd w:id="168"/>
      <w:bookmarkEnd w:id="169"/>
      <w:bookmarkEnd w:id="170"/>
      <w:bookmarkEnd w:id="171"/>
    </w:p>
    <w:p w14:paraId="6F5C2B60">
      <w:pPr>
        <w:spacing w:line="360" w:lineRule="auto"/>
        <w:ind w:firstLine="560" w:firstLineChars="200"/>
        <w:rPr>
          <w:rFonts w:hint="eastAsia" w:ascii="宋体" w:hAnsi="宋体" w:cs="宋体"/>
          <w:b/>
          <w:bCs/>
          <w:color w:val="000000"/>
          <w:szCs w:val="21"/>
          <w:highlight w:val="none"/>
        </w:rPr>
      </w:pPr>
      <w:r>
        <w:rPr>
          <w:rFonts w:hint="eastAsia" w:ascii="宋体" w:hAnsi="宋体" w:cs="宋体"/>
          <w:bCs/>
          <w:color w:val="000000"/>
          <w:szCs w:val="21"/>
          <w:highlight w:val="none"/>
        </w:rPr>
        <w:t>合同未尽事宜，合同当事人另行签订补充协议，补充协议是合同的组成部分。</w:t>
      </w:r>
    </w:p>
    <w:p w14:paraId="06E922D9">
      <w:pPr>
        <w:pStyle w:val="6"/>
        <w:keepNext/>
        <w:keepLines/>
        <w:spacing w:before="120" w:after="120" w:line="360" w:lineRule="auto"/>
        <w:ind w:firstLine="422" w:firstLineChars="200"/>
        <w:jc w:val="both"/>
        <w:rPr>
          <w:rFonts w:hint="eastAsia"/>
          <w:color w:val="000000"/>
          <w:kern w:val="2"/>
          <w:sz w:val="21"/>
          <w:szCs w:val="21"/>
          <w:highlight w:val="none"/>
        </w:rPr>
      </w:pPr>
      <w:bookmarkStart w:id="172" w:name="_Toc351203492"/>
      <w:bookmarkStart w:id="173" w:name="_Toc5709"/>
      <w:bookmarkStart w:id="174" w:name="_Toc532377177"/>
      <w:bookmarkStart w:id="175" w:name="_Toc532375584"/>
      <w:r>
        <w:rPr>
          <w:rFonts w:hint="eastAsia"/>
          <w:color w:val="000000"/>
          <w:kern w:val="2"/>
          <w:sz w:val="21"/>
          <w:szCs w:val="21"/>
          <w:highlight w:val="none"/>
        </w:rPr>
        <w:t>十二、合同生效</w:t>
      </w:r>
      <w:bookmarkEnd w:id="172"/>
      <w:bookmarkEnd w:id="173"/>
      <w:bookmarkEnd w:id="174"/>
      <w:bookmarkEnd w:id="175"/>
    </w:p>
    <w:p w14:paraId="7505BD2F">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合同在以下条件全部满足之后生效：</w:t>
      </w:r>
    </w:p>
    <w:p w14:paraId="37197FED">
      <w:pPr>
        <w:spacing w:line="360" w:lineRule="auto"/>
        <w:ind w:firstLine="560" w:firstLineChars="200"/>
        <w:rPr>
          <w:rFonts w:hint="eastAsia" w:ascii="宋体" w:hAnsi="宋体" w:cs="宋体"/>
          <w:color w:val="000000"/>
          <w:szCs w:val="21"/>
          <w:highlight w:val="none"/>
        </w:rPr>
      </w:pPr>
      <w:r>
        <w:rPr>
          <w:rFonts w:hint="eastAsia" w:ascii="宋体" w:hAnsi="宋体" w:cs="宋体"/>
          <w:bCs/>
          <w:color w:val="000000"/>
          <w:szCs w:val="21"/>
          <w:highlight w:val="none"/>
        </w:rPr>
        <w:t>1.合同</w:t>
      </w:r>
      <w:r>
        <w:rPr>
          <w:rFonts w:hint="eastAsia" w:ascii="宋体" w:hAnsi="宋体" w:cs="宋体"/>
          <w:color w:val="000000"/>
          <w:szCs w:val="21"/>
          <w:highlight w:val="none"/>
        </w:rPr>
        <w:t>经双方法定代表人或其委托代理人签名并加盖单位</w:t>
      </w:r>
      <w:r>
        <w:rPr>
          <w:rFonts w:hint="eastAsia" w:ascii="宋体" w:hAnsi="宋体" w:cs="宋体"/>
          <w:snapToGrid w:val="0"/>
          <w:color w:val="000000"/>
          <w:kern w:val="0"/>
          <w:szCs w:val="21"/>
          <w:highlight w:val="none"/>
        </w:rPr>
        <w:t>公章或合同专用章</w:t>
      </w:r>
      <w:r>
        <w:rPr>
          <w:rFonts w:hint="eastAsia" w:ascii="宋体" w:hAnsi="宋体" w:cs="宋体"/>
          <w:color w:val="000000"/>
          <w:szCs w:val="21"/>
          <w:highlight w:val="none"/>
        </w:rPr>
        <w:t>；</w:t>
      </w:r>
    </w:p>
    <w:p w14:paraId="71AE131D">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2.采用保函形式递交履约担保的，承包人按合同约定向发包人提交履约担保后；</w:t>
      </w:r>
    </w:p>
    <w:p w14:paraId="4090CB3C">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7AC37C7B">
      <w:pPr>
        <w:pStyle w:val="6"/>
        <w:keepNext/>
        <w:keepLines/>
        <w:spacing w:before="120" w:after="120" w:line="360" w:lineRule="auto"/>
        <w:ind w:firstLine="422" w:firstLineChars="200"/>
        <w:jc w:val="both"/>
        <w:rPr>
          <w:rFonts w:hint="eastAsia"/>
          <w:color w:val="000000"/>
          <w:kern w:val="2"/>
          <w:sz w:val="21"/>
          <w:szCs w:val="21"/>
          <w:highlight w:val="none"/>
        </w:rPr>
      </w:pPr>
      <w:bookmarkStart w:id="176" w:name="_Toc351203493"/>
      <w:bookmarkStart w:id="177" w:name="_Toc16424"/>
      <w:bookmarkStart w:id="178" w:name="_Toc532375585"/>
      <w:bookmarkStart w:id="179" w:name="_Toc532377178"/>
      <w:r>
        <w:rPr>
          <w:rFonts w:hint="eastAsia"/>
          <w:color w:val="000000"/>
          <w:kern w:val="2"/>
          <w:sz w:val="21"/>
          <w:szCs w:val="21"/>
          <w:highlight w:val="none"/>
        </w:rPr>
        <w:t>十三、合同份数</w:t>
      </w:r>
      <w:bookmarkEnd w:id="176"/>
      <w:bookmarkEnd w:id="177"/>
      <w:bookmarkEnd w:id="178"/>
      <w:bookmarkEnd w:id="179"/>
    </w:p>
    <w:p w14:paraId="1DD18EC0">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合同一式</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份，其中正本</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份，双方各持</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份，副本</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份，双方各执</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份。副本与正本不一致时，以正本为准。</w:t>
      </w:r>
    </w:p>
    <w:p w14:paraId="6D2D4640">
      <w:pPr>
        <w:spacing w:line="360" w:lineRule="auto"/>
        <w:ind w:firstLine="560" w:firstLineChars="200"/>
        <w:rPr>
          <w:rFonts w:hint="eastAsia" w:ascii="宋体" w:hAnsi="宋体" w:cs="宋体"/>
          <w:bCs/>
          <w:color w:val="000000"/>
          <w:szCs w:val="21"/>
          <w:highlight w:val="none"/>
        </w:rPr>
      </w:pPr>
    </w:p>
    <w:p w14:paraId="68E02EF7">
      <w:pPr>
        <w:spacing w:line="360" w:lineRule="auto"/>
        <w:ind w:firstLine="560" w:firstLineChars="200"/>
        <w:rPr>
          <w:rFonts w:hint="eastAsia" w:ascii="宋体" w:hAnsi="宋体" w:cs="宋体"/>
          <w:bCs/>
          <w:color w:val="000000"/>
          <w:szCs w:val="21"/>
          <w:highlight w:val="none"/>
        </w:rPr>
      </w:pPr>
      <w:r>
        <w:rPr>
          <w:rFonts w:hint="eastAsia" w:ascii="宋体" w:hAnsi="宋体" w:cs="宋体"/>
          <w:bCs/>
          <w:color w:val="000000"/>
          <w:szCs w:val="21"/>
          <w:highlight w:val="none"/>
        </w:rPr>
        <w:t>（以下为签名盖章页）。</w:t>
      </w:r>
    </w:p>
    <w:p w14:paraId="78BFAFFD">
      <w:pPr>
        <w:pStyle w:val="2"/>
        <w:spacing w:line="360" w:lineRule="auto"/>
        <w:ind w:firstLine="640" w:firstLineChars="200"/>
        <w:rPr>
          <w:rFonts w:hint="eastAsia" w:ascii="宋体" w:hAnsi="宋体" w:cs="宋体"/>
          <w:color w:val="000000"/>
          <w:szCs w:val="21"/>
          <w:highlight w:val="none"/>
        </w:rPr>
      </w:pPr>
    </w:p>
    <w:p w14:paraId="1D64832D">
      <w:pPr>
        <w:pStyle w:val="2"/>
        <w:spacing w:line="360" w:lineRule="auto"/>
        <w:ind w:firstLine="640" w:firstLineChars="200"/>
        <w:rPr>
          <w:rFonts w:hint="eastAsia" w:ascii="宋体" w:hAnsi="宋体" w:cs="宋体"/>
          <w:color w:val="000000"/>
          <w:szCs w:val="21"/>
          <w:highlight w:val="none"/>
        </w:rPr>
      </w:pPr>
    </w:p>
    <w:p w14:paraId="61818175">
      <w:pPr>
        <w:adjustRightInd w:val="0"/>
        <w:spacing w:line="360" w:lineRule="auto"/>
        <w:ind w:firstLine="560" w:firstLineChars="200"/>
        <w:rPr>
          <w:rFonts w:hint="eastAsia" w:ascii="宋体" w:hAnsi="宋体" w:cs="宋体"/>
          <w:snapToGrid w:val="0"/>
          <w:color w:val="000000"/>
          <w:kern w:val="0"/>
          <w:szCs w:val="21"/>
          <w:highlight w:val="none"/>
        </w:rPr>
      </w:pPr>
      <w:bookmarkStart w:id="180" w:name="_Toc467689623"/>
      <w:r>
        <w:rPr>
          <w:rFonts w:hint="eastAsia" w:ascii="宋体" w:hAnsi="宋体" w:cs="宋体"/>
          <w:snapToGrid w:val="0"/>
          <w:color w:val="000000"/>
          <w:kern w:val="0"/>
          <w:szCs w:val="21"/>
          <w:highlight w:val="none"/>
        </w:rPr>
        <w:t>发包人：</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（盖单位公章或合同专用章）</w:t>
      </w:r>
    </w:p>
    <w:p w14:paraId="1D1BF8AA">
      <w:pPr>
        <w:spacing w:line="360" w:lineRule="auto"/>
        <w:ind w:firstLine="560" w:firstLineChars="200"/>
        <w:rPr>
          <w:rFonts w:hint="eastAsia"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法定代表人或其委托代理人：</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（签名）</w:t>
      </w:r>
    </w:p>
    <w:p w14:paraId="56DDF803">
      <w:pPr>
        <w:spacing w:line="360" w:lineRule="auto"/>
        <w:ind w:firstLine="560" w:firstLineChars="200"/>
        <w:rPr>
          <w:rFonts w:hint="eastAsia"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统一社会信用代码：</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38255CA7">
      <w:pPr>
        <w:spacing w:line="360" w:lineRule="auto"/>
        <w:ind w:firstLine="560" w:firstLineChars="200"/>
        <w:rPr>
          <w:rFonts w:hint="eastAsia" w:ascii="宋体" w:hAnsi="宋体" w:cs="宋体"/>
          <w:snapToGrid w:val="0"/>
          <w:color w:val="000000"/>
          <w:kern w:val="0"/>
          <w:szCs w:val="21"/>
          <w:highlight w:val="none"/>
          <w:u w:val="single"/>
        </w:rPr>
      </w:pPr>
      <w:r>
        <w:rPr>
          <w:rFonts w:hint="eastAsia" w:ascii="宋体" w:hAnsi="宋体" w:cs="宋体"/>
          <w:snapToGrid w:val="0"/>
          <w:color w:val="000000"/>
          <w:kern w:val="0"/>
          <w:szCs w:val="21"/>
          <w:highlight w:val="none"/>
        </w:rPr>
        <w:t>纳税人识别号：</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1DB395EB">
      <w:pPr>
        <w:spacing w:line="360" w:lineRule="auto"/>
        <w:ind w:firstLine="560" w:firstLineChars="200"/>
        <w:rPr>
          <w:rFonts w:hint="eastAsia" w:ascii="宋体" w:hAnsi="宋体" w:cs="宋体"/>
          <w:snapToGrid w:val="0"/>
          <w:color w:val="000000"/>
          <w:kern w:val="0"/>
          <w:szCs w:val="21"/>
          <w:highlight w:val="none"/>
          <w:u w:val="single"/>
        </w:rPr>
      </w:pPr>
      <w:r>
        <w:rPr>
          <w:rFonts w:hint="eastAsia" w:ascii="宋体" w:hAnsi="宋体" w:cs="宋体"/>
          <w:snapToGrid w:val="0"/>
          <w:color w:val="000000"/>
          <w:kern w:val="0"/>
          <w:szCs w:val="21"/>
          <w:highlight w:val="none"/>
        </w:rPr>
        <w:t>地    址：</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23D8D707">
      <w:pPr>
        <w:spacing w:line="360" w:lineRule="auto"/>
        <w:ind w:firstLine="560" w:firstLineChars="200"/>
        <w:rPr>
          <w:rFonts w:hint="eastAsia" w:ascii="宋体" w:hAnsi="宋体" w:cs="宋体"/>
          <w:snapToGrid w:val="0"/>
          <w:color w:val="000000"/>
          <w:kern w:val="0"/>
          <w:szCs w:val="21"/>
          <w:highlight w:val="none"/>
          <w:u w:val="single"/>
        </w:rPr>
      </w:pPr>
      <w:r>
        <w:rPr>
          <w:rFonts w:hint="eastAsia" w:ascii="宋体" w:hAnsi="宋体" w:cs="宋体"/>
          <w:snapToGrid w:val="0"/>
          <w:color w:val="000000"/>
          <w:kern w:val="0"/>
          <w:szCs w:val="21"/>
          <w:highlight w:val="none"/>
        </w:rPr>
        <w:t>电    话：</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07C83EAE">
      <w:pPr>
        <w:spacing w:line="360" w:lineRule="auto"/>
        <w:ind w:firstLine="560" w:firstLineChars="200"/>
        <w:rPr>
          <w:rFonts w:hint="eastAsia" w:ascii="宋体" w:hAnsi="宋体" w:cs="宋体"/>
          <w:snapToGrid w:val="0"/>
          <w:color w:val="000000"/>
          <w:kern w:val="0"/>
          <w:szCs w:val="21"/>
          <w:highlight w:val="none"/>
          <w:u w:val="single"/>
        </w:rPr>
      </w:pPr>
      <w:r>
        <w:rPr>
          <w:rFonts w:hint="eastAsia" w:ascii="宋体" w:hAnsi="宋体" w:cs="宋体"/>
          <w:snapToGrid w:val="0"/>
          <w:color w:val="000000"/>
          <w:kern w:val="0"/>
          <w:szCs w:val="21"/>
          <w:highlight w:val="none"/>
        </w:rPr>
        <w:t>开户银行：</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0369F96C">
      <w:pPr>
        <w:spacing w:line="360" w:lineRule="auto"/>
        <w:ind w:firstLine="560" w:firstLineChars="200"/>
        <w:rPr>
          <w:rFonts w:hint="eastAsia" w:ascii="宋体" w:hAnsi="宋体" w:cs="宋体"/>
          <w:color w:val="000000"/>
          <w:szCs w:val="21"/>
          <w:highlight w:val="none"/>
        </w:rPr>
      </w:pPr>
      <w:r>
        <w:rPr>
          <w:rFonts w:hint="eastAsia" w:ascii="宋体" w:hAnsi="宋体" w:cs="宋体"/>
          <w:snapToGrid w:val="0"/>
          <w:color w:val="000000"/>
          <w:kern w:val="0"/>
          <w:szCs w:val="21"/>
          <w:highlight w:val="none"/>
        </w:rPr>
        <w:t>账    号：</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0D0475B7">
      <w:pPr>
        <w:spacing w:line="360" w:lineRule="auto"/>
        <w:rPr>
          <w:rFonts w:hint="eastAsia" w:ascii="宋体" w:hAnsi="宋体" w:cs="宋体"/>
          <w:snapToGrid w:val="0"/>
          <w:color w:val="000000"/>
          <w:kern w:val="0"/>
          <w:szCs w:val="21"/>
          <w:highlight w:val="none"/>
        </w:rPr>
      </w:pPr>
    </w:p>
    <w:p w14:paraId="12C7521C">
      <w:pPr>
        <w:spacing w:line="360" w:lineRule="auto"/>
        <w:ind w:firstLine="560" w:firstLineChars="200"/>
        <w:rPr>
          <w:rFonts w:hint="eastAsia" w:ascii="宋体" w:hAnsi="宋体" w:cs="宋体"/>
          <w:color w:val="000000"/>
          <w:szCs w:val="21"/>
          <w:highlight w:val="none"/>
        </w:rPr>
      </w:pPr>
      <w:r>
        <w:rPr>
          <w:rFonts w:hint="eastAsia" w:ascii="宋体" w:hAnsi="宋体" w:cs="宋体"/>
          <w:snapToGrid w:val="0"/>
          <w:color w:val="000000"/>
          <w:kern w:val="0"/>
          <w:szCs w:val="21"/>
          <w:highlight w:val="none"/>
        </w:rPr>
        <w:t>承包人：</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（盖单位公章或合同专用章）</w:t>
      </w:r>
    </w:p>
    <w:p w14:paraId="34123FF5">
      <w:pPr>
        <w:spacing w:line="360" w:lineRule="auto"/>
        <w:ind w:firstLine="560" w:firstLineChars="200"/>
        <w:rPr>
          <w:rFonts w:hint="eastAsia"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法定代表人或其委托代理人：</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rPr>
        <w:t>（签名）</w:t>
      </w:r>
    </w:p>
    <w:p w14:paraId="47424F0C">
      <w:pPr>
        <w:spacing w:line="360" w:lineRule="auto"/>
        <w:ind w:firstLine="560" w:firstLineChars="200"/>
        <w:rPr>
          <w:rFonts w:hint="eastAsia"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统一社会信用代码：</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0833FC69">
      <w:pPr>
        <w:spacing w:line="360" w:lineRule="auto"/>
        <w:ind w:firstLine="560" w:firstLineChars="200"/>
        <w:rPr>
          <w:rFonts w:hint="eastAsia" w:ascii="宋体" w:hAnsi="宋体" w:cs="宋体"/>
          <w:snapToGrid w:val="0"/>
          <w:color w:val="000000"/>
          <w:kern w:val="0"/>
          <w:szCs w:val="21"/>
          <w:highlight w:val="none"/>
          <w:u w:val="single"/>
        </w:rPr>
      </w:pPr>
      <w:r>
        <w:rPr>
          <w:rFonts w:hint="eastAsia" w:ascii="宋体" w:hAnsi="宋体" w:cs="宋体"/>
          <w:snapToGrid w:val="0"/>
          <w:color w:val="000000"/>
          <w:kern w:val="0"/>
          <w:szCs w:val="21"/>
          <w:highlight w:val="none"/>
        </w:rPr>
        <w:t>纳税人识别号：</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1BDEA537">
      <w:pPr>
        <w:spacing w:line="360" w:lineRule="auto"/>
        <w:ind w:firstLine="560" w:firstLineChars="200"/>
        <w:rPr>
          <w:rFonts w:hint="eastAsia" w:ascii="宋体" w:hAnsi="宋体" w:cs="宋体"/>
          <w:snapToGrid w:val="0"/>
          <w:color w:val="000000"/>
          <w:kern w:val="0"/>
          <w:szCs w:val="21"/>
          <w:highlight w:val="none"/>
          <w:u w:val="single"/>
        </w:rPr>
      </w:pPr>
      <w:r>
        <w:rPr>
          <w:rFonts w:hint="eastAsia" w:ascii="宋体" w:hAnsi="宋体" w:cs="宋体"/>
          <w:snapToGrid w:val="0"/>
          <w:color w:val="000000"/>
          <w:kern w:val="0"/>
          <w:szCs w:val="21"/>
          <w:highlight w:val="none"/>
        </w:rPr>
        <w:t>地    址：</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29896C0C">
      <w:pPr>
        <w:spacing w:line="360" w:lineRule="auto"/>
        <w:ind w:firstLine="560" w:firstLineChars="200"/>
        <w:rPr>
          <w:rFonts w:hint="eastAsia" w:ascii="宋体" w:hAnsi="宋体" w:cs="宋体"/>
          <w:snapToGrid w:val="0"/>
          <w:color w:val="000000"/>
          <w:kern w:val="0"/>
          <w:szCs w:val="21"/>
          <w:highlight w:val="none"/>
          <w:u w:val="single"/>
        </w:rPr>
      </w:pPr>
      <w:r>
        <w:rPr>
          <w:rFonts w:hint="eastAsia" w:ascii="宋体" w:hAnsi="宋体" w:cs="宋体"/>
          <w:snapToGrid w:val="0"/>
          <w:color w:val="000000"/>
          <w:kern w:val="0"/>
          <w:szCs w:val="21"/>
          <w:highlight w:val="none"/>
        </w:rPr>
        <w:t>电    话：</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53484419">
      <w:pPr>
        <w:spacing w:line="360" w:lineRule="auto"/>
        <w:ind w:firstLine="560" w:firstLineChars="200"/>
        <w:rPr>
          <w:rFonts w:hint="eastAsia" w:ascii="宋体" w:hAnsi="宋体" w:cs="宋体"/>
          <w:snapToGrid w:val="0"/>
          <w:color w:val="000000"/>
          <w:kern w:val="0"/>
          <w:szCs w:val="21"/>
          <w:highlight w:val="none"/>
          <w:u w:val="single"/>
        </w:rPr>
      </w:pPr>
      <w:r>
        <w:rPr>
          <w:rFonts w:hint="eastAsia" w:ascii="宋体" w:hAnsi="宋体" w:cs="宋体"/>
          <w:snapToGrid w:val="0"/>
          <w:color w:val="000000"/>
          <w:kern w:val="0"/>
          <w:szCs w:val="21"/>
          <w:highlight w:val="none"/>
        </w:rPr>
        <w:t>开户银行：</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3D1FC4AC">
      <w:pPr>
        <w:spacing w:line="360" w:lineRule="auto"/>
        <w:ind w:firstLine="560" w:firstLineChars="200"/>
        <w:rPr>
          <w:rFonts w:hint="eastAsia" w:ascii="宋体" w:hAnsi="宋体" w:cs="宋体"/>
          <w:snapToGrid w:val="0"/>
          <w:color w:val="000000"/>
          <w:kern w:val="0"/>
          <w:szCs w:val="21"/>
          <w:highlight w:val="none"/>
          <w:u w:val="single"/>
        </w:rPr>
      </w:pPr>
      <w:r>
        <w:rPr>
          <w:rFonts w:hint="eastAsia" w:ascii="宋体" w:hAnsi="宋体" w:cs="宋体"/>
          <w:snapToGrid w:val="0"/>
          <w:color w:val="000000"/>
          <w:kern w:val="0"/>
          <w:szCs w:val="21"/>
          <w:highlight w:val="none"/>
        </w:rPr>
        <w:t>账    号：</w:t>
      </w:r>
      <w:r>
        <w:rPr>
          <w:rFonts w:hint="eastAsia" w:ascii="宋体" w:hAnsi="宋体" w:cs="宋体"/>
          <w:snapToGrid w:val="0"/>
          <w:color w:val="000000"/>
          <w:w w:val="200"/>
          <w:kern w:val="0"/>
          <w:szCs w:val="21"/>
          <w:highlight w:val="none"/>
          <w:u w:val="single"/>
        </w:rPr>
        <w:t xml:space="preserve"> </w:t>
      </w:r>
      <w:r>
        <w:rPr>
          <w:rFonts w:hint="eastAsia" w:ascii="宋体" w:hAnsi="宋体" w:cs="宋体"/>
          <w:snapToGrid w:val="0"/>
          <w:color w:val="000000"/>
          <w:kern w:val="0"/>
          <w:szCs w:val="21"/>
          <w:highlight w:val="none"/>
          <w:u w:val="single"/>
        </w:rPr>
        <w:t xml:space="preserve">                                  </w:t>
      </w:r>
    </w:p>
    <w:p w14:paraId="6BBAA0DC">
      <w:pPr>
        <w:spacing w:line="360" w:lineRule="auto"/>
        <w:jc w:val="right"/>
        <w:rPr>
          <w:rFonts w:hint="eastAsia" w:ascii="宋体" w:hAnsi="宋体" w:cs="宋体"/>
          <w:snapToGrid w:val="0"/>
          <w:color w:val="000000"/>
          <w:kern w:val="0"/>
          <w:szCs w:val="21"/>
          <w:highlight w:val="none"/>
        </w:rPr>
      </w:pPr>
    </w:p>
    <w:p w14:paraId="2333BAD2">
      <w:pPr>
        <w:spacing w:line="360" w:lineRule="auto"/>
        <w:jc w:val="right"/>
        <w:rPr>
          <w:rFonts w:hint="eastAsia"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签约时间：</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年</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月</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日</w:t>
      </w:r>
      <w:bookmarkEnd w:id="180"/>
    </w:p>
    <w:p w14:paraId="3E8E8A6A">
      <w:pPr>
        <w:pStyle w:val="4"/>
        <w:numPr>
          <w:ilvl w:val="0"/>
          <w:numId w:val="16"/>
        </w:numPr>
        <w:ind w:left="467" w:right="391"/>
        <w:jc w:val="center"/>
        <w:rPr>
          <w:rFonts w:hint="eastAsia" w:ascii="宋体" w:hAnsi="宋体" w:cs="宋体"/>
          <w:color w:val="000000"/>
          <w:highlight w:val="none"/>
        </w:rPr>
      </w:pPr>
      <w:r>
        <w:rPr>
          <w:rFonts w:hint="eastAsia" w:ascii="宋体" w:hAnsi="宋体" w:cs="宋体"/>
          <w:b w:val="0"/>
          <w:snapToGrid w:val="0"/>
          <w:color w:val="000000"/>
          <w:sz w:val="21"/>
          <w:szCs w:val="21"/>
          <w:highlight w:val="none"/>
          <w:lang w:val="zh-CN"/>
        </w:rPr>
        <w:br w:type="page"/>
      </w:r>
      <w:bookmarkStart w:id="181" w:name="_Toc6950"/>
      <w:bookmarkStart w:id="182" w:name="_Toc2017"/>
      <w:r>
        <w:rPr>
          <w:rFonts w:hint="eastAsia" w:ascii="宋体" w:hAnsi="宋体" w:cs="宋体"/>
          <w:color w:val="000000"/>
          <w:highlight w:val="none"/>
        </w:rPr>
        <w:t>通用合同条款</w:t>
      </w:r>
      <w:bookmarkEnd w:id="181"/>
      <w:bookmarkEnd w:id="182"/>
    </w:p>
    <w:p w14:paraId="0161C123">
      <w:pPr>
        <w:rPr>
          <w:rFonts w:hint="eastAsia" w:ascii="宋体" w:hAnsi="宋体" w:cs="宋体"/>
          <w:color w:val="000000"/>
          <w:highlight w:val="none"/>
        </w:rPr>
      </w:pPr>
    </w:p>
    <w:p w14:paraId="63A9242C">
      <w:pPr>
        <w:ind w:firstLine="442" w:firstLineChars="200"/>
        <w:rPr>
          <w:rFonts w:hint="eastAsia" w:ascii="宋体" w:hAnsi="宋体" w:cs="宋体"/>
          <w:color w:val="000000"/>
          <w:sz w:val="20"/>
          <w:szCs w:val="20"/>
          <w:highlight w:val="none"/>
        </w:rPr>
      </w:pPr>
      <w:bookmarkStart w:id="183" w:name="_Toc16423"/>
      <w:r>
        <w:rPr>
          <w:rFonts w:hint="eastAsia" w:ascii="宋体" w:hAnsi="宋体" w:cs="宋体"/>
          <w:b/>
          <w:color w:val="000000"/>
          <w:sz w:val="22"/>
          <w:szCs w:val="22"/>
          <w:highlight w:val="none"/>
        </w:rPr>
        <w:t>通用合同条款直接采用中华人民共和国住房和城乡建设部与国家工商行政管理总局联合制定的《建设工程施工合同》（GF-2013-0201）示范文本第二章《通用合同条款》。专用条款中约定事项按专用条款执行，未明确部分按照通用条款执行。</w:t>
      </w:r>
    </w:p>
    <w:p w14:paraId="53404F32">
      <w:pPr>
        <w:keepNext/>
        <w:keepLines/>
        <w:snapToGrid w:val="0"/>
        <w:outlineLvl w:val="2"/>
        <w:rPr>
          <w:rFonts w:hint="eastAsia" w:ascii="宋体" w:hAnsi="宋体" w:cs="宋体"/>
          <w:b/>
          <w:bCs/>
          <w:color w:val="000000"/>
          <w:sz w:val="20"/>
          <w:szCs w:val="18"/>
          <w:highlight w:val="none"/>
          <w:lang w:val="zh-CN"/>
        </w:rPr>
      </w:pPr>
    </w:p>
    <w:p w14:paraId="2D968F8A">
      <w:pPr>
        <w:rPr>
          <w:rFonts w:ascii="宋体" w:hAnsi="宋体" w:cs="宋体"/>
          <w:color w:val="000000"/>
          <w:highlight w:val="none"/>
        </w:rPr>
      </w:pPr>
    </w:p>
    <w:p w14:paraId="2A776DED">
      <w:pPr>
        <w:pStyle w:val="2"/>
        <w:rPr>
          <w:color w:val="000000"/>
          <w:highlight w:val="none"/>
        </w:rPr>
      </w:pPr>
    </w:p>
    <w:p w14:paraId="4E25B59E">
      <w:pPr>
        <w:rPr>
          <w:color w:val="000000"/>
          <w:highlight w:val="none"/>
        </w:rPr>
      </w:pPr>
    </w:p>
    <w:p w14:paraId="7D6A5E5D">
      <w:pPr>
        <w:pStyle w:val="2"/>
        <w:rPr>
          <w:color w:val="000000"/>
          <w:highlight w:val="none"/>
        </w:rPr>
      </w:pPr>
    </w:p>
    <w:p w14:paraId="0D45F042">
      <w:pPr>
        <w:rPr>
          <w:color w:val="000000"/>
          <w:highlight w:val="none"/>
        </w:rPr>
      </w:pPr>
    </w:p>
    <w:p w14:paraId="07AE654E">
      <w:pPr>
        <w:pStyle w:val="2"/>
        <w:rPr>
          <w:color w:val="000000"/>
          <w:highlight w:val="none"/>
        </w:rPr>
      </w:pPr>
    </w:p>
    <w:p w14:paraId="621B2D5D">
      <w:pPr>
        <w:rPr>
          <w:color w:val="000000"/>
          <w:highlight w:val="none"/>
        </w:rPr>
      </w:pPr>
    </w:p>
    <w:p w14:paraId="4F2819EB">
      <w:pPr>
        <w:pStyle w:val="2"/>
        <w:rPr>
          <w:color w:val="000000"/>
          <w:highlight w:val="none"/>
        </w:rPr>
      </w:pPr>
    </w:p>
    <w:p w14:paraId="10365F93">
      <w:pPr>
        <w:rPr>
          <w:color w:val="000000"/>
          <w:highlight w:val="none"/>
        </w:rPr>
      </w:pPr>
    </w:p>
    <w:p w14:paraId="5F65FBE8">
      <w:pPr>
        <w:pStyle w:val="2"/>
        <w:rPr>
          <w:color w:val="000000"/>
          <w:highlight w:val="none"/>
        </w:rPr>
      </w:pPr>
    </w:p>
    <w:p w14:paraId="0F76014E">
      <w:pPr>
        <w:rPr>
          <w:color w:val="000000"/>
          <w:highlight w:val="none"/>
        </w:rPr>
      </w:pPr>
    </w:p>
    <w:p w14:paraId="3DADC52C">
      <w:pPr>
        <w:pStyle w:val="2"/>
        <w:rPr>
          <w:color w:val="000000"/>
          <w:highlight w:val="none"/>
        </w:rPr>
      </w:pPr>
    </w:p>
    <w:p w14:paraId="2BC311CB">
      <w:pPr>
        <w:rPr>
          <w:color w:val="000000"/>
          <w:highlight w:val="none"/>
        </w:rPr>
      </w:pPr>
    </w:p>
    <w:p w14:paraId="7C32F803">
      <w:pPr>
        <w:pStyle w:val="2"/>
        <w:rPr>
          <w:color w:val="000000"/>
          <w:highlight w:val="none"/>
        </w:rPr>
      </w:pPr>
    </w:p>
    <w:p w14:paraId="1232856B">
      <w:pPr>
        <w:rPr>
          <w:color w:val="000000"/>
          <w:highlight w:val="none"/>
        </w:rPr>
      </w:pPr>
    </w:p>
    <w:p w14:paraId="7EA3BEB7">
      <w:pPr>
        <w:pStyle w:val="2"/>
        <w:rPr>
          <w:color w:val="000000"/>
          <w:highlight w:val="none"/>
        </w:rPr>
      </w:pPr>
    </w:p>
    <w:p w14:paraId="6AEE3A0A">
      <w:pPr>
        <w:rPr>
          <w:color w:val="000000"/>
          <w:highlight w:val="none"/>
        </w:rPr>
      </w:pPr>
    </w:p>
    <w:p w14:paraId="54FE60E2">
      <w:pPr>
        <w:pStyle w:val="2"/>
        <w:rPr>
          <w:color w:val="000000"/>
          <w:highlight w:val="none"/>
        </w:rPr>
      </w:pPr>
    </w:p>
    <w:p w14:paraId="387B17D7">
      <w:pPr>
        <w:rPr>
          <w:color w:val="000000"/>
          <w:highlight w:val="none"/>
        </w:rPr>
      </w:pPr>
    </w:p>
    <w:p w14:paraId="2A3CBC2C">
      <w:pPr>
        <w:pStyle w:val="2"/>
        <w:rPr>
          <w:rFonts w:hint="eastAsia"/>
          <w:color w:val="000000"/>
          <w:highlight w:val="none"/>
        </w:rPr>
      </w:pPr>
    </w:p>
    <w:p w14:paraId="79B6050C">
      <w:pPr>
        <w:rPr>
          <w:rFonts w:hint="eastAsia"/>
          <w:color w:val="000000"/>
          <w:highlight w:val="none"/>
        </w:rPr>
      </w:pPr>
    </w:p>
    <w:p w14:paraId="001A47A7">
      <w:pPr>
        <w:pStyle w:val="2"/>
        <w:rPr>
          <w:rFonts w:hint="eastAsia"/>
          <w:color w:val="000000"/>
          <w:highlight w:val="none"/>
        </w:rPr>
      </w:pPr>
    </w:p>
    <w:p w14:paraId="5F216148">
      <w:pPr>
        <w:rPr>
          <w:rFonts w:hint="eastAsia"/>
          <w:color w:val="000000"/>
          <w:highlight w:val="none"/>
        </w:rPr>
      </w:pPr>
    </w:p>
    <w:p w14:paraId="1C0842FD">
      <w:pPr>
        <w:pStyle w:val="2"/>
        <w:rPr>
          <w:rFonts w:hint="eastAsia"/>
          <w:color w:val="000000"/>
          <w:highlight w:val="none"/>
        </w:rPr>
      </w:pPr>
    </w:p>
    <w:p w14:paraId="441C815D">
      <w:pPr>
        <w:rPr>
          <w:rFonts w:hint="eastAsia"/>
          <w:color w:val="000000"/>
          <w:highlight w:val="none"/>
        </w:rPr>
      </w:pPr>
    </w:p>
    <w:p w14:paraId="5CB1F67A">
      <w:pPr>
        <w:pStyle w:val="2"/>
        <w:rPr>
          <w:rFonts w:hint="eastAsia"/>
        </w:rPr>
      </w:pPr>
    </w:p>
    <w:p w14:paraId="240FE3A8">
      <w:pPr>
        <w:rPr>
          <w:rFonts w:hint="eastAsia"/>
        </w:rPr>
      </w:pPr>
    </w:p>
    <w:p w14:paraId="2ED5C7D9">
      <w:pPr>
        <w:pStyle w:val="4"/>
        <w:ind w:left="467" w:right="391"/>
        <w:jc w:val="center"/>
        <w:rPr>
          <w:rFonts w:hint="eastAsia" w:ascii="宋体" w:hAnsi="宋体" w:cs="宋体"/>
          <w:color w:val="000000"/>
          <w:highlight w:val="none"/>
        </w:rPr>
      </w:pPr>
      <w:bookmarkStart w:id="184" w:name="_Toc265"/>
      <w:bookmarkStart w:id="185" w:name="_Toc30297"/>
      <w:r>
        <w:rPr>
          <w:rFonts w:hint="eastAsia" w:ascii="宋体" w:hAnsi="宋体" w:cs="宋体"/>
          <w:color w:val="000000"/>
          <w:highlight w:val="none"/>
        </w:rPr>
        <w:t>第三部分 专用合同条款</w:t>
      </w:r>
      <w:bookmarkEnd w:id="183"/>
      <w:bookmarkEnd w:id="184"/>
      <w:bookmarkEnd w:id="185"/>
    </w:p>
    <w:p w14:paraId="1E17F303">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186" w:name="_Toc1037"/>
      <w:bookmarkStart w:id="187" w:name="_Toc351203633"/>
      <w:bookmarkStart w:id="188" w:name="_Toc532377321"/>
      <w:bookmarkStart w:id="189" w:name="_Toc532375608"/>
      <w:bookmarkStart w:id="190" w:name="_Hlk528927191"/>
      <w:r>
        <w:rPr>
          <w:rFonts w:hint="eastAsia"/>
          <w:color w:val="000000"/>
          <w:kern w:val="2"/>
          <w:sz w:val="21"/>
          <w:szCs w:val="21"/>
          <w:highlight w:val="none"/>
        </w:rPr>
        <w:t>1</w:t>
      </w:r>
      <w:bookmarkStart w:id="191" w:name="_Toc296890984"/>
      <w:bookmarkStart w:id="192" w:name="_Toc296346657"/>
      <w:bookmarkStart w:id="193" w:name="_Toc296347155"/>
      <w:bookmarkStart w:id="194" w:name="_Toc296944495"/>
      <w:bookmarkStart w:id="195" w:name="_Toc296891196"/>
      <w:bookmarkStart w:id="196" w:name="_Toc292559361"/>
      <w:bookmarkStart w:id="197" w:name="_Toc297048342"/>
      <w:bookmarkStart w:id="198" w:name="_Toc297120456"/>
      <w:bookmarkStart w:id="199" w:name="_Toc292559866"/>
      <w:bookmarkStart w:id="200" w:name="_Toc296503156"/>
      <w:r>
        <w:rPr>
          <w:rFonts w:hint="eastAsia"/>
          <w:color w:val="000000"/>
          <w:kern w:val="2"/>
          <w:sz w:val="21"/>
          <w:szCs w:val="21"/>
          <w:highlight w:val="none"/>
        </w:rPr>
        <w:t>. 一般约定</w:t>
      </w:r>
      <w:bookmarkEnd w:id="186"/>
      <w:bookmarkEnd w:id="187"/>
      <w:bookmarkEnd w:id="188"/>
      <w:bookmarkEnd w:id="189"/>
    </w:p>
    <w:bookmarkEnd w:id="191"/>
    <w:bookmarkEnd w:id="192"/>
    <w:bookmarkEnd w:id="193"/>
    <w:bookmarkEnd w:id="194"/>
    <w:bookmarkEnd w:id="195"/>
    <w:bookmarkEnd w:id="196"/>
    <w:bookmarkEnd w:id="197"/>
    <w:bookmarkEnd w:id="198"/>
    <w:bookmarkEnd w:id="199"/>
    <w:bookmarkEnd w:id="200"/>
    <w:p w14:paraId="1F019839">
      <w:pPr>
        <w:pStyle w:val="7"/>
        <w:spacing w:before="0" w:beforeAutospacing="0" w:after="0" w:afterAutospacing="0" w:line="360" w:lineRule="auto"/>
        <w:ind w:firstLine="422" w:firstLineChars="200"/>
        <w:rPr>
          <w:rFonts w:hint="eastAsia"/>
          <w:color w:val="000000"/>
          <w:sz w:val="21"/>
          <w:szCs w:val="21"/>
          <w:highlight w:val="none"/>
        </w:rPr>
      </w:pPr>
      <w:bookmarkStart w:id="201" w:name="_Toc532377322"/>
      <w:r>
        <w:rPr>
          <w:rFonts w:hint="eastAsia"/>
          <w:color w:val="000000"/>
          <w:sz w:val="21"/>
          <w:szCs w:val="21"/>
          <w:highlight w:val="none"/>
        </w:rPr>
        <w:t>1.1词语定义与解释</w:t>
      </w:r>
      <w:bookmarkEnd w:id="201"/>
    </w:p>
    <w:p w14:paraId="40F90E30">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1.1.1 合同</w:t>
      </w:r>
    </w:p>
    <w:p w14:paraId="5FA1695B">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1.1.1.6技术标准和要求：</w:t>
      </w:r>
      <w:r>
        <w:rPr>
          <w:rFonts w:hint="eastAsia" w:ascii="宋体" w:hAnsi="宋体" w:cs="宋体"/>
          <w:color w:val="000000"/>
          <w:kern w:val="0"/>
          <w:szCs w:val="21"/>
          <w:highlight w:val="none"/>
          <w:u w:val="single"/>
        </w:rPr>
        <w:t>本目中的技术标准和要求是指技术规范，即合同所约定的技术标准和要求，是合同文件的组成部分。与通用合同条款中“技术标准和要求”一词具有相同含义，包括合同双方当事人约定对其所作的修改或补充</w:t>
      </w:r>
      <w:r>
        <w:rPr>
          <w:rFonts w:hint="eastAsia" w:ascii="宋体" w:hAnsi="宋体" w:cs="宋体"/>
          <w:color w:val="000000"/>
          <w:kern w:val="0"/>
          <w:szCs w:val="21"/>
          <w:highlight w:val="none"/>
        </w:rPr>
        <w:t>。</w:t>
      </w:r>
    </w:p>
    <w:p w14:paraId="26F53CAC">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1.1.1.8 已标价工程量清单：</w:t>
      </w:r>
      <w:r>
        <w:rPr>
          <w:rFonts w:hint="eastAsia" w:ascii="宋体" w:hAnsi="宋体" w:cs="宋体"/>
          <w:color w:val="000000"/>
          <w:kern w:val="0"/>
          <w:szCs w:val="21"/>
          <w:highlight w:val="none"/>
          <w:u w:val="single"/>
        </w:rPr>
        <w:t>指构成合同的由承包人按照发包人规定的格式和要求填写并标明价格、经算术性错误修订及其他错误修订（如有）且承包人已确认的工程量清单</w:t>
      </w:r>
      <w:r>
        <w:rPr>
          <w:rFonts w:hint="eastAsia" w:ascii="宋体" w:hAnsi="宋体" w:cs="宋体"/>
          <w:color w:val="000000"/>
          <w:kern w:val="0"/>
          <w:szCs w:val="21"/>
          <w:highlight w:val="none"/>
        </w:rPr>
        <w:t>。</w:t>
      </w:r>
    </w:p>
    <w:p w14:paraId="76F5244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kern w:val="0"/>
          <w:szCs w:val="21"/>
          <w:highlight w:val="none"/>
        </w:rPr>
        <w:t>1.1.1.10 其他合同文件包括：</w:t>
      </w:r>
      <w:r>
        <w:rPr>
          <w:rFonts w:hint="eastAsia" w:ascii="宋体" w:hAnsi="宋体" w:cs="宋体"/>
          <w:color w:val="000000"/>
          <w:szCs w:val="21"/>
          <w:highlight w:val="none"/>
          <w:u w:val="single"/>
        </w:rPr>
        <w:t>按照合同协议书</w:t>
      </w:r>
      <w:r>
        <w:rPr>
          <w:rFonts w:hint="eastAsia" w:ascii="宋体" w:hAnsi="宋体" w:cs="宋体"/>
          <w:bCs/>
          <w:color w:val="000000"/>
          <w:szCs w:val="21"/>
          <w:highlight w:val="none"/>
          <w:u w:val="single"/>
        </w:rPr>
        <w:t>〔</w:t>
      </w:r>
      <w:r>
        <w:rPr>
          <w:rFonts w:hint="eastAsia" w:ascii="宋体" w:hAnsi="宋体" w:cs="宋体"/>
          <w:color w:val="000000"/>
          <w:szCs w:val="21"/>
          <w:highlight w:val="none"/>
          <w:u w:val="single"/>
        </w:rPr>
        <w:t>第六条</w:t>
      </w:r>
      <w:r>
        <w:rPr>
          <w:rFonts w:hint="eastAsia" w:ascii="宋体" w:hAnsi="宋体" w:cs="宋体"/>
          <w:bCs/>
          <w:color w:val="000000"/>
          <w:szCs w:val="21"/>
          <w:highlight w:val="none"/>
          <w:u w:val="single"/>
        </w:rPr>
        <w:t>〕</w:t>
      </w:r>
      <w:r>
        <w:rPr>
          <w:rFonts w:hint="eastAsia" w:ascii="宋体" w:hAnsi="宋体" w:cs="宋体"/>
          <w:color w:val="000000"/>
          <w:szCs w:val="21"/>
          <w:highlight w:val="none"/>
          <w:u w:val="single"/>
        </w:rPr>
        <w:t>约定执行</w:t>
      </w:r>
      <w:r>
        <w:rPr>
          <w:rFonts w:hint="eastAsia" w:ascii="宋体" w:hAnsi="宋体" w:cs="宋体"/>
          <w:color w:val="000000"/>
          <w:szCs w:val="21"/>
          <w:highlight w:val="none"/>
        </w:rPr>
        <w:t>。</w:t>
      </w:r>
    </w:p>
    <w:p w14:paraId="34DC3DDC">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本项补充1.1.1.11～1.1.1.16目：</w:t>
      </w:r>
    </w:p>
    <w:p w14:paraId="63B5B394">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1.1.1.11 比选文件：</w:t>
      </w:r>
      <w:r>
        <w:rPr>
          <w:rFonts w:hint="eastAsia" w:ascii="宋体" w:hAnsi="宋体" w:cs="宋体"/>
          <w:color w:val="000000"/>
          <w:kern w:val="0"/>
          <w:szCs w:val="21"/>
          <w:highlight w:val="none"/>
          <w:u w:val="single"/>
        </w:rPr>
        <w:t>指本工程的比选文件、图纸、其他技术资料及发包人发出的对比选文件所作的澄清、修改等资料</w:t>
      </w:r>
      <w:r>
        <w:rPr>
          <w:rFonts w:hint="eastAsia" w:ascii="宋体" w:hAnsi="宋体" w:cs="宋体"/>
          <w:color w:val="000000"/>
          <w:kern w:val="0"/>
          <w:szCs w:val="21"/>
          <w:highlight w:val="none"/>
        </w:rPr>
        <w:t>。</w:t>
      </w:r>
    </w:p>
    <w:p w14:paraId="1CA31B2D">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1.1.1.12 工作：</w:t>
      </w:r>
      <w:r>
        <w:rPr>
          <w:rFonts w:hint="eastAsia" w:ascii="宋体" w:hAnsi="宋体" w:cs="宋体"/>
          <w:color w:val="000000"/>
          <w:kern w:val="0"/>
          <w:szCs w:val="21"/>
          <w:highlight w:val="none"/>
          <w:u w:val="single"/>
        </w:rPr>
        <w:t>指根据合同条款规定，或根据合同合理推及的，为本工程（包括永久工程和临时工程）施工与维护所需要的管理、劳务、材料、施工设备和其他物品的提供</w:t>
      </w:r>
      <w:r>
        <w:rPr>
          <w:rFonts w:hint="eastAsia" w:ascii="宋体" w:hAnsi="宋体" w:cs="宋体"/>
          <w:color w:val="000000"/>
          <w:kern w:val="0"/>
          <w:szCs w:val="21"/>
          <w:highlight w:val="none"/>
        </w:rPr>
        <w:t>。</w:t>
      </w:r>
    </w:p>
    <w:p w14:paraId="106B85C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1.1.1.13 重大设计变更：按照规定需要重新报建设行政主管部门批准的设计变更。</w:t>
      </w:r>
    </w:p>
    <w:p w14:paraId="303D89A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1.1.1.14 公章：专指法定单位名称章。</w:t>
      </w:r>
    </w:p>
    <w:bookmarkEnd w:id="190"/>
    <w:p w14:paraId="68C3CED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1.1.1.15 到岗：指承包人按照到岗履职承诺安排满足办理施工许可手续相关要求的项目主要管理人员实际到施工现场就职履约的行为。</w:t>
      </w:r>
    </w:p>
    <w:p w14:paraId="4FFB4DA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1.1.1.16 项目法人：指具有民事权利能力和民事行为能力，依法独立享有民事权利和承担民事义务，以建设项目为目的，从事项目管理的机构、单位或组织。</w:t>
      </w:r>
    </w:p>
    <w:p w14:paraId="465FAA9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1.1.2 合同当事人及其他相关方</w:t>
      </w:r>
    </w:p>
    <w:p w14:paraId="7A04B56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1.1.2.4 监理人：</w:t>
      </w:r>
    </w:p>
    <w:p w14:paraId="2E895E8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名    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710B1B8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资质类别和等级：</w:t>
      </w:r>
      <w:r>
        <w:rPr>
          <w:rFonts w:hint="eastAsia" w:ascii="宋体" w:hAnsi="宋体" w:cs="宋体"/>
          <w:color w:val="000000"/>
          <w:szCs w:val="21"/>
          <w:highlight w:val="none"/>
          <w:u w:val="single"/>
        </w:rPr>
        <w:t></w:t>
      </w:r>
      <w:r>
        <w:rPr>
          <w:rFonts w:hint="eastAsia" w:ascii="宋体" w:hAnsi="宋体" w:cs="宋体"/>
          <w:color w:val="000000"/>
          <w:szCs w:val="21"/>
          <w:highlight w:val="none"/>
        </w:rPr>
        <w:t>；</w:t>
      </w:r>
    </w:p>
    <w:p w14:paraId="62DCBFE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联系方式：</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6A37D97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1.1.2.5 设计人：</w:t>
      </w:r>
    </w:p>
    <w:p w14:paraId="76A24DC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名    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5F713BE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资质类别和等级：</w:t>
      </w:r>
      <w:r>
        <w:rPr>
          <w:rFonts w:hint="eastAsia" w:ascii="宋体" w:hAnsi="宋体" w:cs="宋体"/>
          <w:color w:val="000000"/>
          <w:szCs w:val="21"/>
          <w:highlight w:val="none"/>
          <w:u w:val="single"/>
        </w:rPr>
        <w:t></w:t>
      </w:r>
      <w:r>
        <w:rPr>
          <w:rFonts w:hint="eastAsia" w:ascii="宋体" w:hAnsi="宋体" w:cs="宋体"/>
          <w:color w:val="000000"/>
          <w:szCs w:val="21"/>
          <w:highlight w:val="none"/>
        </w:rPr>
        <w:t>；</w:t>
      </w:r>
    </w:p>
    <w:p w14:paraId="7C31513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联系方式：</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10F6081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1.1.3 工程和设备</w:t>
      </w:r>
    </w:p>
    <w:p w14:paraId="402C592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kern w:val="0"/>
          <w:szCs w:val="21"/>
          <w:highlight w:val="none"/>
        </w:rPr>
        <w:t>1.1.3.7 作为施工现场组成部分的其他场所包括：</w:t>
      </w:r>
      <w:r>
        <w:rPr>
          <w:rFonts w:hint="eastAsia" w:ascii="宋体" w:hAnsi="宋体" w:cs="宋体"/>
          <w:color w:val="000000"/>
          <w:kern w:val="0"/>
          <w:szCs w:val="21"/>
          <w:highlight w:val="none"/>
          <w:u w:val="single"/>
        </w:rPr>
        <w:t>永久占地、临时占地以及为修建临时工程而租用、占用的土地</w:t>
      </w:r>
      <w:r>
        <w:rPr>
          <w:rFonts w:hint="eastAsia" w:ascii="宋体" w:hAnsi="宋体" w:cs="宋体"/>
          <w:color w:val="000000"/>
          <w:szCs w:val="21"/>
          <w:highlight w:val="none"/>
        </w:rPr>
        <w:t>。</w:t>
      </w:r>
    </w:p>
    <w:p w14:paraId="63E078A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kern w:val="0"/>
          <w:szCs w:val="21"/>
          <w:highlight w:val="none"/>
        </w:rPr>
        <w:t>1.1.3.9 永久占地包括：</w:t>
      </w:r>
      <w:r>
        <w:rPr>
          <w:rFonts w:hint="eastAsia" w:ascii="宋体" w:hAnsi="宋体" w:cs="宋体"/>
          <w:color w:val="000000"/>
          <w:kern w:val="0"/>
          <w:szCs w:val="21"/>
          <w:highlight w:val="none"/>
          <w:u w:val="single"/>
        </w:rPr>
        <w:t>为实施合同工程而需要的一切永久占用的土地，即合同工程</w:t>
      </w:r>
      <w:r>
        <w:rPr>
          <w:rFonts w:hint="eastAsia" w:ascii="宋体" w:hAnsi="宋体" w:cs="宋体"/>
          <w:color w:val="000000"/>
          <w:szCs w:val="21"/>
          <w:highlight w:val="none"/>
          <w:u w:val="single"/>
        </w:rPr>
        <w:t>用地红线范围内的土地</w:t>
      </w:r>
      <w:r>
        <w:rPr>
          <w:rFonts w:hint="eastAsia" w:ascii="宋体" w:hAnsi="宋体" w:cs="宋体"/>
          <w:color w:val="000000"/>
          <w:szCs w:val="21"/>
          <w:highlight w:val="none"/>
        </w:rPr>
        <w:t>。</w:t>
      </w:r>
    </w:p>
    <w:p w14:paraId="5525125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1.1.3.10 临时占地包括：</w:t>
      </w:r>
      <w:r>
        <w:rPr>
          <w:rFonts w:hint="eastAsia" w:ascii="宋体" w:hAnsi="宋体" w:cs="宋体"/>
          <w:color w:val="000000"/>
          <w:szCs w:val="21"/>
          <w:highlight w:val="none"/>
          <w:u w:val="single"/>
        </w:rPr>
        <w:t>为实施合同工程而需要</w:t>
      </w:r>
      <w:r>
        <w:rPr>
          <w:rFonts w:hint="eastAsia" w:ascii="宋体" w:hAnsi="宋体" w:cs="宋体"/>
          <w:color w:val="000000"/>
          <w:kern w:val="0"/>
          <w:szCs w:val="21"/>
          <w:highlight w:val="none"/>
          <w:u w:val="single"/>
        </w:rPr>
        <w:t>的一切</w:t>
      </w:r>
      <w:r>
        <w:rPr>
          <w:rFonts w:hint="eastAsia" w:ascii="宋体" w:hAnsi="宋体" w:cs="宋体"/>
          <w:color w:val="000000"/>
          <w:szCs w:val="21"/>
          <w:highlight w:val="none"/>
          <w:u w:val="single"/>
        </w:rPr>
        <w:t>临时占用的土地，包括施工所用的临时便道等的临时出入道，以及生产（办公）、生活等临时设施用地</w:t>
      </w:r>
      <w:r>
        <w:rPr>
          <w:rFonts w:hint="eastAsia" w:ascii="宋体" w:hAnsi="宋体" w:cs="宋体"/>
          <w:color w:val="000000"/>
          <w:szCs w:val="21"/>
          <w:highlight w:val="none"/>
        </w:rPr>
        <w:t>。</w:t>
      </w:r>
    </w:p>
    <w:p w14:paraId="54CD6FF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1.1.6 其他</w:t>
      </w:r>
    </w:p>
    <w:p w14:paraId="646B43A1">
      <w:pPr>
        <w:spacing w:line="360" w:lineRule="auto"/>
        <w:ind w:firstLine="560" w:firstLineChars="200"/>
        <w:jc w:val="left"/>
        <w:rPr>
          <w:rFonts w:hint="eastAsia" w:ascii="宋体" w:hAnsi="宋体" w:cs="宋体"/>
          <w:color w:val="000000"/>
          <w:szCs w:val="21"/>
          <w:highlight w:val="none"/>
        </w:rPr>
      </w:pPr>
      <w:bookmarkStart w:id="202" w:name="_Hlk528927262"/>
      <w:r>
        <w:rPr>
          <w:rFonts w:hint="eastAsia" w:ascii="宋体" w:hAnsi="宋体" w:cs="宋体"/>
          <w:color w:val="000000"/>
          <w:szCs w:val="21"/>
          <w:highlight w:val="none"/>
        </w:rPr>
        <w:t>本项补充1.1.6.2～1.1.6.3目：</w:t>
      </w:r>
    </w:p>
    <w:p w14:paraId="33DE2B5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1.1.6.2 转包、违法分包及挂靠：指符合《住房和城乡建设部关于印发建筑工程施工发包与承包违法行为认定查处管理办法的通知》（建市规〔2019〕1号）规定认定条件的</w:t>
      </w:r>
      <w:r>
        <w:rPr>
          <w:rFonts w:hint="eastAsia" w:ascii="宋体" w:hAnsi="宋体" w:cs="宋体"/>
          <w:color w:val="000000"/>
          <w:kern w:val="0"/>
          <w:szCs w:val="21"/>
          <w:highlight w:val="none"/>
        </w:rPr>
        <w:t>违法行为</w:t>
      </w:r>
      <w:r>
        <w:rPr>
          <w:rFonts w:hint="eastAsia" w:ascii="宋体" w:hAnsi="宋体" w:cs="宋体"/>
          <w:color w:val="000000"/>
          <w:szCs w:val="21"/>
          <w:highlight w:val="none"/>
        </w:rPr>
        <w:t>。</w:t>
      </w:r>
    </w:p>
    <w:bookmarkEnd w:id="202"/>
    <w:p w14:paraId="706A73E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1.1.6.3 危险性较大的分部分项工程（以下简称“危大工程”）：指住房和城乡建设部令第37号《危险性较大的分部分项工程安全管理规定》规定的房屋建筑和市政基础设施工程在施工过程中，容易导致人员群死群伤或者造成重大经济损失的分部分项工程。危大工程及超过一定规模的危大工程范围以国务院住房城乡建设主管部门制定及重庆市住房和城乡建设委员会补充的范围为准。</w:t>
      </w:r>
    </w:p>
    <w:p w14:paraId="6587CFC3">
      <w:pPr>
        <w:pStyle w:val="7"/>
        <w:spacing w:before="0" w:beforeAutospacing="0" w:after="0" w:afterAutospacing="0" w:line="360" w:lineRule="auto"/>
        <w:ind w:left="0" w:leftChars="0" w:firstLine="0" w:firstLineChars="0"/>
        <w:rPr>
          <w:rFonts w:hint="eastAsia"/>
          <w:color w:val="000000"/>
          <w:sz w:val="21"/>
          <w:szCs w:val="21"/>
          <w:highlight w:val="none"/>
        </w:rPr>
      </w:pPr>
      <w:bookmarkStart w:id="203" w:name="_Toc532377323"/>
      <w:r>
        <w:rPr>
          <w:rFonts w:hint="eastAsia"/>
          <w:color w:val="000000"/>
          <w:sz w:val="21"/>
          <w:szCs w:val="21"/>
          <w:highlight w:val="none"/>
        </w:rPr>
        <w:t>1.4 标准和规范</w:t>
      </w:r>
      <w:bookmarkEnd w:id="203"/>
    </w:p>
    <w:p w14:paraId="73C7AE5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1.4.1 适用于工程的标准规范包括：</w:t>
      </w:r>
    </w:p>
    <w:p w14:paraId="420118F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（1）施工图所涉及的技术标准、规范、规程、图集等；</w:t>
      </w:r>
    </w:p>
    <w:p w14:paraId="53D7A81B">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（2）国家、行业或重庆市与本工程有关的标准，以及相应的规范、规程等，当这些标准、规范、规程不一致时，以标准、规范、规程要求最高的为准。</w:t>
      </w:r>
    </w:p>
    <w:p w14:paraId="0545B50B">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（3）</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13788258">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1.4.2 发包人提供国外标准、规范的名称：</w:t>
      </w:r>
      <w:r>
        <w:rPr>
          <w:rFonts w:hint="eastAsia" w:ascii="宋体" w:hAnsi="宋体" w:cs="宋体"/>
          <w:color w:val="000000"/>
          <w:kern w:val="0"/>
          <w:szCs w:val="21"/>
          <w:highlight w:val="none"/>
          <w:u w:val="single"/>
        </w:rPr>
        <w:t xml:space="preserve"> / </w:t>
      </w:r>
      <w:r>
        <w:rPr>
          <w:rFonts w:hint="eastAsia" w:ascii="宋体" w:hAnsi="宋体" w:cs="宋体"/>
          <w:color w:val="000000"/>
          <w:kern w:val="0"/>
          <w:szCs w:val="21"/>
          <w:highlight w:val="none"/>
        </w:rPr>
        <w:t>；</w:t>
      </w:r>
    </w:p>
    <w:p w14:paraId="4A62C49E">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发包人提供国外标准、规范的份数：</w:t>
      </w:r>
      <w:r>
        <w:rPr>
          <w:rFonts w:hint="eastAsia" w:ascii="宋体" w:hAnsi="宋体" w:cs="宋体"/>
          <w:color w:val="000000"/>
          <w:kern w:val="0"/>
          <w:szCs w:val="21"/>
          <w:highlight w:val="none"/>
          <w:u w:val="single"/>
        </w:rPr>
        <w:t xml:space="preserve"> / </w:t>
      </w:r>
      <w:r>
        <w:rPr>
          <w:rFonts w:hint="eastAsia" w:ascii="宋体" w:hAnsi="宋体" w:cs="宋体"/>
          <w:color w:val="000000"/>
          <w:kern w:val="0"/>
          <w:szCs w:val="21"/>
          <w:highlight w:val="none"/>
        </w:rPr>
        <w:t>；</w:t>
      </w:r>
    </w:p>
    <w:p w14:paraId="0C667DCF">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发包人提供国外标准、规范的名称：</w:t>
      </w:r>
      <w:r>
        <w:rPr>
          <w:rFonts w:hint="eastAsia" w:ascii="宋体" w:hAnsi="宋体" w:cs="宋体"/>
          <w:color w:val="000000"/>
          <w:kern w:val="0"/>
          <w:szCs w:val="21"/>
          <w:highlight w:val="none"/>
          <w:u w:val="single"/>
        </w:rPr>
        <w:t xml:space="preserve"> / </w:t>
      </w:r>
      <w:r>
        <w:rPr>
          <w:rFonts w:hint="eastAsia" w:ascii="宋体" w:hAnsi="宋体" w:cs="宋体"/>
          <w:color w:val="000000"/>
          <w:kern w:val="0"/>
          <w:szCs w:val="21"/>
          <w:highlight w:val="none"/>
        </w:rPr>
        <w:t>。</w:t>
      </w:r>
    </w:p>
    <w:p w14:paraId="1A92049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1.4.3 发包人对工程的技术标准和功能要求的特殊要求：</w:t>
      </w:r>
      <w:r>
        <w:rPr>
          <w:rFonts w:hint="eastAsia" w:ascii="宋体" w:hAnsi="宋体" w:cs="宋体"/>
          <w:color w:val="000000"/>
          <w:kern w:val="0"/>
          <w:szCs w:val="21"/>
          <w:highlight w:val="none"/>
          <w:u w:val="single"/>
        </w:rPr>
        <w:t xml:space="preserve">/ </w:t>
      </w:r>
      <w:r>
        <w:rPr>
          <w:rFonts w:hint="eastAsia" w:ascii="宋体" w:hAnsi="宋体" w:cs="宋体"/>
          <w:color w:val="000000"/>
          <w:szCs w:val="21"/>
          <w:highlight w:val="none"/>
        </w:rPr>
        <w:t>。</w:t>
      </w:r>
    </w:p>
    <w:p w14:paraId="07F03F40">
      <w:pPr>
        <w:pStyle w:val="7"/>
        <w:spacing w:before="0" w:beforeAutospacing="0" w:after="0" w:afterAutospacing="0" w:line="360" w:lineRule="auto"/>
        <w:ind w:left="0" w:leftChars="0" w:firstLine="0" w:firstLineChars="0"/>
        <w:rPr>
          <w:rFonts w:hint="eastAsia"/>
          <w:color w:val="000000"/>
          <w:sz w:val="21"/>
          <w:szCs w:val="21"/>
          <w:highlight w:val="none"/>
        </w:rPr>
      </w:pPr>
      <w:bookmarkStart w:id="204" w:name="_Toc532377324"/>
      <w:r>
        <w:rPr>
          <w:rFonts w:hint="eastAsia"/>
          <w:color w:val="000000"/>
          <w:sz w:val="21"/>
          <w:szCs w:val="21"/>
          <w:highlight w:val="none"/>
        </w:rPr>
        <w:t>1.5 合同文件的优先顺序</w:t>
      </w:r>
      <w:bookmarkEnd w:id="204"/>
    </w:p>
    <w:p w14:paraId="4AE8781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合同文件组成及优先顺序为：</w:t>
      </w:r>
      <w:r>
        <w:rPr>
          <w:rFonts w:hint="eastAsia" w:ascii="宋体" w:hAnsi="宋体" w:cs="宋体"/>
          <w:color w:val="000000"/>
          <w:szCs w:val="21"/>
          <w:highlight w:val="none"/>
          <w:u w:val="single"/>
        </w:rPr>
        <w:t>按照合同协议书</w:t>
      </w:r>
      <w:r>
        <w:rPr>
          <w:rFonts w:hint="eastAsia" w:ascii="宋体" w:hAnsi="宋体" w:cs="宋体"/>
          <w:bCs/>
          <w:color w:val="000000"/>
          <w:szCs w:val="21"/>
          <w:highlight w:val="none"/>
          <w:u w:val="single"/>
        </w:rPr>
        <w:t>〔</w:t>
      </w:r>
      <w:r>
        <w:rPr>
          <w:rFonts w:hint="eastAsia" w:ascii="宋体" w:hAnsi="宋体" w:cs="宋体"/>
          <w:color w:val="000000"/>
          <w:szCs w:val="21"/>
          <w:highlight w:val="none"/>
          <w:u w:val="single"/>
        </w:rPr>
        <w:t>第六条</w:t>
      </w:r>
      <w:r>
        <w:rPr>
          <w:rFonts w:hint="eastAsia" w:ascii="宋体" w:hAnsi="宋体" w:cs="宋体"/>
          <w:bCs/>
          <w:color w:val="000000"/>
          <w:szCs w:val="21"/>
          <w:highlight w:val="none"/>
          <w:u w:val="single"/>
        </w:rPr>
        <w:t>〕</w:t>
      </w:r>
      <w:r>
        <w:rPr>
          <w:rFonts w:hint="eastAsia" w:ascii="宋体" w:hAnsi="宋体" w:cs="宋体"/>
          <w:color w:val="000000"/>
          <w:szCs w:val="21"/>
          <w:highlight w:val="none"/>
          <w:u w:val="single"/>
        </w:rPr>
        <w:t>约定执行</w:t>
      </w:r>
      <w:r>
        <w:rPr>
          <w:rFonts w:hint="eastAsia" w:ascii="宋体" w:hAnsi="宋体" w:cs="宋体"/>
          <w:color w:val="000000"/>
          <w:szCs w:val="21"/>
          <w:highlight w:val="none"/>
        </w:rPr>
        <w:t>。</w:t>
      </w:r>
    </w:p>
    <w:p w14:paraId="0ECE2E1B">
      <w:pPr>
        <w:pStyle w:val="7"/>
        <w:spacing w:before="0" w:beforeAutospacing="0" w:after="0" w:afterAutospacing="0" w:line="360" w:lineRule="auto"/>
        <w:ind w:left="0" w:leftChars="0" w:firstLine="0" w:firstLineChars="0"/>
        <w:rPr>
          <w:rFonts w:hint="eastAsia"/>
          <w:color w:val="000000"/>
          <w:sz w:val="21"/>
          <w:szCs w:val="21"/>
          <w:highlight w:val="none"/>
        </w:rPr>
      </w:pPr>
      <w:bookmarkStart w:id="205" w:name="_Toc532377325"/>
      <w:r>
        <w:rPr>
          <w:rFonts w:hint="eastAsia"/>
          <w:color w:val="000000"/>
          <w:sz w:val="21"/>
          <w:szCs w:val="21"/>
          <w:highlight w:val="none"/>
        </w:rPr>
        <w:t>1.6 图纸和承包人文件</w:t>
      </w:r>
      <w:bookmarkEnd w:id="205"/>
    </w:p>
    <w:p w14:paraId="053C0CC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1.6.1 图纸的提供和交底</w:t>
      </w:r>
    </w:p>
    <w:p w14:paraId="15DCB26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发包人向承包人提供图纸的期限：</w:t>
      </w:r>
      <w:r>
        <w:rPr>
          <w:rFonts w:hint="eastAsia" w:ascii="宋体" w:hAnsi="宋体" w:cs="宋体"/>
          <w:color w:val="000000"/>
          <w:szCs w:val="21"/>
          <w:highlight w:val="none"/>
          <w:u w:val="single"/>
        </w:rPr>
        <w:t>通用合同条款第7.3.2款</w:t>
      </w:r>
      <w:r>
        <w:rPr>
          <w:rFonts w:hint="eastAsia" w:ascii="宋体" w:hAnsi="宋体" w:cs="宋体"/>
          <w:bCs/>
          <w:color w:val="000000"/>
          <w:szCs w:val="21"/>
          <w:highlight w:val="none"/>
          <w:u w:val="single"/>
        </w:rPr>
        <w:t>〔</w:t>
      </w:r>
      <w:r>
        <w:rPr>
          <w:rFonts w:hint="eastAsia" w:ascii="宋体" w:hAnsi="宋体" w:cs="宋体"/>
          <w:color w:val="000000"/>
          <w:szCs w:val="21"/>
          <w:highlight w:val="none"/>
          <w:u w:val="single"/>
        </w:rPr>
        <w:t>开工通知</w:t>
      </w:r>
      <w:r>
        <w:rPr>
          <w:rFonts w:hint="eastAsia" w:ascii="宋体" w:hAnsi="宋体" w:cs="宋体"/>
          <w:bCs/>
          <w:color w:val="000000"/>
          <w:szCs w:val="21"/>
          <w:highlight w:val="none"/>
          <w:u w:val="single"/>
        </w:rPr>
        <w:t>〕</w:t>
      </w:r>
      <w:r>
        <w:rPr>
          <w:rFonts w:hint="eastAsia" w:ascii="宋体" w:hAnsi="宋体" w:cs="宋体"/>
          <w:color w:val="000000"/>
          <w:szCs w:val="21"/>
          <w:highlight w:val="none"/>
          <w:u w:val="single"/>
        </w:rPr>
        <w:t>载明的开工日期前14天</w:t>
      </w:r>
      <w:r>
        <w:rPr>
          <w:rFonts w:hint="eastAsia" w:ascii="宋体" w:hAnsi="宋体" w:cs="宋体"/>
          <w:color w:val="000000"/>
          <w:szCs w:val="21"/>
          <w:highlight w:val="none"/>
        </w:rPr>
        <w:t>；</w:t>
      </w:r>
    </w:p>
    <w:p w14:paraId="5EAA6F1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发包人向承包人提供图纸的数量：</w:t>
      </w:r>
      <w:r>
        <w:rPr>
          <w:rFonts w:hint="eastAsia" w:ascii="宋体" w:hAnsi="宋体"/>
          <w:color w:val="000000"/>
          <w:szCs w:val="21"/>
          <w:highlight w:val="none"/>
          <w:u w:val="single"/>
        </w:rPr>
        <w:t>2 套</w:t>
      </w:r>
      <w:r>
        <w:rPr>
          <w:rFonts w:hint="eastAsia" w:ascii="宋体" w:hAnsi="宋体" w:cs="宋体"/>
          <w:color w:val="000000"/>
          <w:szCs w:val="21"/>
          <w:highlight w:val="none"/>
        </w:rPr>
        <w:t xml:space="preserve">； </w:t>
      </w:r>
    </w:p>
    <w:p w14:paraId="3F838EC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发包人向承包人提供图纸的内容：</w:t>
      </w:r>
      <w:r>
        <w:rPr>
          <w:rFonts w:hint="eastAsia" w:ascii="宋体" w:hAnsi="宋体" w:cs="宋体"/>
          <w:color w:val="000000"/>
          <w:szCs w:val="21"/>
          <w:highlight w:val="none"/>
          <w:u w:val="single"/>
        </w:rPr>
        <w:t>工程承包范围内工程的施工图设计文件</w:t>
      </w:r>
      <w:r>
        <w:rPr>
          <w:rFonts w:hint="eastAsia" w:ascii="宋体" w:hAnsi="宋体" w:cs="宋体"/>
          <w:color w:val="000000"/>
          <w:szCs w:val="21"/>
          <w:highlight w:val="none"/>
        </w:rPr>
        <w:t>；</w:t>
      </w:r>
    </w:p>
    <w:p w14:paraId="19E2C4BF">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发包人组织承包人、监理人和设计人进行图纸会审和设计交底的时间：</w:t>
      </w:r>
      <w:r>
        <w:rPr>
          <w:rFonts w:hint="eastAsia" w:ascii="宋体" w:hAnsi="宋体" w:cs="宋体"/>
          <w:color w:val="000000"/>
          <w:szCs w:val="21"/>
          <w:highlight w:val="none"/>
          <w:u w:val="single"/>
        </w:rPr>
        <w:t>提供施工图后7天内</w:t>
      </w:r>
      <w:r>
        <w:rPr>
          <w:rFonts w:hint="eastAsia" w:ascii="宋体" w:hAnsi="宋体" w:cs="宋体"/>
          <w:color w:val="000000"/>
          <w:szCs w:val="21"/>
          <w:highlight w:val="none"/>
        </w:rPr>
        <w:t>。</w:t>
      </w:r>
    </w:p>
    <w:p w14:paraId="5B13758A">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承包人可以书面方式通过监理人向发包人申请进行紧急的设计交底，发包人认为确有必要且条件许可时，应尽快组织实施承包人申请的设计交底。</w:t>
      </w:r>
    </w:p>
    <w:p w14:paraId="294B022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1.6.2 图纸的错误</w:t>
      </w:r>
    </w:p>
    <w:p w14:paraId="3093071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在收到发包人提供的图纸后，承包人应对收到的图纸进行仔细核查，并在开始施工前，将发现的图纸存在的差错、遗漏或缺陷及时通知监理人。监理人接到该通知后，应附相关意见并立即报送发包人，发包人应在收到监理人报送的通知后作出决定。</w:t>
      </w:r>
    </w:p>
    <w:p w14:paraId="11355376">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承包人不得利用图纸的差错、遗漏或缺陷，从中获得不正当的利益。</w:t>
      </w:r>
    </w:p>
    <w:p w14:paraId="77510CF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1.6.4 承包人文件</w:t>
      </w:r>
    </w:p>
    <w:p w14:paraId="339C288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需要由承包人提供的书面文件，包括：</w:t>
      </w:r>
      <w:r>
        <w:rPr>
          <w:rFonts w:hint="eastAsia" w:ascii="宋体" w:hAnsi="宋体" w:cs="宋体"/>
          <w:color w:val="000000"/>
          <w:szCs w:val="21"/>
          <w:highlight w:val="none"/>
          <w:u w:val="single"/>
        </w:rPr>
        <w:t>施工组织设计、专项施工方案、危险性较大分部分项工程施工方案（如有）、安全应急方案、进度计划、报表及计划、竣工资料及施工过程中因工程变更需要报送的施工方案、施工过程中涉及工程价款变更的相关资料、完整的竣工结算资料等</w:t>
      </w:r>
      <w:r>
        <w:rPr>
          <w:rFonts w:hint="eastAsia" w:ascii="宋体" w:hAnsi="宋体" w:cs="宋体"/>
          <w:color w:val="000000"/>
          <w:szCs w:val="21"/>
          <w:highlight w:val="none"/>
        </w:rPr>
        <w:t>。</w:t>
      </w:r>
    </w:p>
    <w:p w14:paraId="3116BED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承包人提供文件的期限、数量：</w:t>
      </w:r>
    </w:p>
    <w:p w14:paraId="1DC2944B">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（1）</w:t>
      </w:r>
      <w:r>
        <w:rPr>
          <w:rFonts w:hint="eastAsia" w:ascii="宋体" w:hAnsi="宋体" w:cs="宋体"/>
          <w:color w:val="000000"/>
          <w:szCs w:val="21"/>
          <w:highlight w:val="none"/>
          <w:u w:val="single"/>
        </w:rPr>
        <w:t>图纸会审及设计交底后7天内，向监理人、发包人提交经优化完善的施工组织设计和工程总体进度计划及当年年度施工进度计划。进度计划安排必须符合发包人对本工程总体进度计划的安排。专项施工方案应在专项施工7日前通过审查（含专家论证）。施工组织设计和专项施工方案经监理人审批同意后执行。承包人应接受监理人、发包人对其提交的施工组织设计和专项施工方案中不合理的工期安排及技术措施、方案的修改意见，并修改完善后重新报批，直至获得批准</w:t>
      </w:r>
      <w:r>
        <w:rPr>
          <w:rFonts w:hint="eastAsia" w:ascii="宋体" w:hAnsi="宋体" w:cs="宋体"/>
          <w:color w:val="000000"/>
          <w:szCs w:val="21"/>
          <w:highlight w:val="none"/>
        </w:rPr>
        <w:t>。</w:t>
      </w:r>
    </w:p>
    <w:p w14:paraId="28A82165">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（2）</w:t>
      </w:r>
      <w:r>
        <w:rPr>
          <w:rFonts w:hint="eastAsia" w:ascii="宋体" w:hAnsi="宋体"/>
          <w:color w:val="000000"/>
          <w:szCs w:val="21"/>
          <w:highlight w:val="none"/>
          <w:u w:val="single"/>
        </w:rPr>
        <w:t>每月 20 日前报送月工程进度完成报表</w:t>
      </w:r>
      <w:r>
        <w:rPr>
          <w:rFonts w:hint="eastAsia" w:ascii="宋体" w:hAnsi="宋体"/>
          <w:color w:val="000000"/>
          <w:szCs w:val="21"/>
          <w:highlight w:val="none"/>
        </w:rPr>
        <w:t>。</w:t>
      </w:r>
    </w:p>
    <w:p w14:paraId="52E306AD">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（3）合同另有约定的，按照其约定。</w:t>
      </w:r>
    </w:p>
    <w:p w14:paraId="6C890E12">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承包人提供的文件的形式：□采用电子招标的，比价申请文件以电子文档为准，其他文件以书面文件为准；□采用纸质招标的，当书面文件与电子文档不一致的，以书面文件为准。监理人审批承包人文件的期限：</w:t>
      </w:r>
      <w:r>
        <w:rPr>
          <w:rFonts w:hint="eastAsia" w:ascii="宋体" w:hAnsi="宋体" w:cs="宋体"/>
          <w:color w:val="000000"/>
          <w:szCs w:val="21"/>
          <w:highlight w:val="none"/>
          <w:u w:val="single"/>
        </w:rPr>
        <w:t>收到施工组织设计和工程总体进度计划及当年年度施工进度计划后7天内；合同另有约定的，从其约定</w:t>
      </w:r>
      <w:r>
        <w:rPr>
          <w:rFonts w:hint="eastAsia" w:ascii="宋体" w:hAnsi="宋体" w:cs="宋体"/>
          <w:color w:val="000000"/>
          <w:szCs w:val="21"/>
          <w:highlight w:val="none"/>
        </w:rPr>
        <w:t>。</w:t>
      </w:r>
    </w:p>
    <w:p w14:paraId="59DD664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承包人提供的文件的费用：</w:t>
      </w:r>
      <w:r>
        <w:rPr>
          <w:rFonts w:hint="eastAsia" w:ascii="宋体" w:hAnsi="宋体" w:cs="宋体"/>
          <w:color w:val="000000"/>
          <w:szCs w:val="21"/>
          <w:highlight w:val="none"/>
          <w:u w:val="single"/>
        </w:rPr>
        <w:t>由承包人承担</w:t>
      </w:r>
      <w:r>
        <w:rPr>
          <w:rFonts w:hint="eastAsia" w:ascii="宋体" w:hAnsi="宋体" w:cs="宋体"/>
          <w:color w:val="000000"/>
          <w:szCs w:val="21"/>
          <w:highlight w:val="none"/>
        </w:rPr>
        <w:t>。</w:t>
      </w:r>
    </w:p>
    <w:p w14:paraId="03F44278">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发包人审批承包人文件的期限：</w:t>
      </w:r>
      <w:r>
        <w:rPr>
          <w:rFonts w:hint="eastAsia" w:ascii="宋体" w:hAnsi="宋体" w:cs="宋体"/>
          <w:color w:val="000000"/>
          <w:szCs w:val="21"/>
          <w:highlight w:val="none"/>
          <w:u w:val="single"/>
        </w:rPr>
        <w:t>收到后14天内；合同另有约定的，从其约定</w:t>
      </w:r>
      <w:r>
        <w:rPr>
          <w:rFonts w:hint="eastAsia" w:ascii="宋体" w:hAnsi="宋体" w:cs="宋体"/>
          <w:color w:val="000000"/>
          <w:szCs w:val="21"/>
          <w:highlight w:val="none"/>
        </w:rPr>
        <w:t>。</w:t>
      </w:r>
    </w:p>
    <w:p w14:paraId="20105D3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监理人、发包人的修改意见和审批，不免除或减轻承包人对该工作、工程、材料、工程设备等应承担的责任和义务</w:t>
      </w:r>
      <w:r>
        <w:rPr>
          <w:rFonts w:hint="eastAsia" w:ascii="宋体" w:hAnsi="宋体" w:cs="宋体"/>
          <w:color w:val="000000"/>
          <w:szCs w:val="21"/>
          <w:highlight w:val="none"/>
        </w:rPr>
        <w:t>。</w:t>
      </w:r>
    </w:p>
    <w:p w14:paraId="3B8FE7E6">
      <w:pPr>
        <w:pStyle w:val="7"/>
        <w:spacing w:before="0" w:beforeAutospacing="0" w:after="0" w:afterAutospacing="0" w:line="360" w:lineRule="auto"/>
        <w:ind w:left="0" w:leftChars="0" w:firstLine="0" w:firstLineChars="0"/>
        <w:rPr>
          <w:rFonts w:hint="eastAsia"/>
          <w:color w:val="000000"/>
          <w:sz w:val="21"/>
          <w:szCs w:val="21"/>
          <w:highlight w:val="none"/>
        </w:rPr>
      </w:pPr>
      <w:bookmarkStart w:id="206" w:name="_Toc532377326"/>
      <w:r>
        <w:rPr>
          <w:rFonts w:hint="eastAsia"/>
          <w:color w:val="000000"/>
          <w:sz w:val="21"/>
          <w:szCs w:val="21"/>
          <w:highlight w:val="none"/>
        </w:rPr>
        <w:t>1.7 联络</w:t>
      </w:r>
      <w:bookmarkEnd w:id="206"/>
    </w:p>
    <w:p w14:paraId="67856BAA">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1.7.1 发包人和承包人应当在</w:t>
      </w:r>
      <w:r>
        <w:rPr>
          <w:rFonts w:hint="eastAsia" w:ascii="宋体" w:hAnsi="宋体" w:cs="宋体"/>
          <w:color w:val="000000"/>
          <w:szCs w:val="21"/>
          <w:highlight w:val="none"/>
          <w:u w:val="single"/>
        </w:rPr>
        <w:t xml:space="preserve"> 1 </w:t>
      </w:r>
      <w:r>
        <w:rPr>
          <w:rFonts w:hint="eastAsia" w:ascii="宋体" w:hAnsi="宋体" w:cs="宋体"/>
          <w:color w:val="000000"/>
          <w:kern w:val="0"/>
          <w:szCs w:val="21"/>
          <w:highlight w:val="none"/>
        </w:rPr>
        <w:t>天内将与合同有关的通知、批准、证明、证书、指示、指令、要求、请求、同意、意见、确定和决定等书面函件送达对方当事人，并办理书面签收手续。</w:t>
      </w:r>
    </w:p>
    <w:p w14:paraId="7E24AF39">
      <w:pPr>
        <w:tabs>
          <w:tab w:val="left" w:pos="7513"/>
        </w:tabs>
        <w:spacing w:line="360" w:lineRule="auto"/>
        <w:ind w:firstLine="560" w:firstLineChars="200"/>
        <w:jc w:val="left"/>
        <w:rPr>
          <w:rFonts w:ascii="宋体" w:hAnsi="宋体"/>
          <w:color w:val="000000"/>
          <w:kern w:val="0"/>
          <w:szCs w:val="21"/>
          <w:highlight w:val="none"/>
        </w:rPr>
      </w:pPr>
      <w:bookmarkStart w:id="207" w:name="_Toc532377327"/>
      <w:r>
        <w:rPr>
          <w:rFonts w:hint="eastAsia" w:ascii="宋体" w:hAnsi="宋体"/>
          <w:color w:val="000000"/>
          <w:kern w:val="0"/>
          <w:szCs w:val="21"/>
          <w:highlight w:val="none"/>
        </w:rPr>
        <w:t>1.7.2 发包人接收文件地点：</w:t>
      </w:r>
      <w:r>
        <w:rPr>
          <w:rFonts w:ascii="宋体" w:hAnsi="宋体"/>
          <w:color w:val="000000"/>
          <w:kern w:val="0"/>
          <w:szCs w:val="21"/>
          <w:highlight w:val="none"/>
          <w:u w:val="single"/>
        </w:rPr>
        <w:t xml:space="preserve">   </w:t>
      </w:r>
      <w:r>
        <w:rPr>
          <w:rFonts w:hint="eastAsia" w:ascii="宋体" w:hAnsi="宋体"/>
          <w:color w:val="000000"/>
          <w:kern w:val="0"/>
          <w:szCs w:val="21"/>
          <w:highlight w:val="none"/>
          <w:u w:val="single"/>
        </w:rPr>
        <w:t>发包人办公室</w:t>
      </w:r>
      <w:r>
        <w:rPr>
          <w:rFonts w:ascii="宋体" w:hAnsi="宋体"/>
          <w:color w:val="000000"/>
          <w:kern w:val="0"/>
          <w:szCs w:val="21"/>
          <w:highlight w:val="none"/>
          <w:u w:val="single"/>
        </w:rPr>
        <w:t xml:space="preserve">      </w:t>
      </w:r>
      <w:r>
        <w:rPr>
          <w:rFonts w:hint="eastAsia" w:ascii="宋体" w:hAnsi="宋体"/>
          <w:color w:val="000000"/>
          <w:kern w:val="0"/>
          <w:szCs w:val="21"/>
          <w:highlight w:val="none"/>
        </w:rPr>
        <w:t>；</w:t>
      </w:r>
    </w:p>
    <w:p w14:paraId="2E6B2505">
      <w:pPr>
        <w:spacing w:line="360" w:lineRule="auto"/>
        <w:ind w:firstLine="560" w:firstLineChars="200"/>
        <w:jc w:val="left"/>
        <w:rPr>
          <w:rFonts w:ascii="宋体" w:hAnsi="宋体"/>
          <w:color w:val="000000"/>
          <w:kern w:val="0"/>
          <w:szCs w:val="21"/>
          <w:highlight w:val="none"/>
        </w:rPr>
      </w:pPr>
      <w:r>
        <w:rPr>
          <w:rFonts w:hint="eastAsia" w:ascii="宋体" w:hAnsi="宋体"/>
          <w:color w:val="000000"/>
          <w:kern w:val="0"/>
          <w:szCs w:val="21"/>
          <w:highlight w:val="none"/>
        </w:rPr>
        <w:t>发包人指定的接收人：</w:t>
      </w:r>
      <w:bookmarkStart w:id="208" w:name="_Hlk528493983"/>
      <w:bookmarkEnd w:id="208"/>
      <w:r>
        <w:rPr>
          <w:rFonts w:ascii="宋体" w:hAnsi="宋体"/>
          <w:color w:val="000000"/>
          <w:kern w:val="0"/>
          <w:szCs w:val="21"/>
          <w:highlight w:val="none"/>
          <w:u w:val="single"/>
        </w:rPr>
        <w:t xml:space="preserve">     </w:t>
      </w:r>
      <w:r>
        <w:rPr>
          <w:rFonts w:hint="eastAsia" w:ascii="宋体" w:hAnsi="宋体"/>
          <w:color w:val="000000"/>
          <w:kern w:val="0"/>
          <w:szCs w:val="21"/>
          <w:highlight w:val="none"/>
          <w:u w:val="single"/>
        </w:rPr>
        <w:t>发包人代表</w:t>
      </w:r>
      <w:r>
        <w:rPr>
          <w:rFonts w:ascii="宋体" w:hAnsi="宋体"/>
          <w:color w:val="000000"/>
          <w:kern w:val="0"/>
          <w:szCs w:val="21"/>
          <w:highlight w:val="none"/>
          <w:u w:val="single"/>
        </w:rPr>
        <w:t xml:space="preserve">            </w:t>
      </w:r>
      <w:r>
        <w:rPr>
          <w:rFonts w:hint="eastAsia" w:ascii="宋体" w:hAnsi="宋体"/>
          <w:color w:val="000000"/>
          <w:kern w:val="0"/>
          <w:szCs w:val="21"/>
          <w:highlight w:val="none"/>
        </w:rPr>
        <w:t>；</w:t>
      </w:r>
    </w:p>
    <w:p w14:paraId="3C45E0D3">
      <w:pPr>
        <w:tabs>
          <w:tab w:val="left" w:pos="7513"/>
        </w:tabs>
        <w:spacing w:line="360" w:lineRule="auto"/>
        <w:ind w:firstLine="560" w:firstLineChars="200"/>
        <w:jc w:val="left"/>
        <w:rPr>
          <w:rFonts w:ascii="宋体" w:hAnsi="宋体"/>
          <w:color w:val="000000"/>
          <w:kern w:val="0"/>
          <w:szCs w:val="21"/>
          <w:highlight w:val="none"/>
        </w:rPr>
      </w:pPr>
      <w:r>
        <w:rPr>
          <w:rFonts w:hint="eastAsia" w:ascii="宋体" w:hAnsi="宋体"/>
          <w:color w:val="000000"/>
          <w:kern w:val="0"/>
          <w:szCs w:val="21"/>
          <w:highlight w:val="none"/>
        </w:rPr>
        <w:t>承包人接收文件地点：</w:t>
      </w:r>
      <w:r>
        <w:rPr>
          <w:rFonts w:ascii="宋体" w:hAnsi="宋体"/>
          <w:color w:val="000000"/>
          <w:kern w:val="0"/>
          <w:szCs w:val="21"/>
          <w:highlight w:val="none"/>
          <w:u w:val="single"/>
        </w:rPr>
        <w:t xml:space="preserve">       </w:t>
      </w:r>
      <w:r>
        <w:rPr>
          <w:rFonts w:hint="eastAsia" w:ascii="宋体" w:hAnsi="宋体"/>
          <w:color w:val="000000"/>
          <w:kern w:val="0"/>
          <w:szCs w:val="21"/>
          <w:highlight w:val="none"/>
          <w:u w:val="single"/>
        </w:rPr>
        <w:t>工程项目部</w:t>
      </w:r>
      <w:r>
        <w:rPr>
          <w:rFonts w:ascii="宋体" w:hAnsi="宋体"/>
          <w:color w:val="000000"/>
          <w:kern w:val="0"/>
          <w:szCs w:val="21"/>
          <w:highlight w:val="none"/>
          <w:u w:val="single"/>
        </w:rPr>
        <w:t xml:space="preserve">        </w:t>
      </w:r>
      <w:r>
        <w:rPr>
          <w:rFonts w:hint="eastAsia" w:ascii="宋体" w:hAnsi="宋体"/>
          <w:color w:val="000000"/>
          <w:kern w:val="0"/>
          <w:szCs w:val="21"/>
          <w:highlight w:val="none"/>
        </w:rPr>
        <w:t>；</w:t>
      </w:r>
    </w:p>
    <w:p w14:paraId="01B8F292">
      <w:pPr>
        <w:spacing w:line="360" w:lineRule="auto"/>
        <w:ind w:firstLine="560" w:firstLineChars="200"/>
        <w:jc w:val="left"/>
        <w:rPr>
          <w:rFonts w:ascii="宋体" w:hAnsi="宋体"/>
          <w:color w:val="000000"/>
          <w:kern w:val="0"/>
          <w:szCs w:val="21"/>
          <w:highlight w:val="none"/>
        </w:rPr>
      </w:pPr>
      <w:r>
        <w:rPr>
          <w:rFonts w:hint="eastAsia" w:ascii="宋体" w:hAnsi="宋体"/>
          <w:color w:val="000000"/>
          <w:kern w:val="0"/>
          <w:szCs w:val="21"/>
          <w:highlight w:val="none"/>
        </w:rPr>
        <w:t>承包人指定的接收人：</w:t>
      </w:r>
      <w:r>
        <w:rPr>
          <w:rFonts w:ascii="宋体" w:hAnsi="宋体"/>
          <w:color w:val="000000"/>
          <w:kern w:val="0"/>
          <w:szCs w:val="21"/>
          <w:highlight w:val="none"/>
          <w:u w:val="single"/>
        </w:rPr>
        <w:t xml:space="preserve">      </w:t>
      </w:r>
      <w:r>
        <w:rPr>
          <w:rFonts w:hint="eastAsia" w:ascii="宋体" w:hAnsi="宋体"/>
          <w:color w:val="000000"/>
          <w:kern w:val="0"/>
          <w:szCs w:val="21"/>
          <w:highlight w:val="none"/>
          <w:u w:val="single"/>
        </w:rPr>
        <w:t>承包人项目经理</w:t>
      </w:r>
      <w:r>
        <w:rPr>
          <w:rFonts w:ascii="宋体" w:hAnsi="宋体"/>
          <w:color w:val="000000"/>
          <w:kern w:val="0"/>
          <w:szCs w:val="21"/>
          <w:highlight w:val="none"/>
          <w:u w:val="single"/>
        </w:rPr>
        <w:t xml:space="preserve">         </w:t>
      </w:r>
      <w:r>
        <w:rPr>
          <w:rFonts w:hint="eastAsia" w:ascii="宋体" w:hAnsi="宋体"/>
          <w:color w:val="000000"/>
          <w:kern w:val="0"/>
          <w:szCs w:val="21"/>
          <w:highlight w:val="none"/>
        </w:rPr>
        <w:t>；</w:t>
      </w:r>
    </w:p>
    <w:p w14:paraId="21FAE0A1">
      <w:pPr>
        <w:tabs>
          <w:tab w:val="left" w:pos="7371"/>
        </w:tabs>
        <w:spacing w:line="360" w:lineRule="auto"/>
        <w:ind w:firstLine="560" w:firstLineChars="200"/>
        <w:jc w:val="left"/>
        <w:rPr>
          <w:rFonts w:ascii="宋体" w:hAnsi="宋体"/>
          <w:color w:val="000000"/>
          <w:kern w:val="0"/>
          <w:szCs w:val="21"/>
          <w:highlight w:val="none"/>
        </w:rPr>
      </w:pPr>
      <w:r>
        <w:rPr>
          <w:rFonts w:hint="eastAsia" w:ascii="宋体" w:hAnsi="宋体"/>
          <w:color w:val="000000"/>
          <w:kern w:val="0"/>
          <w:szCs w:val="21"/>
          <w:highlight w:val="none"/>
        </w:rPr>
        <w:t>监理人接收文件地点：</w:t>
      </w:r>
      <w:r>
        <w:rPr>
          <w:rFonts w:ascii="宋体" w:hAnsi="宋体"/>
          <w:color w:val="000000"/>
          <w:kern w:val="0"/>
          <w:szCs w:val="21"/>
          <w:highlight w:val="none"/>
          <w:u w:val="single"/>
        </w:rPr>
        <w:t xml:space="preserve">       </w:t>
      </w:r>
      <w:r>
        <w:rPr>
          <w:rFonts w:hint="eastAsia" w:ascii="宋体" w:hAnsi="宋体"/>
          <w:color w:val="000000"/>
          <w:kern w:val="0"/>
          <w:szCs w:val="21"/>
          <w:highlight w:val="none"/>
          <w:u w:val="single"/>
          <w:lang w:val="en-US" w:eastAsia="zh-CN"/>
        </w:rPr>
        <w:t xml:space="preserve">              </w:t>
      </w:r>
      <w:r>
        <w:rPr>
          <w:rFonts w:ascii="宋体" w:hAnsi="宋体"/>
          <w:color w:val="000000"/>
          <w:kern w:val="0"/>
          <w:szCs w:val="21"/>
          <w:highlight w:val="none"/>
          <w:u w:val="single"/>
        </w:rPr>
        <w:t xml:space="preserve">     </w:t>
      </w:r>
      <w:r>
        <w:rPr>
          <w:rFonts w:hint="eastAsia" w:ascii="宋体" w:hAnsi="宋体"/>
          <w:color w:val="000000"/>
          <w:kern w:val="0"/>
          <w:szCs w:val="21"/>
          <w:highlight w:val="none"/>
        </w:rPr>
        <w:t>；</w:t>
      </w:r>
    </w:p>
    <w:p w14:paraId="2FFFFFB3">
      <w:pPr>
        <w:spacing w:line="360" w:lineRule="auto"/>
        <w:ind w:firstLine="560" w:firstLineChars="200"/>
        <w:jc w:val="left"/>
        <w:rPr>
          <w:rFonts w:ascii="宋体" w:hAnsi="宋体"/>
          <w:color w:val="000000"/>
          <w:kern w:val="0"/>
          <w:szCs w:val="21"/>
          <w:highlight w:val="none"/>
        </w:rPr>
      </w:pPr>
      <w:r>
        <w:rPr>
          <w:rFonts w:hint="eastAsia" w:ascii="宋体" w:hAnsi="宋体"/>
          <w:color w:val="000000"/>
          <w:kern w:val="0"/>
          <w:szCs w:val="21"/>
          <w:highlight w:val="none"/>
        </w:rPr>
        <w:t>监理人指定的接收人：</w:t>
      </w:r>
      <w:r>
        <w:rPr>
          <w:rFonts w:ascii="宋体" w:hAnsi="宋体"/>
          <w:color w:val="000000"/>
          <w:kern w:val="0"/>
          <w:szCs w:val="21"/>
          <w:highlight w:val="none"/>
          <w:u w:val="single"/>
        </w:rPr>
        <w:t xml:space="preserve">     </w:t>
      </w:r>
      <w:r>
        <w:rPr>
          <w:rFonts w:hint="eastAsia" w:ascii="宋体" w:hAnsi="宋体"/>
          <w:color w:val="000000"/>
          <w:kern w:val="0"/>
          <w:szCs w:val="21"/>
          <w:highlight w:val="none"/>
          <w:u w:val="single"/>
          <w:lang w:val="en-US" w:eastAsia="zh-CN"/>
        </w:rPr>
        <w:t xml:space="preserve">                 </w:t>
      </w:r>
      <w:r>
        <w:rPr>
          <w:rFonts w:ascii="宋体" w:hAnsi="宋体"/>
          <w:color w:val="000000"/>
          <w:kern w:val="0"/>
          <w:szCs w:val="21"/>
          <w:highlight w:val="none"/>
          <w:u w:val="single"/>
        </w:rPr>
        <w:t xml:space="preserve">    </w:t>
      </w:r>
      <w:r>
        <w:rPr>
          <w:rFonts w:hint="eastAsia" w:ascii="宋体" w:hAnsi="宋体"/>
          <w:color w:val="000000"/>
          <w:kern w:val="0"/>
          <w:szCs w:val="21"/>
          <w:highlight w:val="none"/>
        </w:rPr>
        <w:t>。</w:t>
      </w:r>
    </w:p>
    <w:p w14:paraId="73334109">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1.8 严禁贿赂</w:t>
      </w:r>
      <w:bookmarkEnd w:id="207"/>
    </w:p>
    <w:p w14:paraId="44254EC9">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本款补充以下内容：</w:t>
      </w:r>
    </w:p>
    <w:p w14:paraId="205C36CB">
      <w:pPr>
        <w:spacing w:line="360" w:lineRule="auto"/>
        <w:ind w:firstLine="560" w:firstLineChars="200"/>
        <w:jc w:val="left"/>
        <w:rPr>
          <w:rFonts w:hint="eastAsia" w:ascii="宋体" w:hAnsi="宋体" w:cs="宋体"/>
          <w:color w:val="000000"/>
          <w:kern w:val="0"/>
          <w:szCs w:val="21"/>
          <w:highlight w:val="none"/>
          <w:u w:val="single"/>
        </w:rPr>
      </w:pPr>
      <w:r>
        <w:rPr>
          <w:rFonts w:hint="eastAsia" w:ascii="宋体" w:hAnsi="宋体" w:cs="宋体"/>
          <w:color w:val="000000"/>
          <w:kern w:val="0"/>
          <w:szCs w:val="21"/>
          <w:highlight w:val="none"/>
        </w:rPr>
        <w:t>在合同执行过程中，合同当事人应严格履行附件8《廉洁从业协议》。</w:t>
      </w:r>
    </w:p>
    <w:p w14:paraId="268E61F9">
      <w:pPr>
        <w:pStyle w:val="7"/>
        <w:spacing w:before="0" w:beforeAutospacing="0" w:after="0" w:afterAutospacing="0" w:line="360" w:lineRule="auto"/>
        <w:ind w:left="0" w:leftChars="0" w:firstLine="0" w:firstLineChars="0"/>
        <w:rPr>
          <w:rFonts w:hint="eastAsia"/>
          <w:color w:val="000000"/>
          <w:sz w:val="21"/>
          <w:szCs w:val="21"/>
          <w:highlight w:val="none"/>
        </w:rPr>
      </w:pPr>
      <w:bookmarkStart w:id="209" w:name="_Toc532377328"/>
      <w:r>
        <w:rPr>
          <w:rFonts w:hint="eastAsia"/>
          <w:color w:val="000000"/>
          <w:sz w:val="21"/>
          <w:szCs w:val="21"/>
          <w:highlight w:val="none"/>
        </w:rPr>
        <w:t>1.10 交通运输</w:t>
      </w:r>
      <w:bookmarkEnd w:id="209"/>
    </w:p>
    <w:p w14:paraId="64062AF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w:t>
      </w:r>
      <w:bookmarkStart w:id="210" w:name="_Toc318581155"/>
      <w:bookmarkStart w:id="211" w:name="_Toc300934943"/>
      <w:bookmarkStart w:id="212" w:name="_Toc304295521"/>
      <w:bookmarkStart w:id="213" w:name="_Toc312677986"/>
      <w:bookmarkStart w:id="214" w:name="_Toc303539100"/>
      <w:r>
        <w:rPr>
          <w:rFonts w:hint="eastAsia" w:ascii="宋体" w:hAnsi="宋体" w:cs="宋体"/>
          <w:color w:val="000000"/>
          <w:szCs w:val="21"/>
          <w:highlight w:val="none"/>
        </w:rPr>
        <w:t>.10.1 出入现场的权利</w:t>
      </w:r>
    </w:p>
    <w:p w14:paraId="51D744B2">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szCs w:val="21"/>
          <w:highlight w:val="none"/>
        </w:rPr>
        <w:t>关于出入现场的权利的约定：</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bookmarkEnd w:id="210"/>
    <w:bookmarkEnd w:id="211"/>
    <w:bookmarkEnd w:id="212"/>
    <w:bookmarkEnd w:id="213"/>
    <w:bookmarkEnd w:id="214"/>
    <w:p w14:paraId="407FBC5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1.10.2 场外交通</w:t>
      </w:r>
    </w:p>
    <w:p w14:paraId="12855DA9">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承包人应遵守有关交通法规，执行有关道路限速、限行、禁止超载的规定，并配合交通管理部门的监督和检查。场外交通以施工场地移交时的现状为准。</w:t>
      </w:r>
    </w:p>
    <w:p w14:paraId="49EE4A1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w:t>
      </w:r>
      <w:bookmarkStart w:id="215" w:name="_Toc300934944"/>
      <w:bookmarkStart w:id="216" w:name="_Toc312677987"/>
      <w:bookmarkStart w:id="217" w:name="_Toc318581156"/>
      <w:bookmarkStart w:id="218" w:name="_Toc304295522"/>
      <w:bookmarkStart w:id="219" w:name="_Toc303539101"/>
      <w:r>
        <w:rPr>
          <w:rFonts w:hint="eastAsia" w:ascii="宋体" w:hAnsi="宋体" w:cs="宋体"/>
          <w:color w:val="000000"/>
          <w:szCs w:val="21"/>
          <w:highlight w:val="none"/>
        </w:rPr>
        <w:t>.10.3 场内交通</w:t>
      </w:r>
    </w:p>
    <w:p w14:paraId="26E604CE">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kern w:val="0"/>
          <w:szCs w:val="21"/>
          <w:highlight w:val="none"/>
        </w:rPr>
        <w:t>关于场外交通和场内交通的边界的约定：</w:t>
      </w:r>
      <w:r>
        <w:rPr>
          <w:rFonts w:hint="eastAsia" w:ascii="宋体" w:hAnsi="宋体" w:cs="宋体"/>
          <w:color w:val="000000"/>
          <w:szCs w:val="21"/>
          <w:highlight w:val="none"/>
          <w:u w:val="single"/>
        </w:rPr>
        <w:t>以合同工程用地红线为界，用地红线外为场外交通，用地红线范围内为场内交通（场外道路穿越场内的除外）</w:t>
      </w:r>
      <w:r>
        <w:rPr>
          <w:rFonts w:hint="eastAsia" w:ascii="宋体" w:hAnsi="宋体" w:cs="宋体"/>
          <w:color w:val="000000"/>
          <w:szCs w:val="21"/>
          <w:highlight w:val="none"/>
        </w:rPr>
        <w:t>。</w:t>
      </w:r>
    </w:p>
    <w:p w14:paraId="5554561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kern w:val="0"/>
          <w:szCs w:val="21"/>
          <w:highlight w:val="none"/>
        </w:rPr>
        <w:t>关于发包人向承包人免费提供满足工程施工需要的场内道路和交通设施的约定：</w:t>
      </w:r>
      <w:r>
        <w:rPr>
          <w:rFonts w:hint="eastAsia" w:ascii="宋体" w:hAnsi="宋体" w:cs="宋体"/>
          <w:color w:val="000000"/>
          <w:kern w:val="0"/>
          <w:szCs w:val="21"/>
          <w:highlight w:val="none"/>
          <w:u w:val="single"/>
        </w:rPr>
        <w:t>以施工场地移交时的现状为准</w:t>
      </w:r>
      <w:r>
        <w:rPr>
          <w:rFonts w:hint="eastAsia" w:ascii="宋体" w:hAnsi="宋体" w:cs="宋体"/>
          <w:color w:val="000000"/>
          <w:szCs w:val="21"/>
          <w:highlight w:val="none"/>
        </w:rPr>
        <w:t>。</w:t>
      </w:r>
    </w:p>
    <w:bookmarkEnd w:id="215"/>
    <w:bookmarkEnd w:id="216"/>
    <w:bookmarkEnd w:id="217"/>
    <w:bookmarkEnd w:id="218"/>
    <w:bookmarkEnd w:id="219"/>
    <w:p w14:paraId="0DBD8650">
      <w:pPr>
        <w:spacing w:line="360" w:lineRule="auto"/>
        <w:ind w:firstLine="560" w:firstLineChars="200"/>
        <w:jc w:val="left"/>
        <w:rPr>
          <w:rFonts w:hint="eastAsia" w:ascii="宋体" w:hAnsi="宋体" w:cs="宋体"/>
          <w:color w:val="000000"/>
          <w:szCs w:val="21"/>
          <w:highlight w:val="none"/>
        </w:rPr>
      </w:pPr>
      <w:bookmarkStart w:id="220" w:name="_Toc318581157"/>
      <w:r>
        <w:rPr>
          <w:rFonts w:hint="eastAsia" w:ascii="宋体" w:hAnsi="宋体" w:cs="宋体"/>
          <w:color w:val="000000"/>
          <w:szCs w:val="21"/>
          <w:highlight w:val="none"/>
        </w:rPr>
        <w:t>1.10.4 超大件和超重件的运输</w:t>
      </w:r>
    </w:p>
    <w:p w14:paraId="42EBAD9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运输超大件或超重件所需的道路和桥梁临时加固改造费用和其他有关费用由</w:t>
      </w:r>
      <w:r>
        <w:rPr>
          <w:rFonts w:hint="eastAsia" w:ascii="宋体" w:hAnsi="宋体" w:cs="宋体"/>
          <w:color w:val="000000"/>
          <w:szCs w:val="21"/>
          <w:highlight w:val="none"/>
          <w:u w:val="single"/>
        </w:rPr>
        <w:t>发包人</w:t>
      </w:r>
      <w:r>
        <w:rPr>
          <w:rFonts w:hint="eastAsia" w:ascii="宋体" w:hAnsi="宋体" w:cs="宋体"/>
          <w:color w:val="000000"/>
          <w:szCs w:val="21"/>
          <w:highlight w:val="none"/>
        </w:rPr>
        <w:t>承担。</w:t>
      </w:r>
    </w:p>
    <w:bookmarkEnd w:id="220"/>
    <w:p w14:paraId="5C1A38A3">
      <w:pPr>
        <w:pStyle w:val="7"/>
        <w:spacing w:before="0" w:beforeAutospacing="0" w:after="0" w:afterAutospacing="0" w:line="360" w:lineRule="auto"/>
        <w:ind w:left="0" w:leftChars="0" w:firstLine="0" w:firstLineChars="0"/>
        <w:rPr>
          <w:rFonts w:hint="eastAsia"/>
          <w:color w:val="000000"/>
          <w:sz w:val="21"/>
          <w:szCs w:val="21"/>
          <w:highlight w:val="none"/>
        </w:rPr>
      </w:pPr>
      <w:bookmarkStart w:id="221" w:name="_Toc532377329"/>
      <w:r>
        <w:rPr>
          <w:rFonts w:hint="eastAsia"/>
          <w:color w:val="000000"/>
          <w:sz w:val="21"/>
          <w:szCs w:val="21"/>
          <w:highlight w:val="none"/>
        </w:rPr>
        <w:t>1.11 知识产权</w:t>
      </w:r>
      <w:bookmarkEnd w:id="221"/>
    </w:p>
    <w:p w14:paraId="0CD8DCE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000000"/>
          <w:szCs w:val="21"/>
          <w:highlight w:val="none"/>
          <w:u w:val="single"/>
        </w:rPr>
        <w:t>属于发包人</w:t>
      </w:r>
      <w:r>
        <w:rPr>
          <w:rFonts w:hint="eastAsia" w:ascii="宋体" w:hAnsi="宋体" w:cs="宋体"/>
          <w:color w:val="000000"/>
          <w:szCs w:val="21"/>
          <w:highlight w:val="none"/>
        </w:rPr>
        <w:t>。</w:t>
      </w:r>
    </w:p>
    <w:p w14:paraId="6297759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关于发包人提供的上述文件的使用限制的要求：</w:t>
      </w:r>
      <w:r>
        <w:rPr>
          <w:rFonts w:hint="eastAsia" w:ascii="宋体" w:hAnsi="宋体" w:cs="宋体"/>
          <w:color w:val="000000"/>
          <w:szCs w:val="21"/>
          <w:highlight w:val="none"/>
          <w:u w:val="single"/>
        </w:rPr>
        <w:t>按通用合同条款执行</w:t>
      </w:r>
      <w:r>
        <w:rPr>
          <w:rFonts w:hint="eastAsia" w:ascii="宋体" w:hAnsi="宋体" w:cs="宋体"/>
          <w:color w:val="000000"/>
          <w:szCs w:val="21"/>
          <w:highlight w:val="none"/>
        </w:rPr>
        <w:t>。</w:t>
      </w:r>
    </w:p>
    <w:p w14:paraId="053D32A0">
      <w:pPr>
        <w:spacing w:line="360" w:lineRule="auto"/>
        <w:ind w:firstLine="560" w:firstLineChars="200"/>
        <w:jc w:val="left"/>
        <w:rPr>
          <w:rFonts w:ascii="宋体" w:hAnsi="宋体"/>
          <w:color w:val="000000"/>
          <w:szCs w:val="21"/>
          <w:highlight w:val="none"/>
        </w:rPr>
      </w:pPr>
      <w:bookmarkStart w:id="222" w:name="_Toc532377330"/>
      <w:r>
        <w:rPr>
          <w:rFonts w:hint="eastAsia" w:ascii="宋体" w:hAnsi="宋体"/>
          <w:color w:val="000000"/>
          <w:szCs w:val="21"/>
          <w:highlight w:val="none"/>
        </w:rPr>
        <w:t>1.11.4 承包人在施工过程中所采用的专利、专有技术、技术秘密的使用费的承担方式：</w:t>
      </w:r>
      <w:r>
        <w:rPr>
          <w:rFonts w:hint="eastAsia" w:ascii="宋体" w:hAnsi="宋体"/>
          <w:color w:val="000000"/>
          <w:szCs w:val="21"/>
          <w:highlight w:val="none"/>
          <w:u w:val="single"/>
        </w:rPr>
        <w:t xml:space="preserve"> </w:t>
      </w:r>
      <w:r>
        <w:rPr>
          <w:rFonts w:hint="eastAsia" w:ascii="宋体" w:hAnsi="宋体" w:cs="宋体"/>
          <w:color w:val="000000"/>
          <w:kern w:val="0"/>
          <w:szCs w:val="21"/>
          <w:highlight w:val="none"/>
          <w:u w:val="single"/>
        </w:rPr>
        <w:t xml:space="preserve">承包人自行承担 </w:t>
      </w:r>
      <w:r>
        <w:rPr>
          <w:rFonts w:hint="eastAsia" w:ascii="宋体" w:hAnsi="宋体"/>
          <w:color w:val="000000"/>
          <w:szCs w:val="21"/>
          <w:highlight w:val="none"/>
        </w:rPr>
        <w:t>。</w:t>
      </w:r>
    </w:p>
    <w:p w14:paraId="5C726876">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1.13工程量清单错误的修正</w:t>
      </w:r>
      <w:bookmarkEnd w:id="222"/>
    </w:p>
    <w:p w14:paraId="07FFE5BA">
      <w:pPr>
        <w:spacing w:line="360" w:lineRule="auto"/>
        <w:ind w:firstLine="560" w:firstLineChars="200"/>
        <w:jc w:val="left"/>
        <w:rPr>
          <w:rFonts w:ascii="宋体" w:hAnsi="宋体"/>
          <w:color w:val="000000"/>
          <w:szCs w:val="21"/>
          <w:highlight w:val="none"/>
        </w:rPr>
      </w:pPr>
      <w:bookmarkStart w:id="223" w:name="_Toc20795"/>
      <w:bookmarkStart w:id="224" w:name="_Toc532375609"/>
      <w:bookmarkStart w:id="225" w:name="_Toc351203634"/>
      <w:bookmarkStart w:id="226" w:name="_Toc532377331"/>
      <w:r>
        <w:rPr>
          <w:rFonts w:hint="eastAsia" w:ascii="宋体" w:hAnsi="宋体"/>
          <w:color w:val="000000"/>
          <w:szCs w:val="21"/>
          <w:highlight w:val="none"/>
        </w:rPr>
        <w:t>出现工程量清单错误时，责任和权利划分：</w:t>
      </w:r>
      <w:r>
        <w:rPr>
          <w:rFonts w:hint="eastAsia" w:ascii="宋体" w:hAnsi="宋体"/>
          <w:color w:val="000000"/>
          <w:szCs w:val="21"/>
          <w:highlight w:val="none"/>
          <w:u w:val="single"/>
        </w:rPr>
        <w:t xml:space="preserve">    /    </w:t>
      </w:r>
      <w:r>
        <w:rPr>
          <w:rFonts w:hint="eastAsia" w:ascii="宋体" w:hAnsi="宋体"/>
          <w:color w:val="000000"/>
          <w:szCs w:val="21"/>
          <w:highlight w:val="none"/>
        </w:rPr>
        <w:t>。</w:t>
      </w:r>
    </w:p>
    <w:p w14:paraId="17AC61E1">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出现工程量清单错误时，是否调整合同价格：</w:t>
      </w:r>
      <w:r>
        <w:rPr>
          <w:rFonts w:hint="eastAsia" w:ascii="宋体" w:hAnsi="宋体"/>
          <w:color w:val="000000"/>
          <w:szCs w:val="21"/>
          <w:highlight w:val="none"/>
          <w:u w:val="single"/>
        </w:rPr>
        <w:t xml:space="preserve">   </w:t>
      </w:r>
      <w:r>
        <w:rPr>
          <w:rFonts w:ascii="宋体" w:hAnsi="宋体" w:cs="宋体"/>
          <w:color w:val="000000"/>
          <w:spacing w:val="-4"/>
          <w:szCs w:val="21"/>
          <w:highlight w:val="none"/>
          <w:u w:val="single"/>
        </w:rPr>
        <w:t xml:space="preserve">  </w:t>
      </w:r>
      <w:r>
        <w:rPr>
          <w:rFonts w:hint="eastAsia" w:ascii="宋体" w:hAnsi="宋体"/>
          <w:color w:val="000000"/>
          <w:szCs w:val="21"/>
          <w:highlight w:val="none"/>
          <w:u w:val="single"/>
        </w:rPr>
        <w:t xml:space="preserve">    </w:t>
      </w:r>
      <w:r>
        <w:rPr>
          <w:rFonts w:hint="eastAsia" w:ascii="宋体" w:hAnsi="宋体"/>
          <w:color w:val="000000"/>
          <w:kern w:val="0"/>
          <w:szCs w:val="21"/>
          <w:highlight w:val="none"/>
        </w:rPr>
        <w:t>。</w:t>
      </w:r>
    </w:p>
    <w:p w14:paraId="2070B0DF">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允许调整合同价格的工程量偏差范围：</w:t>
      </w:r>
      <w:r>
        <w:rPr>
          <w:rFonts w:hint="eastAsia" w:ascii="宋体" w:hAnsi="宋体"/>
          <w:color w:val="000000"/>
          <w:szCs w:val="21"/>
          <w:highlight w:val="none"/>
          <w:u w:val="single"/>
        </w:rPr>
        <w:t xml:space="preserve">   </w:t>
      </w:r>
      <w:r>
        <w:rPr>
          <w:rFonts w:ascii="宋体" w:hAnsi="宋体" w:cs="宋体"/>
          <w:color w:val="000000"/>
          <w:spacing w:val="-4"/>
          <w:szCs w:val="21"/>
          <w:highlight w:val="none"/>
          <w:u w:val="single"/>
        </w:rPr>
        <w:t xml:space="preserve"> </w:t>
      </w:r>
      <w:r>
        <w:rPr>
          <w:rFonts w:hint="eastAsia" w:ascii="宋体" w:hAnsi="宋体" w:cs="宋体"/>
          <w:color w:val="000000"/>
          <w:spacing w:val="-4"/>
          <w:szCs w:val="21"/>
          <w:highlight w:val="none"/>
          <w:u w:val="single"/>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rPr>
        <w:t>。</w:t>
      </w:r>
    </w:p>
    <w:p w14:paraId="2152E1CB">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r>
        <w:rPr>
          <w:rFonts w:hint="eastAsia"/>
          <w:color w:val="000000"/>
          <w:kern w:val="2"/>
          <w:sz w:val="21"/>
          <w:szCs w:val="21"/>
          <w:highlight w:val="none"/>
        </w:rPr>
        <w:t>2</w:t>
      </w:r>
      <w:bookmarkStart w:id="227" w:name="_Toc297120457"/>
      <w:bookmarkStart w:id="228" w:name="_Toc296890985"/>
      <w:bookmarkStart w:id="229" w:name="_Toc296346658"/>
      <w:bookmarkStart w:id="230" w:name="_Toc296503157"/>
      <w:bookmarkStart w:id="231" w:name="_Toc296944496"/>
      <w:bookmarkStart w:id="232" w:name="_Toc297048343"/>
      <w:bookmarkStart w:id="233" w:name="_Toc292559362"/>
      <w:bookmarkStart w:id="234" w:name="_Toc296347156"/>
      <w:bookmarkStart w:id="235" w:name="_Toc292559867"/>
      <w:bookmarkStart w:id="236" w:name="_Toc296891197"/>
      <w:r>
        <w:rPr>
          <w:rFonts w:hint="eastAsia"/>
          <w:color w:val="000000"/>
          <w:kern w:val="2"/>
          <w:sz w:val="21"/>
          <w:szCs w:val="21"/>
          <w:highlight w:val="none"/>
        </w:rPr>
        <w:t>. 发包人</w:t>
      </w:r>
      <w:bookmarkEnd w:id="223"/>
      <w:bookmarkEnd w:id="224"/>
      <w:bookmarkEnd w:id="225"/>
      <w:bookmarkEnd w:id="226"/>
    </w:p>
    <w:bookmarkEnd w:id="227"/>
    <w:bookmarkEnd w:id="228"/>
    <w:bookmarkEnd w:id="229"/>
    <w:bookmarkEnd w:id="230"/>
    <w:bookmarkEnd w:id="231"/>
    <w:bookmarkEnd w:id="232"/>
    <w:bookmarkEnd w:id="233"/>
    <w:bookmarkEnd w:id="234"/>
    <w:bookmarkEnd w:id="235"/>
    <w:bookmarkEnd w:id="236"/>
    <w:p w14:paraId="4CDD2C6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2.2.1 发包人代表</w:t>
      </w:r>
    </w:p>
    <w:p w14:paraId="4FA8C56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发包人代表：</w:t>
      </w:r>
    </w:p>
    <w:p w14:paraId="25C000A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姓    名：</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0569BFD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身份证号：</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0C785CB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职    务：</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1C9EF45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联系方式：</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5FD1513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邮    编：</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40FB9DB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发包人对发包人代表的授权范围如下：</w:t>
      </w:r>
      <w:r>
        <w:rPr>
          <w:rFonts w:hint="eastAsia" w:ascii="宋体" w:hAnsi="宋体" w:cs="宋体"/>
          <w:color w:val="000000"/>
          <w:szCs w:val="21"/>
          <w:highlight w:val="none"/>
          <w:u w:val="single"/>
        </w:rPr>
        <w:t>代表发包人对项目建设进行协调、管控、审查，确保安全、质量、环保、进度、成本可控，及时处理项目相关问题，向承包人、监理人等下达各类指令。由发包人授权的，以授权书载明的授权范围为准</w:t>
      </w:r>
      <w:r>
        <w:rPr>
          <w:rFonts w:hint="eastAsia" w:ascii="宋体" w:hAnsi="宋体" w:cs="宋体"/>
          <w:color w:val="000000"/>
          <w:szCs w:val="21"/>
          <w:highlight w:val="none"/>
        </w:rPr>
        <w:t>。</w:t>
      </w:r>
    </w:p>
    <w:p w14:paraId="46BB9F5D">
      <w:pPr>
        <w:pStyle w:val="7"/>
        <w:spacing w:before="0" w:beforeAutospacing="0" w:after="0" w:afterAutospacing="0" w:line="360" w:lineRule="auto"/>
        <w:ind w:left="0" w:leftChars="0" w:firstLine="0" w:firstLineChars="0"/>
        <w:rPr>
          <w:rFonts w:hint="eastAsia"/>
          <w:color w:val="000000"/>
          <w:sz w:val="21"/>
          <w:szCs w:val="21"/>
          <w:highlight w:val="none"/>
        </w:rPr>
      </w:pPr>
      <w:bookmarkStart w:id="237" w:name="_Toc532377332"/>
      <w:r>
        <w:rPr>
          <w:rFonts w:hint="eastAsia"/>
          <w:color w:val="000000"/>
          <w:sz w:val="21"/>
          <w:szCs w:val="21"/>
          <w:highlight w:val="none"/>
        </w:rPr>
        <w:t>2.4 施工现场、施工条件和基础资料的提供</w:t>
      </w:r>
      <w:bookmarkEnd w:id="237"/>
    </w:p>
    <w:p w14:paraId="42AA0A8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2.4.1 提供施工现场</w:t>
      </w:r>
    </w:p>
    <w:p w14:paraId="63A398F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2.4.1.1 提供场地：</w:t>
      </w:r>
    </w:p>
    <w:p w14:paraId="78AC06D5">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施工场地的提供采用以下第</w:t>
      </w:r>
      <w:r>
        <w:rPr>
          <w:rFonts w:hint="eastAsia" w:ascii="宋体" w:hAnsi="宋体"/>
          <w:color w:val="000000"/>
          <w:szCs w:val="21"/>
          <w:highlight w:val="none"/>
          <w:u w:val="single"/>
        </w:rPr>
        <w:t xml:space="preserve">  （1） </w:t>
      </w:r>
      <w:r>
        <w:rPr>
          <w:rFonts w:hint="eastAsia" w:ascii="宋体" w:hAnsi="宋体"/>
          <w:color w:val="000000"/>
          <w:szCs w:val="21"/>
          <w:highlight w:val="none"/>
        </w:rPr>
        <w:t>种方式：</w:t>
      </w:r>
    </w:p>
    <w:p w14:paraId="033E7C2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（1）一次提供全部施工场地：发包人于</w:t>
      </w:r>
      <w:r>
        <w:rPr>
          <w:rFonts w:hint="eastAsia" w:ascii="宋体" w:hAnsi="宋体" w:cs="宋体"/>
          <w:color w:val="000000"/>
          <w:szCs w:val="21"/>
          <w:highlight w:val="none"/>
          <w:u w:val="single"/>
        </w:rPr>
        <w:t>开工</w:t>
      </w:r>
      <w:r>
        <w:rPr>
          <w:rFonts w:hint="eastAsia" w:ascii="宋体" w:hAnsi="宋体" w:cs="宋体"/>
          <w:color w:val="000000"/>
          <w:szCs w:val="21"/>
          <w:highlight w:val="none"/>
        </w:rPr>
        <w:t>前向承包人提供合同工程用地红线范围内的施工场地。</w:t>
      </w:r>
    </w:p>
    <w:p w14:paraId="4FB50C2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（2）分次提供全部施工场地：</w:t>
      </w:r>
      <w:r>
        <w:rPr>
          <w:rFonts w:hint="eastAsia" w:ascii="宋体" w:hAnsi="宋体" w:cs="宋体"/>
          <w:color w:val="000000"/>
          <w:szCs w:val="21"/>
          <w:highlight w:val="none"/>
          <w:u w:val="single"/>
        </w:rPr>
        <w:t>发包人按约定的时间分次向承包人提供合同工程用地红线范围内的施工场地</w:t>
      </w:r>
      <w:r>
        <w:rPr>
          <w:rFonts w:hint="eastAsia" w:ascii="宋体" w:hAnsi="宋体" w:cs="宋体"/>
          <w:color w:val="000000"/>
          <w:szCs w:val="21"/>
          <w:highlight w:val="none"/>
        </w:rPr>
        <w:t>。</w:t>
      </w:r>
    </w:p>
    <w:p w14:paraId="6AEAC51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承包人编制的施工组织计划已充分考虑了施工场地提供的因素</w:t>
      </w:r>
      <w:r>
        <w:rPr>
          <w:rFonts w:hint="eastAsia" w:ascii="宋体" w:hAnsi="宋体" w:cs="宋体"/>
          <w:color w:val="000000"/>
          <w:szCs w:val="21"/>
          <w:highlight w:val="none"/>
        </w:rPr>
        <w:t>。</w:t>
      </w:r>
    </w:p>
    <w:p w14:paraId="7D346D4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施工场地未能按约定提供的，承包人应结合施工场地实际交地情况，优化施工组织计划。施工场地未能按约定提供，影响项目关键线路的，承包人可提交索赔申请，并经监理人、发包人审批后可按约定顺延项目工期，否则工期不予顺延</w:t>
      </w:r>
      <w:r>
        <w:rPr>
          <w:rFonts w:hint="eastAsia" w:ascii="宋体" w:hAnsi="宋体" w:cs="宋体"/>
          <w:color w:val="000000"/>
          <w:szCs w:val="21"/>
          <w:highlight w:val="none"/>
        </w:rPr>
        <w:t>。</w:t>
      </w:r>
    </w:p>
    <w:p w14:paraId="38ABC8D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2.4.2 提供施工条件</w:t>
      </w:r>
    </w:p>
    <w:p w14:paraId="104E6022">
      <w:pPr>
        <w:spacing w:line="360" w:lineRule="auto"/>
        <w:ind w:firstLine="560" w:firstLineChars="200"/>
        <w:jc w:val="left"/>
        <w:rPr>
          <w:rFonts w:ascii="宋体" w:hAnsi="宋体"/>
          <w:color w:val="000000"/>
          <w:szCs w:val="21"/>
          <w:highlight w:val="none"/>
        </w:rPr>
      </w:pPr>
      <w:bookmarkStart w:id="238" w:name="_Toc532377333"/>
      <w:r>
        <w:rPr>
          <w:rFonts w:hint="eastAsia" w:ascii="宋体" w:hAnsi="宋体"/>
          <w:color w:val="000000"/>
          <w:szCs w:val="21"/>
          <w:highlight w:val="none"/>
        </w:rPr>
        <w:t>关于发包人应负责提供施工所需要的条件：</w:t>
      </w:r>
      <w:r>
        <w:rPr>
          <w:rFonts w:hint="eastAsia" w:ascii="宋体" w:hAnsi="宋体" w:cs="宋体"/>
          <w:color w:val="000000"/>
          <w:spacing w:val="-4"/>
          <w:szCs w:val="21"/>
          <w:highlight w:val="none"/>
          <w:u w:val="single"/>
          <w:lang w:val="en-US" w:eastAsia="zh-CN"/>
        </w:rPr>
        <w:t>甲方提供水电等，</w:t>
      </w:r>
      <w:r>
        <w:rPr>
          <w:rFonts w:hint="eastAsia" w:ascii="宋体" w:hAnsi="宋体"/>
          <w:color w:val="000000"/>
          <w:szCs w:val="21"/>
          <w:highlight w:val="none"/>
          <w:u w:val="single"/>
        </w:rPr>
        <w:t>应</w:t>
      </w:r>
      <w:r>
        <w:rPr>
          <w:rFonts w:hint="eastAsia" w:ascii="宋体" w:hAnsi="宋体" w:cs="宋体"/>
          <w:color w:val="000000"/>
          <w:spacing w:val="-4"/>
          <w:szCs w:val="21"/>
          <w:highlight w:val="none"/>
          <w:u w:val="single"/>
          <w:lang w:eastAsia="zh-Hans"/>
        </w:rPr>
        <w:t>达到承包人所需施工条件</w:t>
      </w:r>
      <w:r>
        <w:rPr>
          <w:rFonts w:hint="eastAsia" w:ascii="宋体" w:hAnsi="宋体" w:cs="宋体"/>
          <w:color w:val="000000"/>
          <w:spacing w:val="-4"/>
          <w:szCs w:val="21"/>
          <w:highlight w:val="none"/>
          <w:u w:val="single"/>
          <w:lang w:eastAsia="zh-CN"/>
        </w:rPr>
        <w:t>，</w:t>
      </w:r>
      <w:r>
        <w:rPr>
          <w:rFonts w:hint="eastAsia" w:ascii="宋体" w:hAnsi="宋体"/>
          <w:color w:val="000000"/>
          <w:szCs w:val="21"/>
          <w:highlight w:val="none"/>
        </w:rPr>
        <w:t>。</w:t>
      </w:r>
    </w:p>
    <w:p w14:paraId="6F361360">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2.5 资金来源证明及支付担保</w:t>
      </w:r>
      <w:bookmarkEnd w:id="238"/>
    </w:p>
    <w:p w14:paraId="094CDFDB">
      <w:pPr>
        <w:spacing w:line="360" w:lineRule="auto"/>
        <w:ind w:firstLine="560" w:firstLineChars="200"/>
        <w:jc w:val="left"/>
        <w:rPr>
          <w:rFonts w:ascii="宋体" w:hAnsi="宋体"/>
          <w:color w:val="000000"/>
          <w:szCs w:val="21"/>
          <w:highlight w:val="none"/>
        </w:rPr>
      </w:pPr>
      <w:bookmarkStart w:id="239" w:name="_Toc532375610"/>
      <w:bookmarkStart w:id="240" w:name="_Toc16882"/>
      <w:bookmarkStart w:id="241" w:name="_Toc532377334"/>
      <w:bookmarkStart w:id="242" w:name="_Toc351203635"/>
      <w:r>
        <w:rPr>
          <w:rFonts w:hint="eastAsia" w:ascii="宋体" w:hAnsi="宋体"/>
          <w:color w:val="000000"/>
          <w:szCs w:val="21"/>
          <w:highlight w:val="none"/>
        </w:rPr>
        <w:t>发包人提供资金来源证明的期限要求：</w:t>
      </w:r>
      <w:r>
        <w:rPr>
          <w:rFonts w:hint="eastAsia" w:ascii="宋体" w:hAnsi="宋体"/>
          <w:color w:val="000000"/>
          <w:szCs w:val="21"/>
          <w:highlight w:val="none"/>
          <w:u w:val="single"/>
        </w:rPr>
        <w:t>不采用</w:t>
      </w:r>
      <w:r>
        <w:rPr>
          <w:rFonts w:hint="eastAsia" w:ascii="宋体" w:hAnsi="宋体"/>
          <w:color w:val="000000"/>
          <w:szCs w:val="21"/>
          <w:highlight w:val="none"/>
        </w:rPr>
        <w:t>。</w:t>
      </w:r>
    </w:p>
    <w:p w14:paraId="043A0561">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发包人是否提供支付担保：</w:t>
      </w:r>
      <w:r>
        <w:rPr>
          <w:rFonts w:hint="eastAsia" w:ascii="宋体" w:hAnsi="宋体"/>
          <w:color w:val="000000"/>
          <w:szCs w:val="21"/>
          <w:highlight w:val="none"/>
          <w:u w:val="single"/>
        </w:rPr>
        <w:t>不提供。</w:t>
      </w:r>
    </w:p>
    <w:p w14:paraId="2946E99F">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支付担保的形式：</w:t>
      </w:r>
      <w:r>
        <w:rPr>
          <w:rFonts w:hint="eastAsia" w:ascii="宋体" w:hAnsi="宋体"/>
          <w:color w:val="000000"/>
          <w:szCs w:val="21"/>
          <w:highlight w:val="none"/>
          <w:u w:val="single"/>
        </w:rPr>
        <w:t xml:space="preserve"> / </w:t>
      </w:r>
      <w:r>
        <w:rPr>
          <w:rFonts w:hint="eastAsia" w:ascii="宋体" w:hAnsi="宋体"/>
          <w:color w:val="000000"/>
          <w:szCs w:val="21"/>
          <w:highlight w:val="none"/>
        </w:rPr>
        <w:t>。</w:t>
      </w:r>
    </w:p>
    <w:p w14:paraId="56434453">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支付担保的金额：</w:t>
      </w:r>
      <w:r>
        <w:rPr>
          <w:rFonts w:hint="eastAsia" w:ascii="宋体" w:hAnsi="宋体"/>
          <w:color w:val="000000"/>
          <w:szCs w:val="21"/>
          <w:highlight w:val="none"/>
          <w:u w:val="single"/>
        </w:rPr>
        <w:t xml:space="preserve">   / </w:t>
      </w:r>
      <w:r>
        <w:rPr>
          <w:rFonts w:hint="eastAsia" w:ascii="宋体" w:hAnsi="宋体"/>
          <w:color w:val="000000"/>
          <w:szCs w:val="21"/>
          <w:highlight w:val="none"/>
        </w:rPr>
        <w:t>。</w:t>
      </w:r>
    </w:p>
    <w:p w14:paraId="00F30211">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支付担保的时间：</w:t>
      </w:r>
      <w:r>
        <w:rPr>
          <w:rFonts w:hint="eastAsia" w:ascii="宋体" w:hAnsi="宋体"/>
          <w:color w:val="000000"/>
          <w:szCs w:val="21"/>
          <w:highlight w:val="none"/>
          <w:u w:val="single"/>
        </w:rPr>
        <w:t xml:space="preserve">    /    </w:t>
      </w:r>
      <w:r>
        <w:rPr>
          <w:rFonts w:hint="eastAsia" w:ascii="宋体" w:hAnsi="宋体"/>
          <w:color w:val="000000"/>
          <w:szCs w:val="21"/>
          <w:highlight w:val="none"/>
        </w:rPr>
        <w:t>。</w:t>
      </w:r>
    </w:p>
    <w:p w14:paraId="569C6A02">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支付担保的期限：</w:t>
      </w:r>
      <w:r>
        <w:rPr>
          <w:rFonts w:hint="eastAsia" w:ascii="宋体" w:hAnsi="宋体"/>
          <w:color w:val="000000"/>
          <w:szCs w:val="21"/>
          <w:highlight w:val="none"/>
          <w:u w:val="single"/>
        </w:rPr>
        <w:t xml:space="preserve">      /  </w:t>
      </w:r>
      <w:r>
        <w:rPr>
          <w:rFonts w:hint="eastAsia" w:ascii="宋体" w:hAnsi="宋体"/>
          <w:color w:val="000000"/>
          <w:szCs w:val="21"/>
          <w:highlight w:val="none"/>
        </w:rPr>
        <w:t>。</w:t>
      </w:r>
    </w:p>
    <w:p w14:paraId="05DE3FE4">
      <w:pPr>
        <w:spacing w:line="360" w:lineRule="auto"/>
        <w:ind w:firstLine="560" w:firstLineChars="200"/>
        <w:jc w:val="left"/>
        <w:rPr>
          <w:rFonts w:hint="eastAsia" w:ascii="宋体" w:hAnsi="宋体"/>
          <w:color w:val="000000"/>
          <w:szCs w:val="21"/>
          <w:highlight w:val="none"/>
        </w:rPr>
      </w:pPr>
      <w:r>
        <w:rPr>
          <w:rFonts w:hint="eastAsia" w:ascii="宋体" w:hAnsi="宋体"/>
          <w:color w:val="000000"/>
          <w:szCs w:val="21"/>
          <w:highlight w:val="none"/>
        </w:rPr>
        <w:t>支付担保的退还时间：</w:t>
      </w:r>
      <w:r>
        <w:rPr>
          <w:rFonts w:hint="eastAsia" w:ascii="宋体" w:hAnsi="宋体"/>
          <w:color w:val="000000"/>
          <w:szCs w:val="21"/>
          <w:highlight w:val="none"/>
          <w:u w:val="single"/>
        </w:rPr>
        <w:t xml:space="preserve">   /     </w:t>
      </w:r>
      <w:r>
        <w:rPr>
          <w:rFonts w:hint="eastAsia" w:ascii="宋体" w:hAnsi="宋体"/>
          <w:color w:val="000000"/>
          <w:szCs w:val="21"/>
          <w:highlight w:val="none"/>
        </w:rPr>
        <w:t>。</w:t>
      </w:r>
    </w:p>
    <w:p w14:paraId="232B7E6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w:t>
      </w:r>
      <w:bookmarkStart w:id="243" w:name="_Toc292559868"/>
      <w:bookmarkStart w:id="244" w:name="_Toc296890986"/>
      <w:bookmarkStart w:id="245" w:name="_Toc297048344"/>
      <w:bookmarkStart w:id="246" w:name="_Toc296346659"/>
      <w:bookmarkStart w:id="247" w:name="_Toc296944497"/>
      <w:bookmarkStart w:id="248" w:name="_Toc297120458"/>
      <w:bookmarkStart w:id="249" w:name="_Toc292559363"/>
      <w:bookmarkStart w:id="250" w:name="_Toc296891198"/>
      <w:bookmarkStart w:id="251" w:name="_Toc296503158"/>
      <w:bookmarkStart w:id="252" w:name="_Toc296347157"/>
      <w:r>
        <w:rPr>
          <w:rFonts w:hint="eastAsia" w:ascii="宋体" w:hAnsi="宋体" w:cs="宋体"/>
          <w:color w:val="000000"/>
          <w:szCs w:val="21"/>
          <w:highlight w:val="none"/>
        </w:rPr>
        <w:t>. 承包人</w:t>
      </w:r>
      <w:bookmarkEnd w:id="239"/>
      <w:bookmarkEnd w:id="240"/>
      <w:bookmarkEnd w:id="241"/>
      <w:bookmarkEnd w:id="242"/>
    </w:p>
    <w:bookmarkEnd w:id="243"/>
    <w:bookmarkEnd w:id="244"/>
    <w:bookmarkEnd w:id="245"/>
    <w:bookmarkEnd w:id="246"/>
    <w:bookmarkEnd w:id="247"/>
    <w:bookmarkEnd w:id="248"/>
    <w:bookmarkEnd w:id="249"/>
    <w:bookmarkEnd w:id="250"/>
    <w:bookmarkEnd w:id="251"/>
    <w:bookmarkEnd w:id="252"/>
    <w:p w14:paraId="3E620FC7">
      <w:pPr>
        <w:pStyle w:val="7"/>
        <w:spacing w:before="0" w:beforeAutospacing="0" w:after="0" w:afterAutospacing="0" w:line="360" w:lineRule="auto"/>
        <w:ind w:left="0" w:leftChars="0" w:firstLine="0" w:firstLineChars="0"/>
        <w:rPr>
          <w:rFonts w:hint="eastAsia"/>
          <w:color w:val="000000"/>
          <w:sz w:val="21"/>
          <w:szCs w:val="21"/>
          <w:highlight w:val="none"/>
        </w:rPr>
      </w:pPr>
      <w:bookmarkStart w:id="253" w:name="_Toc532377335"/>
      <w:r>
        <w:rPr>
          <w:rFonts w:hint="eastAsia"/>
          <w:color w:val="000000"/>
          <w:sz w:val="21"/>
          <w:szCs w:val="21"/>
          <w:highlight w:val="none"/>
        </w:rPr>
        <w:t>3.1 承包人的一般义务</w:t>
      </w:r>
      <w:bookmarkEnd w:id="253"/>
    </w:p>
    <w:p w14:paraId="49538AB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本款细化为3.1.1～3.1.10项：</w:t>
      </w:r>
    </w:p>
    <w:p w14:paraId="5FE0486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3.1.1办理法律规定和合同约定应由承包人办理的许可和批准，并将办理结果书面报送发包人留存；协助发包人办理施工所需的工程质量监督、安全监督、施工许可证等相关证件及手续。</w:t>
      </w:r>
    </w:p>
    <w:p w14:paraId="70949C3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3.1.2按法律规定和合同约定完成工程，包括满足合同所必需的或合同隐含的以及由承包人义务而产生的任何工程，还应包括合同根据相关法律法规、技术规范等对工程的稳定性、完整性或安全、可靠、有效运行所必需的所有工程，并在保修期内承担保修义务。</w:t>
      </w:r>
    </w:p>
    <w:p w14:paraId="46F3F51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3.1.3按法律规定和合同约定采取施工安全和环境保护措施，办理工伤保险，确保工程及人员、材料、设备和设施的安全。施工期间，承包人应避免因施工危及红线范围外的邻近道路、建筑安全；应注意做好对周边建（构）筑物、绿化、设施设备的保护，做好围挡、监测以及安全防护，采取有效的防尘及降低噪声的措施，减小施工噪音及污水等对周边环境的影响包括对居民生活、工作、生产和经营等的影响；对不实施拆迁的建、构筑物应采取保护措施，并保证既有道路的正常通行。</w:t>
      </w:r>
    </w:p>
    <w:p w14:paraId="0772CC9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3.1.4按合同约定的工作内容和施工进度要求，编制施工组织设计和施工措施计划，并对所有施工作业和施工方法的完备性和安全可靠性负责。施工组织设计中的措施保障水平应满足工程按合同进度实施的需要，且不得低于投标时施工组织设计的措施保障水平。</w:t>
      </w:r>
    </w:p>
    <w:p w14:paraId="2C54C44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690F942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3.1.6按照第6.3款〔环境保护〕约定负责施工场地及其周边环境与生态的保护工作。</w:t>
      </w:r>
    </w:p>
    <w:p w14:paraId="7B4FB43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3.1.7按照第6.1款〔安全文明施工〕约定采取施工安全措施，确保工程及其人员、材料、设备和设施的安全，防止因工程施工造成的人身伤害和财产损失。</w:t>
      </w:r>
    </w:p>
    <w:p w14:paraId="6219849C">
      <w:pPr>
        <w:autoSpaceDE w:val="0"/>
        <w:autoSpaceDN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3.1.8将发包人按合同约定支付的各项价款专用于合同工程，且应及时支付其雇用人员工资，并及时向分包人支付合同价款。</w:t>
      </w:r>
    </w:p>
    <w:p w14:paraId="21DF75AA">
      <w:pPr>
        <w:autoSpaceDE w:val="0"/>
        <w:autoSpaceDN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3.1.9承包人提交的竣工资料的内容：</w:t>
      </w:r>
      <w:r>
        <w:rPr>
          <w:rFonts w:hint="eastAsia" w:ascii="宋体" w:hAnsi="宋体" w:cs="宋体"/>
          <w:color w:val="000000"/>
          <w:szCs w:val="21"/>
          <w:highlight w:val="none"/>
          <w:u w:val="single"/>
        </w:rPr>
        <w:t>工程施工技术资料、工程质量保证资料、工程检验评定资料、竣工图及其他应交资料，应符合《建设工程文件归档整理规范》（GB/T50328-2014）和重庆市有关文件规定</w:t>
      </w:r>
      <w:r>
        <w:rPr>
          <w:rFonts w:hint="eastAsia" w:ascii="宋体" w:hAnsi="宋体" w:cs="宋体"/>
          <w:color w:val="000000"/>
          <w:szCs w:val="21"/>
          <w:highlight w:val="none"/>
        </w:rPr>
        <w:t>。</w:t>
      </w:r>
    </w:p>
    <w:p w14:paraId="5A1C9C0A">
      <w:pPr>
        <w:autoSpaceDE w:val="0"/>
        <w:autoSpaceDN w:val="0"/>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承包人需要提交的竣工资料套数：完整竣工资料一式</w:t>
      </w:r>
      <w:r>
        <w:rPr>
          <w:rFonts w:hint="eastAsia" w:ascii="宋体" w:hAnsi="宋体"/>
          <w:color w:val="000000"/>
          <w:szCs w:val="21"/>
          <w:highlight w:val="none"/>
          <w:u w:val="single"/>
        </w:rPr>
        <w:t xml:space="preserve">  6  </w:t>
      </w:r>
      <w:r>
        <w:rPr>
          <w:rFonts w:hint="eastAsia" w:ascii="宋体" w:hAnsi="宋体"/>
          <w:color w:val="000000"/>
          <w:szCs w:val="21"/>
          <w:highlight w:val="none"/>
        </w:rPr>
        <w:t>套（含电子文档）。</w:t>
      </w:r>
    </w:p>
    <w:p w14:paraId="5B00655C">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承包人提交的竣工资料的费用承担：</w:t>
      </w:r>
      <w:r>
        <w:rPr>
          <w:rFonts w:hint="eastAsia" w:ascii="宋体" w:hAnsi="宋体"/>
          <w:color w:val="000000"/>
          <w:szCs w:val="21"/>
          <w:highlight w:val="none"/>
          <w:u w:val="single"/>
        </w:rPr>
        <w:t>由承包人承担</w:t>
      </w:r>
      <w:r>
        <w:rPr>
          <w:rFonts w:hint="eastAsia" w:ascii="宋体" w:hAnsi="宋体"/>
          <w:color w:val="000000"/>
          <w:szCs w:val="21"/>
          <w:highlight w:val="none"/>
        </w:rPr>
        <w:t>。</w:t>
      </w:r>
    </w:p>
    <w:p w14:paraId="3084AE07">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承包人提交的竣工资料移交时间：</w:t>
      </w:r>
      <w:r>
        <w:rPr>
          <w:rFonts w:hint="eastAsia" w:ascii="宋体" w:hAnsi="宋体"/>
          <w:color w:val="000000"/>
          <w:szCs w:val="21"/>
          <w:highlight w:val="none"/>
          <w:u w:val="single"/>
        </w:rPr>
        <w:t>工程竣工验收合格后 1 个月内移交给发包人</w:t>
      </w:r>
      <w:r>
        <w:rPr>
          <w:rFonts w:hint="eastAsia" w:ascii="宋体" w:hAnsi="宋体"/>
          <w:color w:val="000000"/>
          <w:szCs w:val="21"/>
          <w:highlight w:val="none"/>
        </w:rPr>
        <w:t>。</w:t>
      </w:r>
    </w:p>
    <w:p w14:paraId="0797D755">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承包人提交的竣工资料形式要求：</w:t>
      </w:r>
      <w:r>
        <w:rPr>
          <w:rFonts w:hint="eastAsia" w:ascii="宋体" w:hAnsi="宋体"/>
          <w:color w:val="000000"/>
          <w:szCs w:val="21"/>
          <w:highlight w:val="none"/>
          <w:u w:val="single"/>
        </w:rPr>
        <w:t>完整的书面文件及电子文档</w:t>
      </w:r>
      <w:r>
        <w:rPr>
          <w:rFonts w:hint="eastAsia" w:ascii="宋体" w:hAnsi="宋体"/>
          <w:color w:val="000000"/>
          <w:szCs w:val="21"/>
          <w:highlight w:val="none"/>
        </w:rPr>
        <w:t>。</w:t>
      </w:r>
    </w:p>
    <w:p w14:paraId="5CD57E8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3.1.10承包人应履行的其他义务：</w:t>
      </w:r>
    </w:p>
    <w:p w14:paraId="007A983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3.1.10.1在开始施工之前，承包人应核查、复测本工程的各种基准标志。承包人应及时将上述基准标志中存在的错误、不完整或其他缺陷通知发包人，以便发包人核实后重新确认。</w:t>
      </w:r>
    </w:p>
    <w:p w14:paraId="26B438F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3.1.10.2承包人应负责合同工程范围内测量控制网的测量设定和管理工作，为控制施工造成测量控制网误差累加，每月承包人复测一次测量控制网，并将修正数据及时通知发包人。经监理人批准，其他相关承包人可免费使用施工控制网。</w:t>
      </w:r>
    </w:p>
    <w:p w14:paraId="28C7D57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3.1.10.3承包人应在开始施工之前对本工程进行排查，补充完善遗漏的危大工程重点部位及环节。危大工程施工前，承包人应对危大工程编制专项施工方案，对于超过一定规模的危大工程，承包人还应组织召开专家论证会对专项施工方案进行论证，通过后方可实施。</w:t>
      </w:r>
    </w:p>
    <w:p w14:paraId="7983A02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3.1.10.4承包人应服从发包人要求的管理模式、工作方式和工作要求，同时接受监理人、跟审单位的管理和全程监督，配合项目结、决算的办理。</w:t>
      </w:r>
    </w:p>
    <w:p w14:paraId="5752803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3.1.10.5</w:t>
      </w:r>
      <w:r>
        <w:rPr>
          <w:rFonts w:hint="eastAsia" w:ascii="宋体" w:hAnsi="宋体" w:cs="宋体"/>
          <w:color w:val="000000"/>
          <w:szCs w:val="21"/>
          <w:highlight w:val="none"/>
          <w:u w:val="single"/>
        </w:rPr>
        <w:t>承包人应为本工程开立专用账户，接受发包人的监管</w:t>
      </w:r>
      <w:r>
        <w:rPr>
          <w:rFonts w:hint="eastAsia" w:ascii="宋体" w:hAnsi="宋体" w:cs="宋体"/>
          <w:color w:val="000000"/>
          <w:szCs w:val="21"/>
          <w:highlight w:val="none"/>
        </w:rPr>
        <w:t>。</w:t>
      </w:r>
    </w:p>
    <w:p w14:paraId="530B8F31">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3.1.10.6</w:t>
      </w:r>
      <w:r>
        <w:rPr>
          <w:rFonts w:hint="eastAsia" w:ascii="宋体" w:hAnsi="宋体" w:cs="宋体"/>
          <w:color w:val="000000"/>
          <w:szCs w:val="21"/>
          <w:highlight w:val="none"/>
          <w:u w:val="single"/>
        </w:rPr>
        <w:t xml:space="preserve">        。</w:t>
      </w:r>
    </w:p>
    <w:p w14:paraId="63BC5CB3">
      <w:pPr>
        <w:pStyle w:val="7"/>
        <w:spacing w:before="0" w:beforeAutospacing="0" w:after="0" w:afterAutospacing="0" w:line="360" w:lineRule="auto"/>
        <w:ind w:left="0" w:leftChars="0" w:firstLine="0" w:firstLineChars="0"/>
        <w:rPr>
          <w:rFonts w:hint="eastAsia"/>
          <w:color w:val="000000"/>
          <w:sz w:val="21"/>
          <w:szCs w:val="21"/>
          <w:highlight w:val="none"/>
        </w:rPr>
      </w:pPr>
      <w:bookmarkStart w:id="254" w:name="_Toc532377336"/>
      <w:r>
        <w:rPr>
          <w:rFonts w:hint="eastAsia"/>
          <w:color w:val="000000"/>
          <w:sz w:val="21"/>
          <w:szCs w:val="21"/>
          <w:highlight w:val="none"/>
        </w:rPr>
        <w:t>3.2 项目经理</w:t>
      </w:r>
      <w:bookmarkEnd w:id="254"/>
    </w:p>
    <w:p w14:paraId="290DD7C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kern w:val="0"/>
          <w:szCs w:val="21"/>
          <w:highlight w:val="none"/>
        </w:rPr>
        <w:t xml:space="preserve">3.2.1 </w:t>
      </w:r>
      <w:r>
        <w:rPr>
          <w:rFonts w:hint="eastAsia" w:ascii="宋体" w:hAnsi="宋体" w:cs="宋体"/>
          <w:color w:val="000000"/>
          <w:szCs w:val="21"/>
          <w:highlight w:val="none"/>
        </w:rPr>
        <w:t>项目经理：</w:t>
      </w:r>
    </w:p>
    <w:p w14:paraId="5A9C890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姓    名：</w:t>
      </w:r>
      <w:r>
        <w:rPr>
          <w:rFonts w:hint="eastAsia" w:ascii="宋体" w:hAnsi="宋体" w:cs="宋体"/>
          <w:color w:val="000000"/>
          <w:szCs w:val="21"/>
          <w:highlight w:val="none"/>
          <w:u w:val="single"/>
        </w:rPr>
        <w:t xml:space="preserve">                          </w:t>
      </w:r>
      <w:r>
        <w:rPr>
          <w:rFonts w:hint="eastAsia" w:ascii="宋体" w:hAnsi="宋体" w:cs="宋体"/>
          <w:color w:val="000000"/>
          <w:szCs w:val="21"/>
          <w:highlight w:val="none"/>
        </w:rPr>
        <w:t>；</w:t>
      </w:r>
    </w:p>
    <w:p w14:paraId="78AD6AE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身份证号：</w:t>
      </w:r>
      <w:r>
        <w:rPr>
          <w:rFonts w:hint="eastAsia" w:ascii="宋体" w:hAnsi="宋体" w:cs="宋体"/>
          <w:color w:val="000000"/>
          <w:szCs w:val="21"/>
          <w:highlight w:val="none"/>
          <w:u w:val="single"/>
        </w:rPr>
        <w:t>                    </w:t>
      </w:r>
      <w:r>
        <w:rPr>
          <w:rFonts w:hint="eastAsia" w:ascii="宋体" w:hAnsi="宋体" w:cs="宋体"/>
          <w:color w:val="000000"/>
          <w:szCs w:val="21"/>
          <w:highlight w:val="none"/>
        </w:rPr>
        <w:t>；</w:t>
      </w:r>
    </w:p>
    <w:p w14:paraId="2088990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建造师执业资格等级：</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5D1206D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建造师注册证书号：</w:t>
      </w:r>
      <w:r>
        <w:rPr>
          <w:rFonts w:hint="eastAsia" w:ascii="宋体" w:hAnsi="宋体" w:cs="宋体"/>
          <w:color w:val="000000"/>
          <w:szCs w:val="21"/>
          <w:highlight w:val="none"/>
          <w:u w:val="single"/>
        </w:rPr>
        <w:t>       </w:t>
      </w:r>
      <w:r>
        <w:rPr>
          <w:rFonts w:hint="eastAsia" w:ascii="宋体" w:hAnsi="宋体" w:cs="宋体"/>
          <w:color w:val="000000"/>
          <w:szCs w:val="21"/>
          <w:highlight w:val="none"/>
        </w:rPr>
        <w:t>；</w:t>
      </w:r>
    </w:p>
    <w:p w14:paraId="4774364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建造师执业印章号：</w:t>
      </w:r>
      <w:r>
        <w:rPr>
          <w:rFonts w:hint="eastAsia" w:ascii="宋体" w:hAnsi="宋体" w:cs="宋体"/>
          <w:color w:val="000000"/>
          <w:szCs w:val="21"/>
          <w:highlight w:val="none"/>
          <w:u w:val="single"/>
        </w:rPr>
        <w:t>                     </w:t>
      </w:r>
      <w:r>
        <w:rPr>
          <w:rFonts w:hint="eastAsia" w:ascii="宋体" w:hAnsi="宋体" w:cs="宋体"/>
          <w:color w:val="000000"/>
          <w:szCs w:val="21"/>
          <w:highlight w:val="none"/>
        </w:rPr>
        <w:t>；</w:t>
      </w:r>
    </w:p>
    <w:p w14:paraId="7633CE2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安全生产考核合格证书号：</w:t>
      </w:r>
      <w:r>
        <w:rPr>
          <w:rFonts w:hint="eastAsia" w:ascii="宋体" w:hAnsi="宋体" w:cs="宋体"/>
          <w:color w:val="000000"/>
          <w:szCs w:val="21"/>
          <w:highlight w:val="none"/>
          <w:u w:val="single"/>
        </w:rPr>
        <w:t>           </w:t>
      </w:r>
      <w:r>
        <w:rPr>
          <w:rFonts w:hint="eastAsia" w:ascii="宋体" w:hAnsi="宋体" w:cs="宋体"/>
          <w:color w:val="000000"/>
          <w:szCs w:val="21"/>
          <w:highlight w:val="none"/>
        </w:rPr>
        <w:t>；</w:t>
      </w:r>
    </w:p>
    <w:p w14:paraId="69712F3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联系方式：</w:t>
      </w:r>
      <w:r>
        <w:rPr>
          <w:rFonts w:hint="eastAsia" w:ascii="宋体" w:hAnsi="宋体" w:cs="宋体"/>
          <w:color w:val="000000"/>
          <w:szCs w:val="21"/>
          <w:highlight w:val="none"/>
          <w:u w:val="single"/>
        </w:rPr>
        <w:t>         </w:t>
      </w:r>
      <w:r>
        <w:rPr>
          <w:rFonts w:hint="eastAsia" w:ascii="宋体" w:hAnsi="宋体" w:cs="宋体"/>
          <w:color w:val="000000"/>
          <w:szCs w:val="21"/>
          <w:highlight w:val="none"/>
        </w:rPr>
        <w:t>。</w:t>
      </w:r>
    </w:p>
    <w:p w14:paraId="69F922D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承包人对项目经理的授权范围如下：</w:t>
      </w:r>
      <w:r>
        <w:rPr>
          <w:rFonts w:hint="eastAsia" w:ascii="宋体" w:hAnsi="宋体" w:cs="宋体"/>
          <w:color w:val="000000"/>
          <w:szCs w:val="21"/>
          <w:highlight w:val="none"/>
          <w:u w:val="single"/>
        </w:rPr>
        <w:t>严格按设计图纸、现行国家施工规范及验收规范组织施工，保证工程质量、进度、安全；及时向监理人、发包人报告现场情况（以承包人书面授权范围为准）</w:t>
      </w:r>
      <w:r>
        <w:rPr>
          <w:rFonts w:hint="eastAsia" w:ascii="宋体" w:hAnsi="宋体" w:cs="宋体"/>
          <w:color w:val="000000"/>
          <w:szCs w:val="21"/>
          <w:highlight w:val="none"/>
        </w:rPr>
        <w:t>。</w:t>
      </w:r>
    </w:p>
    <w:p w14:paraId="1C38254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关于项目经理每月在施工现场的时间要求：</w:t>
      </w:r>
      <w:r>
        <w:rPr>
          <w:rFonts w:hint="eastAsia" w:ascii="宋体" w:hAnsi="宋体" w:cs="宋体"/>
          <w:color w:val="000000"/>
          <w:szCs w:val="21"/>
          <w:highlight w:val="none"/>
          <w:u w:val="single"/>
        </w:rPr>
        <w:t>不少于22天，由监理人负责项目经理的考勤</w:t>
      </w:r>
      <w:r>
        <w:rPr>
          <w:rFonts w:hint="eastAsia" w:ascii="宋体" w:hAnsi="宋体" w:cs="宋体"/>
          <w:color w:val="000000"/>
          <w:szCs w:val="21"/>
          <w:highlight w:val="none"/>
        </w:rPr>
        <w:t>。</w:t>
      </w:r>
    </w:p>
    <w:p w14:paraId="7F518C5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承包人应在合同签订后7天内提交与项目经理签订的劳动合同及为项目经理缴纳社会保险的证明，承包人未在限期内提交的，项目经理无权履行职责，发包人有权要求更换项目经理</w:t>
      </w:r>
      <w:r>
        <w:rPr>
          <w:rFonts w:hint="eastAsia" w:ascii="宋体" w:hAnsi="宋体" w:cs="宋体"/>
          <w:color w:val="000000"/>
          <w:szCs w:val="21"/>
          <w:highlight w:val="none"/>
        </w:rPr>
        <w:t>。</w:t>
      </w:r>
    </w:p>
    <w:p w14:paraId="2C05E38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3.2.2 技术负责人</w:t>
      </w:r>
    </w:p>
    <w:p w14:paraId="3ED3B3D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姓    名：</w:t>
      </w:r>
      <w:r>
        <w:rPr>
          <w:rFonts w:hint="eastAsia" w:ascii="宋体" w:hAnsi="宋体" w:cs="宋体"/>
          <w:color w:val="000000"/>
          <w:szCs w:val="21"/>
          <w:highlight w:val="none"/>
          <w:u w:val="single"/>
        </w:rPr>
        <w:t xml:space="preserve">                           </w:t>
      </w:r>
      <w:r>
        <w:rPr>
          <w:rFonts w:hint="eastAsia" w:ascii="宋体" w:hAnsi="宋体" w:cs="宋体"/>
          <w:color w:val="000000"/>
          <w:szCs w:val="21"/>
          <w:highlight w:val="none"/>
        </w:rPr>
        <w:t>；</w:t>
      </w:r>
    </w:p>
    <w:p w14:paraId="43D7ACB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身份证号：</w:t>
      </w:r>
      <w:r>
        <w:rPr>
          <w:rFonts w:hint="eastAsia" w:ascii="宋体" w:hAnsi="宋体" w:cs="宋体"/>
          <w:color w:val="000000"/>
          <w:szCs w:val="21"/>
          <w:highlight w:val="none"/>
          <w:u w:val="single"/>
        </w:rPr>
        <w:t xml:space="preserve">                           </w:t>
      </w:r>
      <w:r>
        <w:rPr>
          <w:rFonts w:hint="eastAsia" w:ascii="宋体" w:hAnsi="宋体" w:cs="宋体"/>
          <w:color w:val="000000"/>
          <w:szCs w:val="21"/>
          <w:highlight w:val="none"/>
        </w:rPr>
        <w:t>；</w:t>
      </w:r>
    </w:p>
    <w:p w14:paraId="12A70EB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联系方式：</w:t>
      </w:r>
      <w:r>
        <w:rPr>
          <w:rFonts w:hint="eastAsia" w:ascii="宋体" w:hAnsi="宋体" w:cs="宋体"/>
          <w:color w:val="000000"/>
          <w:szCs w:val="21"/>
          <w:highlight w:val="none"/>
          <w:u w:val="single"/>
        </w:rPr>
        <w:t xml:space="preserve">                           </w:t>
      </w:r>
      <w:r>
        <w:rPr>
          <w:rFonts w:hint="eastAsia" w:ascii="宋体" w:hAnsi="宋体" w:cs="宋体"/>
          <w:color w:val="000000"/>
          <w:szCs w:val="21"/>
          <w:highlight w:val="none"/>
        </w:rPr>
        <w:t>；</w:t>
      </w:r>
    </w:p>
    <w:p w14:paraId="01F9186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专     业：</w:t>
      </w:r>
      <w:r>
        <w:rPr>
          <w:rFonts w:hint="eastAsia" w:ascii="宋体" w:hAnsi="宋体" w:cs="宋体"/>
          <w:color w:val="000000"/>
          <w:szCs w:val="21"/>
          <w:highlight w:val="none"/>
          <w:u w:val="single"/>
        </w:rPr>
        <w:t xml:space="preserve">                           </w:t>
      </w:r>
      <w:r>
        <w:rPr>
          <w:rFonts w:hint="eastAsia" w:ascii="宋体" w:hAnsi="宋体" w:cs="宋体"/>
          <w:color w:val="000000"/>
          <w:szCs w:val="21"/>
          <w:highlight w:val="none"/>
        </w:rPr>
        <w:t>；</w:t>
      </w:r>
    </w:p>
    <w:p w14:paraId="55AC8DF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证书名称及号码：</w:t>
      </w:r>
      <w:r>
        <w:rPr>
          <w:rFonts w:hint="eastAsia" w:ascii="宋体" w:hAnsi="宋体" w:cs="宋体"/>
          <w:color w:val="000000"/>
          <w:szCs w:val="21"/>
          <w:highlight w:val="none"/>
          <w:u w:val="single"/>
        </w:rPr>
        <w:t xml:space="preserve">                         </w:t>
      </w:r>
      <w:r>
        <w:rPr>
          <w:rFonts w:hint="eastAsia" w:ascii="宋体" w:hAnsi="宋体" w:cs="宋体"/>
          <w:color w:val="000000"/>
          <w:szCs w:val="21"/>
          <w:highlight w:val="none"/>
        </w:rPr>
        <w:t>；</w:t>
      </w:r>
    </w:p>
    <w:p w14:paraId="0890A7D1">
      <w:pPr>
        <w:pStyle w:val="2"/>
        <w:spacing w:after="0"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    联系方式：</w:t>
      </w:r>
      <w:r>
        <w:rPr>
          <w:rFonts w:hint="eastAsia" w:ascii="宋体" w:hAnsi="宋体" w:cs="宋体"/>
          <w:color w:val="000000"/>
          <w:szCs w:val="21"/>
          <w:highlight w:val="none"/>
          <w:u w:val="single"/>
        </w:rPr>
        <w:t xml:space="preserve">         </w:t>
      </w:r>
      <w:r>
        <w:rPr>
          <w:rFonts w:hint="eastAsia" w:ascii="宋体" w:hAnsi="宋体" w:cs="宋体"/>
          <w:color w:val="000000"/>
          <w:szCs w:val="21"/>
          <w:highlight w:val="none"/>
        </w:rPr>
        <w:t>。</w:t>
      </w:r>
    </w:p>
    <w:p w14:paraId="477E112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kern w:val="0"/>
          <w:szCs w:val="21"/>
          <w:highlight w:val="none"/>
        </w:rPr>
        <w:t>关于技</w:t>
      </w:r>
      <w:r>
        <w:rPr>
          <w:rFonts w:hint="eastAsia" w:ascii="宋体" w:hAnsi="宋体" w:cs="宋体"/>
          <w:color w:val="000000"/>
          <w:szCs w:val="21"/>
          <w:highlight w:val="none"/>
        </w:rPr>
        <w:t>术负责人每月在施工现场的时间要求：</w:t>
      </w:r>
      <w:r>
        <w:rPr>
          <w:rFonts w:hint="eastAsia" w:ascii="宋体" w:hAnsi="宋体" w:cs="宋体"/>
          <w:color w:val="000000"/>
          <w:szCs w:val="21"/>
          <w:highlight w:val="none"/>
          <w:u w:val="single"/>
        </w:rPr>
        <w:t>不少于22天，由监理人负责技术负责人的考勤</w:t>
      </w:r>
      <w:r>
        <w:rPr>
          <w:rFonts w:hint="eastAsia" w:ascii="宋体" w:hAnsi="宋体" w:cs="宋体"/>
          <w:color w:val="000000"/>
          <w:szCs w:val="21"/>
          <w:highlight w:val="none"/>
        </w:rPr>
        <w:t>。</w:t>
      </w:r>
    </w:p>
    <w:p w14:paraId="4F68B27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承包人应在合同签订后7天内提交与技术负责人签订的劳动合同及为技术负责人缴纳社会保险的证明，承包人未在限期内提交的，技术负责人无权履行职责，发包人有权要求更换技术负责人</w:t>
      </w:r>
      <w:r>
        <w:rPr>
          <w:rFonts w:hint="eastAsia" w:ascii="宋体" w:hAnsi="宋体" w:cs="宋体"/>
          <w:color w:val="000000"/>
          <w:szCs w:val="21"/>
          <w:highlight w:val="none"/>
        </w:rPr>
        <w:t>。</w:t>
      </w:r>
      <w:bookmarkStart w:id="255" w:name="_Hlk528927599"/>
    </w:p>
    <w:bookmarkEnd w:id="255"/>
    <w:p w14:paraId="4FC57DFD">
      <w:pPr>
        <w:spacing w:line="360" w:lineRule="auto"/>
        <w:ind w:firstLine="560" w:firstLineChars="200"/>
        <w:jc w:val="left"/>
        <w:rPr>
          <w:rFonts w:hint="eastAsia" w:ascii="宋体" w:hAnsi="宋体" w:cs="宋体"/>
          <w:color w:val="000000"/>
          <w:szCs w:val="21"/>
          <w:highlight w:val="none"/>
        </w:rPr>
      </w:pPr>
      <w:bookmarkStart w:id="256" w:name="_Hlk528927718"/>
      <w:r>
        <w:rPr>
          <w:rFonts w:hint="eastAsia" w:ascii="宋体" w:hAnsi="宋体" w:cs="宋体"/>
          <w:color w:val="000000"/>
          <w:szCs w:val="21"/>
          <w:highlight w:val="none"/>
        </w:rPr>
        <w:t>3.2.3 发包人有权书面通知承包人更换其认为不称职/不履职的项目经理和（或）技术负责人，通知中应当载明要求更换的理由。承包人应在接到更换通知后7天内向发包人提出书面的改进报告。发包人收到改进报告后仍要求更换的，承包人应在接到第二次更换通知的14天内进行更换，并将新任命的项目经理和（或）技术负责人的注册执业资格、职称证书、管理经验等资料书面报送发包人审核批准。继任项目经理和（或）技术负责人继续履行合同约定的职责。</w:t>
      </w:r>
      <w:bookmarkEnd w:id="256"/>
    </w:p>
    <w:p w14:paraId="40A7D74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若项目经理和技术负责人出现下列情形需更换的，承包人按通用条款第3.2.3项的规定向发包人发出通知，经发包人领导班子集体决策同意后予以批准，并将变更信息推送给行业主管部门：</w:t>
      </w:r>
    </w:p>
    <w:p w14:paraId="7F56C62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1、死亡；</w:t>
      </w:r>
    </w:p>
    <w:p w14:paraId="53CB530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2、非承包人原因导致工期延长，而致使项目经理和技术负责人达到法定退休年龄且确需退休；</w:t>
      </w:r>
    </w:p>
    <w:p w14:paraId="74E8172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3、按《职工非因工伤残或因病丧失劳动能力程度鉴定标准（试行）》规定鉴定为完全丧失劳动能力和大部分丧失劳动能力；</w:t>
      </w:r>
    </w:p>
    <w:p w14:paraId="0F0B3B1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4、非承包人原因导致中选3个月不能开工；</w:t>
      </w:r>
    </w:p>
    <w:p w14:paraId="46983FB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5、被公安或者司法机关限制人身自由；</w:t>
      </w:r>
    </w:p>
    <w:p w14:paraId="50A0467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6、被取消职称或者执业资格，不满足项目管理要求；</w:t>
      </w:r>
    </w:p>
    <w:p w14:paraId="50D38A6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7、非承包人原因导致确需变更的其它情形。</w:t>
      </w:r>
    </w:p>
    <w:p w14:paraId="5871870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本款补充3.2.6项</w:t>
      </w:r>
    </w:p>
    <w:p w14:paraId="3366D9E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3.2.6 国有资金投资项目其他主要人员变更参照《重庆市政府投资项目合同变更管理暂行办法》的规定。</w:t>
      </w:r>
    </w:p>
    <w:p w14:paraId="3335696A">
      <w:pPr>
        <w:pStyle w:val="7"/>
        <w:spacing w:before="0" w:beforeAutospacing="0" w:after="0" w:afterAutospacing="0" w:line="360" w:lineRule="auto"/>
        <w:ind w:left="0" w:leftChars="0" w:firstLine="0" w:firstLineChars="0"/>
        <w:rPr>
          <w:rFonts w:hint="eastAsia"/>
          <w:color w:val="000000"/>
          <w:sz w:val="21"/>
          <w:szCs w:val="21"/>
          <w:highlight w:val="none"/>
        </w:rPr>
      </w:pPr>
      <w:bookmarkStart w:id="257" w:name="_Toc532377337"/>
      <w:r>
        <w:rPr>
          <w:rFonts w:hint="eastAsia"/>
          <w:color w:val="000000"/>
          <w:sz w:val="21"/>
          <w:szCs w:val="21"/>
          <w:highlight w:val="none"/>
        </w:rPr>
        <w:t>3.3 承包人人员</w:t>
      </w:r>
      <w:bookmarkEnd w:id="257"/>
    </w:p>
    <w:p w14:paraId="3A7436A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3.3.1 承包人应按建设行政主管部门现行规定配备现场施工从业人员，具体要求如下：</w:t>
      </w:r>
      <w:r>
        <w:rPr>
          <w:rFonts w:hint="eastAsia" w:ascii="宋体" w:hAnsi="宋体" w:cs="宋体"/>
          <w:color w:val="000000"/>
          <w:szCs w:val="21"/>
          <w:highlight w:val="none"/>
          <w:u w:val="single"/>
        </w:rPr>
        <w:t xml:space="preserve">        </w:t>
      </w:r>
    </w:p>
    <w:p w14:paraId="7D0E3F8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3.3.2承包人派驻到施工现场的主要施工管理人员在施工过程中如有变动，承包人应及时向监理人提交施工现场人员变动情况的报告。承包人更换主要施工管理人员时，应提前7天书面通知监理人，并征得发包人书面同意。通知中应当载明继任人员的职称、执业资格、项目管理经验等资料。更换后的施工管理人员应当是承包人的正式员工，且在职称、执业资格、项目管理经验等方面不低于原施工管理人员。</w:t>
      </w:r>
    </w:p>
    <w:p w14:paraId="2B2C4C2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3.3.3 发包人有权书面通知承包人更换其认为不称职的主要施工管理人员，通知中应当载明要求更换的理由。承包人应在接到更换通知后7天内向发包人提出书面的改进报告。发包人收到改进报告后仍要求更换的，承包人应在接到第二次更换通知的7天内进行更换，并将新委派的主要施工管理人员的注册执业资格、职称证书、管理经验等资料书面报送发包人审核批准。</w:t>
      </w:r>
    </w:p>
    <w:p w14:paraId="43BE7EE5">
      <w:pPr>
        <w:pStyle w:val="7"/>
        <w:spacing w:before="0" w:beforeAutospacing="0" w:after="0" w:afterAutospacing="0" w:line="360" w:lineRule="auto"/>
        <w:ind w:left="0" w:leftChars="0" w:firstLine="0" w:firstLineChars="0"/>
        <w:rPr>
          <w:rFonts w:hint="eastAsia"/>
          <w:color w:val="000000"/>
          <w:sz w:val="21"/>
          <w:szCs w:val="21"/>
          <w:highlight w:val="none"/>
        </w:rPr>
      </w:pPr>
      <w:bookmarkStart w:id="258" w:name="_Toc532377338"/>
      <w:r>
        <w:rPr>
          <w:rFonts w:hint="eastAsia"/>
          <w:color w:val="000000"/>
          <w:sz w:val="21"/>
          <w:szCs w:val="21"/>
          <w:highlight w:val="none"/>
        </w:rPr>
        <w:t>3</w:t>
      </w:r>
      <w:bookmarkStart w:id="259" w:name="_Toc297216151"/>
      <w:bookmarkStart w:id="260" w:name="_Toc304295523"/>
      <w:bookmarkStart w:id="261" w:name="_Toc292559869"/>
      <w:bookmarkStart w:id="262" w:name="_Toc296347158"/>
      <w:bookmarkStart w:id="263" w:name="_Toc296891199"/>
      <w:bookmarkStart w:id="264" w:name="_Toc296944498"/>
      <w:bookmarkStart w:id="265" w:name="_Toc297120459"/>
      <w:bookmarkStart w:id="266" w:name="_Toc300934945"/>
      <w:bookmarkStart w:id="267" w:name="_Toc297048345"/>
      <w:bookmarkStart w:id="268" w:name="_Toc303539102"/>
      <w:bookmarkStart w:id="269" w:name="_Toc312677988"/>
      <w:bookmarkStart w:id="270" w:name="_Toc296890987"/>
      <w:bookmarkStart w:id="271" w:name="_Toc296503159"/>
      <w:bookmarkStart w:id="272" w:name="_Toc292559364"/>
      <w:bookmarkStart w:id="273" w:name="_Toc297123492"/>
      <w:bookmarkStart w:id="274" w:name="_Toc296346660"/>
      <w:r>
        <w:rPr>
          <w:rFonts w:hint="eastAsia"/>
          <w:color w:val="000000"/>
          <w:sz w:val="21"/>
          <w:szCs w:val="21"/>
          <w:highlight w:val="none"/>
        </w:rPr>
        <w:t>.5 分包</w:t>
      </w:r>
      <w:bookmarkEnd w:id="258"/>
    </w:p>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14:paraId="72A70E4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w:t>
      </w:r>
      <w:bookmarkStart w:id="275" w:name="_Toc296944499"/>
      <w:bookmarkStart w:id="276" w:name="_Toc296346661"/>
      <w:bookmarkStart w:id="277" w:name="_Toc296503160"/>
      <w:bookmarkStart w:id="278" w:name="_Toc296890988"/>
      <w:bookmarkStart w:id="279" w:name="_Toc292559870"/>
      <w:bookmarkStart w:id="280" w:name="_Toc296891200"/>
      <w:bookmarkStart w:id="281" w:name="_Toc312677989"/>
      <w:bookmarkStart w:id="282" w:name="_Toc297216152"/>
      <w:bookmarkStart w:id="283" w:name="_Toc297048346"/>
      <w:bookmarkStart w:id="284" w:name="_Toc318581158"/>
      <w:bookmarkStart w:id="285" w:name="_Toc297123493"/>
      <w:bookmarkStart w:id="286" w:name="_Toc296347159"/>
      <w:bookmarkStart w:id="287" w:name="_Toc297120460"/>
      <w:bookmarkStart w:id="288" w:name="_Toc300934946"/>
      <w:bookmarkStart w:id="289" w:name="_Toc292559365"/>
      <w:bookmarkStart w:id="290" w:name="_Toc303539103"/>
      <w:bookmarkStart w:id="291" w:name="_Toc304295524"/>
      <w:r>
        <w:rPr>
          <w:rFonts w:hint="eastAsia" w:ascii="宋体" w:hAnsi="宋体" w:cs="宋体"/>
          <w:color w:val="000000"/>
          <w:szCs w:val="21"/>
          <w:highlight w:val="none"/>
        </w:rPr>
        <w:t>.5.1 分包的一般约定</w:t>
      </w:r>
    </w:p>
    <w:p w14:paraId="45E7327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禁止分包的工程包括：主体结构、关键性工作等国家法律、法规禁止分包的工程。</w:t>
      </w:r>
    </w:p>
    <w:p w14:paraId="0C9E894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主体结构、关键性工作的范围：国家法律、法规、规范、标准等所约束的范围。如房建工程主体结构指混凝土工程、砌体工程、钢结构工程（具体有基础、梁、板、柱、砼墙、楼梯工程等）</w:t>
      </w:r>
      <w:bookmarkStart w:id="292" w:name="_Toc300934947"/>
      <w:bookmarkStart w:id="293" w:name="_Toc296346662"/>
      <w:bookmarkStart w:id="294" w:name="_Toc296890989"/>
      <w:bookmarkStart w:id="295" w:name="_Toc296347160"/>
      <w:bookmarkStart w:id="296" w:name="_Toc304295525"/>
      <w:bookmarkStart w:id="297" w:name="_Toc303539104"/>
      <w:bookmarkStart w:id="298" w:name="_Toc296944500"/>
      <w:bookmarkStart w:id="299" w:name="_Toc296891201"/>
      <w:bookmarkStart w:id="300" w:name="_Toc297123494"/>
      <w:bookmarkStart w:id="301" w:name="_Toc296503161"/>
      <w:bookmarkStart w:id="302" w:name="_Toc297120461"/>
      <w:bookmarkStart w:id="303" w:name="_Toc297216153"/>
      <w:bookmarkStart w:id="304" w:name="_Toc297048347"/>
      <w:r>
        <w:rPr>
          <w:rFonts w:hint="eastAsia" w:ascii="宋体" w:hAnsi="宋体" w:cs="宋体"/>
          <w:color w:val="000000"/>
          <w:szCs w:val="21"/>
          <w:highlight w:val="none"/>
        </w:rPr>
        <w:t>；关键性工作指梁、板、柱等部位。</w:t>
      </w:r>
    </w:p>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14:paraId="5F268C2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在合同履行过程中实行项目经理、技术负责人、安全负责人实名制管理，发包人有权核查承包人管理人员的资格证件、工程价款往来银行账户、施工单位的材料构配件、设备的发票等资料，配合相关行政主管部门加大对转包、违法分包行为的查处。</w:t>
      </w:r>
    </w:p>
    <w:p w14:paraId="089E88F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w:t>
      </w:r>
      <w:bookmarkStart w:id="305" w:name="_Toc312677990"/>
      <w:bookmarkStart w:id="306" w:name="_Toc318581159"/>
      <w:r>
        <w:rPr>
          <w:rFonts w:hint="eastAsia" w:ascii="宋体" w:hAnsi="宋体" w:cs="宋体"/>
          <w:color w:val="000000"/>
          <w:szCs w:val="21"/>
          <w:highlight w:val="none"/>
        </w:rPr>
        <w:t>.5.2分包的确定</w:t>
      </w:r>
    </w:p>
    <w:p w14:paraId="6882FD1E">
      <w:pPr>
        <w:rPr>
          <w:rFonts w:hint="eastAsia" w:ascii="宋体" w:hAnsi="宋体"/>
          <w:color w:val="000000"/>
          <w:szCs w:val="21"/>
          <w:highlight w:val="none"/>
          <w:u w:val="single"/>
        </w:rPr>
      </w:pPr>
      <w:r>
        <w:rPr>
          <w:rFonts w:hint="eastAsia" w:ascii="宋体" w:hAnsi="宋体"/>
          <w:color w:val="000000"/>
          <w:szCs w:val="21"/>
          <w:highlight w:val="none"/>
        </w:rPr>
        <w:t>允许分包的专业工程包括：</w:t>
      </w:r>
      <w:r>
        <w:rPr>
          <w:rFonts w:hint="eastAsia" w:ascii="宋体" w:hAnsi="宋体"/>
          <w:color w:val="000000"/>
          <w:szCs w:val="21"/>
          <w:highlight w:val="none"/>
          <w:u w:val="single"/>
        </w:rPr>
        <w:t xml:space="preserve"> 符合《中华人民共和国建筑法》和《中华人民共和国招标投标法》的相关规定 。</w:t>
      </w:r>
    </w:p>
    <w:p w14:paraId="5833DD0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3.5.4 分包合同价款</w:t>
      </w:r>
    </w:p>
    <w:p w14:paraId="1FD9D66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关于分包合同价款支付的约定：</w:t>
      </w:r>
      <w:bookmarkEnd w:id="305"/>
      <w:bookmarkEnd w:id="306"/>
      <w:r>
        <w:rPr>
          <w:rFonts w:hint="eastAsia" w:ascii="宋体" w:hAnsi="宋体" w:cs="宋体"/>
          <w:color w:val="000000"/>
          <w:szCs w:val="21"/>
          <w:highlight w:val="none"/>
          <w:u w:val="single"/>
        </w:rPr>
        <w:t>分包合同价款由承包人与分包人结算，未经承包人同意，发包人不得向分包人支付分包工程价款；生效法律文书要求发包人向分包人支付分包合同价款的，发包人有权从应付承包人工程款中扣除该部分款项</w:t>
      </w:r>
      <w:r>
        <w:rPr>
          <w:rFonts w:hint="eastAsia" w:ascii="宋体" w:hAnsi="宋体" w:cs="宋体"/>
          <w:color w:val="000000"/>
          <w:szCs w:val="21"/>
          <w:highlight w:val="none"/>
        </w:rPr>
        <w:t>。</w:t>
      </w:r>
    </w:p>
    <w:p w14:paraId="2FAC926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本款补充3.5.6项：</w:t>
      </w:r>
    </w:p>
    <w:p w14:paraId="6FCF1CE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3.5.6严禁违法分包</w:t>
      </w:r>
    </w:p>
    <w:p w14:paraId="72AE3AB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一经查实，承包人的履约担保不予退还，发包人有权终止合同；同时发包人有权向相关行政监管部门举报，根据《住房和城乡建设部关于印发建筑工程施工发包与承包违法行为认定查处管理办法的通知》（建市规〔2019〕1号）相关规定条执行。</w:t>
      </w:r>
    </w:p>
    <w:p w14:paraId="6D85BB0D">
      <w:pPr>
        <w:pStyle w:val="7"/>
        <w:spacing w:before="0" w:beforeAutospacing="0" w:after="0" w:afterAutospacing="0" w:line="360" w:lineRule="auto"/>
        <w:ind w:left="0" w:leftChars="0" w:firstLine="0" w:firstLineChars="0"/>
        <w:rPr>
          <w:rFonts w:hint="eastAsia"/>
          <w:color w:val="000000"/>
          <w:sz w:val="21"/>
          <w:szCs w:val="21"/>
          <w:highlight w:val="none"/>
        </w:rPr>
      </w:pPr>
      <w:bookmarkStart w:id="307" w:name="_Toc532377339"/>
      <w:r>
        <w:rPr>
          <w:rFonts w:hint="eastAsia"/>
          <w:color w:val="000000"/>
          <w:sz w:val="21"/>
          <w:szCs w:val="21"/>
          <w:highlight w:val="none"/>
        </w:rPr>
        <w:t>3.7 履约担保</w:t>
      </w:r>
      <w:bookmarkEnd w:id="307"/>
    </w:p>
    <w:p w14:paraId="2C8AF7B7">
      <w:pPr>
        <w:ind w:firstLine="560" w:firstLineChars="200"/>
        <w:rPr>
          <w:rFonts w:hint="eastAsia" w:ascii="宋体" w:hAnsi="宋体" w:cs="宋体"/>
          <w:color w:val="000000"/>
          <w:highlight w:val="none"/>
        </w:rPr>
      </w:pPr>
      <w:bookmarkStart w:id="308" w:name="_Toc532377340"/>
      <w:bookmarkStart w:id="309" w:name="_Toc532375611"/>
      <w:bookmarkStart w:id="310" w:name="_Toc351203636"/>
      <w:r>
        <w:rPr>
          <w:rFonts w:hint="eastAsia" w:ascii="宋体" w:hAnsi="宋体" w:cs="宋体"/>
          <w:color w:val="000000"/>
          <w:highlight w:val="none"/>
        </w:rPr>
        <w:t>3.7.1、履约担保的形式：现金或保函（银行保函、本区属国有担保公司保函均可）或现金+保函的组合。采用保函形式的，保函必须为不可撤销且见索即付。</w:t>
      </w:r>
    </w:p>
    <w:p w14:paraId="21B8717B">
      <w:pPr>
        <w:ind w:firstLine="560" w:firstLineChars="200"/>
        <w:rPr>
          <w:rFonts w:hint="eastAsia" w:ascii="宋体" w:hAnsi="宋体" w:cs="宋体"/>
          <w:color w:val="000000"/>
          <w:highlight w:val="none"/>
        </w:rPr>
      </w:pPr>
      <w:r>
        <w:rPr>
          <w:rFonts w:hint="eastAsia" w:ascii="宋体" w:hAnsi="宋体" w:cs="宋体"/>
          <w:color w:val="000000"/>
          <w:highlight w:val="none"/>
        </w:rPr>
        <w:t>3.7.2、履约担保的金额：中选合同金额的10%；</w:t>
      </w:r>
    </w:p>
    <w:p w14:paraId="749AC5D1">
      <w:pPr>
        <w:ind w:firstLine="560" w:firstLineChars="200"/>
        <w:rPr>
          <w:rFonts w:hint="eastAsia" w:ascii="宋体" w:hAnsi="宋体" w:cs="宋体"/>
          <w:color w:val="000000"/>
          <w:highlight w:val="none"/>
        </w:rPr>
      </w:pPr>
      <w:r>
        <w:rPr>
          <w:rFonts w:hint="eastAsia" w:ascii="宋体" w:hAnsi="宋体" w:cs="宋体"/>
          <w:color w:val="000000"/>
          <w:highlight w:val="none"/>
        </w:rPr>
        <w:t>3.7.3. 提交时间：中选承包商领取中选通知书之日起15个工作日内，并作为签订施工合同的必备条件。</w:t>
      </w:r>
    </w:p>
    <w:p w14:paraId="3FBCF8C4">
      <w:pPr>
        <w:ind w:firstLine="560" w:firstLineChars="200"/>
        <w:rPr>
          <w:rFonts w:hint="eastAsia" w:ascii="宋体" w:hAnsi="宋体" w:cs="宋体"/>
          <w:color w:val="000000"/>
          <w:highlight w:val="none"/>
        </w:rPr>
      </w:pPr>
      <w:r>
        <w:rPr>
          <w:rFonts w:hint="eastAsia" w:ascii="宋体" w:hAnsi="宋体" w:cs="宋体"/>
          <w:color w:val="000000"/>
          <w:highlight w:val="none"/>
        </w:rPr>
        <w:t>3.7.4. 退还时间：采用现金担保的，工程竣工验收合格后14天内退还；采用银行保函的，工程竣工验收合格后14天内退还，或按工程实际情况约定分阶段退还。</w:t>
      </w:r>
    </w:p>
    <w:p w14:paraId="408D2F4C">
      <w:pPr>
        <w:tabs>
          <w:tab w:val="left" w:pos="1134"/>
        </w:tabs>
        <w:spacing w:line="360" w:lineRule="auto"/>
        <w:ind w:firstLine="562" w:firstLineChars="200"/>
        <w:jc w:val="left"/>
        <w:rPr>
          <w:rFonts w:hint="eastAsia" w:ascii="宋体" w:hAnsi="宋体" w:cs="宋体"/>
          <w:b/>
          <w:bCs/>
          <w:color w:val="000000"/>
          <w:szCs w:val="21"/>
          <w:highlight w:val="none"/>
        </w:rPr>
      </w:pPr>
      <w:r>
        <w:rPr>
          <w:rFonts w:hint="eastAsia" w:ascii="宋体" w:hAnsi="宋体" w:cs="宋体"/>
          <w:b/>
          <w:bCs/>
          <w:color w:val="000000"/>
          <w:szCs w:val="21"/>
          <w:highlight w:val="none"/>
        </w:rPr>
        <w:t>4</w:t>
      </w:r>
      <w:bookmarkStart w:id="311" w:name="_Toc292559871"/>
      <w:bookmarkStart w:id="312" w:name="_Toc296944501"/>
      <w:bookmarkStart w:id="313" w:name="_Toc297120462"/>
      <w:bookmarkStart w:id="314" w:name="_Toc296503162"/>
      <w:bookmarkStart w:id="315" w:name="_Toc296347161"/>
      <w:bookmarkStart w:id="316" w:name="_Toc292559366"/>
      <w:bookmarkStart w:id="317" w:name="_Toc296891202"/>
      <w:bookmarkStart w:id="318" w:name="_Toc297048348"/>
      <w:bookmarkStart w:id="319" w:name="_Toc296346663"/>
      <w:bookmarkStart w:id="320" w:name="_Toc296890990"/>
      <w:bookmarkStart w:id="321" w:name="_Toc267251413"/>
      <w:r>
        <w:rPr>
          <w:rFonts w:hint="eastAsia" w:ascii="宋体" w:hAnsi="宋体" w:cs="宋体"/>
          <w:b/>
          <w:bCs/>
          <w:color w:val="000000"/>
          <w:szCs w:val="21"/>
          <w:highlight w:val="none"/>
        </w:rPr>
        <w:t>. 监</w:t>
      </w:r>
      <w:bookmarkEnd w:id="311"/>
      <w:bookmarkEnd w:id="312"/>
      <w:bookmarkEnd w:id="313"/>
      <w:bookmarkEnd w:id="314"/>
      <w:bookmarkEnd w:id="315"/>
      <w:bookmarkEnd w:id="316"/>
      <w:bookmarkEnd w:id="317"/>
      <w:bookmarkEnd w:id="318"/>
      <w:bookmarkEnd w:id="319"/>
      <w:bookmarkEnd w:id="320"/>
      <w:bookmarkEnd w:id="321"/>
      <w:r>
        <w:rPr>
          <w:rFonts w:hint="eastAsia" w:ascii="宋体" w:hAnsi="宋体" w:cs="宋体"/>
          <w:b/>
          <w:bCs/>
          <w:color w:val="000000"/>
          <w:szCs w:val="21"/>
          <w:highlight w:val="none"/>
        </w:rPr>
        <w:t>理人</w:t>
      </w:r>
      <w:bookmarkEnd w:id="308"/>
      <w:bookmarkEnd w:id="309"/>
      <w:bookmarkEnd w:id="310"/>
    </w:p>
    <w:p w14:paraId="5B9BF7F2">
      <w:pPr>
        <w:pStyle w:val="7"/>
        <w:spacing w:before="0" w:beforeAutospacing="0" w:after="0" w:afterAutospacing="0" w:line="360" w:lineRule="auto"/>
        <w:ind w:left="0" w:leftChars="0" w:firstLine="0" w:firstLineChars="0"/>
        <w:rPr>
          <w:rFonts w:hint="eastAsia"/>
          <w:color w:val="000000"/>
          <w:sz w:val="21"/>
          <w:szCs w:val="21"/>
          <w:highlight w:val="none"/>
        </w:rPr>
      </w:pPr>
      <w:bookmarkStart w:id="322" w:name="_Toc532377341"/>
      <w:r>
        <w:rPr>
          <w:rFonts w:hint="eastAsia"/>
          <w:color w:val="000000"/>
          <w:sz w:val="21"/>
          <w:szCs w:val="21"/>
          <w:highlight w:val="none"/>
        </w:rPr>
        <w:t>4.1 监理人的一般规定</w:t>
      </w:r>
      <w:bookmarkEnd w:id="322"/>
    </w:p>
    <w:p w14:paraId="3D534F9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关于监理人的监理内容：</w:t>
      </w:r>
      <w:r>
        <w:rPr>
          <w:rFonts w:hint="eastAsia" w:ascii="宋体" w:hAnsi="宋体" w:cs="宋体"/>
          <w:color w:val="000000"/>
          <w:szCs w:val="21"/>
          <w:highlight w:val="none"/>
          <w:u w:val="single"/>
        </w:rPr>
        <w:t>见发包人与监理人就本工程签订的监理合同</w:t>
      </w:r>
      <w:r>
        <w:rPr>
          <w:rFonts w:hint="eastAsia" w:ascii="宋体" w:hAnsi="宋体" w:cs="宋体"/>
          <w:color w:val="000000"/>
          <w:szCs w:val="21"/>
          <w:highlight w:val="none"/>
        </w:rPr>
        <w:t>。</w:t>
      </w:r>
    </w:p>
    <w:p w14:paraId="45D0C81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关于监理人的监理权限：</w:t>
      </w:r>
      <w:r>
        <w:rPr>
          <w:rFonts w:hint="eastAsia" w:ascii="宋体" w:hAnsi="宋体" w:cs="宋体"/>
          <w:color w:val="000000"/>
          <w:szCs w:val="21"/>
          <w:highlight w:val="none"/>
          <w:u w:val="single"/>
        </w:rPr>
        <w:t>见发包人与监理人就本工程签订的监理合同；任何涉及费用确定和（或）工期调整，或者设计变更，或者变更估价，或者涉及经济责任的事项，监理工程师在发出指令或通知前，须征得发包人书面同意</w:t>
      </w:r>
      <w:r>
        <w:rPr>
          <w:rFonts w:hint="eastAsia" w:ascii="宋体" w:hAnsi="宋体" w:cs="宋体"/>
          <w:color w:val="000000"/>
          <w:szCs w:val="21"/>
          <w:highlight w:val="none"/>
        </w:rPr>
        <w:t>。</w:t>
      </w:r>
    </w:p>
    <w:p w14:paraId="1F22AC2C">
      <w:pPr>
        <w:spacing w:line="360" w:lineRule="auto"/>
        <w:ind w:firstLine="560" w:firstLineChars="200"/>
        <w:jc w:val="left"/>
        <w:rPr>
          <w:rFonts w:ascii="宋体" w:hAnsi="宋体"/>
          <w:color w:val="000000"/>
          <w:szCs w:val="21"/>
          <w:highlight w:val="none"/>
        </w:rPr>
      </w:pPr>
      <w:bookmarkStart w:id="323" w:name="_Toc532377342"/>
      <w:r>
        <w:rPr>
          <w:rFonts w:hint="eastAsia" w:ascii="宋体" w:hAnsi="宋体"/>
          <w:color w:val="000000"/>
          <w:szCs w:val="21"/>
          <w:highlight w:val="none"/>
        </w:rPr>
        <w:t>关于监理人在施工现场的办公场所、生活场所的提供和费用承担的约定：</w:t>
      </w:r>
      <w:r>
        <w:rPr>
          <w:rFonts w:hint="eastAsia" w:ascii="宋体" w:hAnsi="宋体"/>
          <w:color w:val="000000"/>
          <w:szCs w:val="21"/>
          <w:highlight w:val="none"/>
          <w:u w:val="single"/>
        </w:rPr>
        <w:t>见发包人与监理人就本工程签订的监理合同</w:t>
      </w:r>
      <w:r>
        <w:rPr>
          <w:rFonts w:hint="eastAsia" w:ascii="宋体" w:hAnsi="宋体"/>
          <w:color w:val="000000"/>
          <w:szCs w:val="21"/>
          <w:highlight w:val="none"/>
        </w:rPr>
        <w:t>。</w:t>
      </w:r>
    </w:p>
    <w:p w14:paraId="6407ED2B">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4.2 监理人员</w:t>
      </w:r>
      <w:bookmarkEnd w:id="323"/>
    </w:p>
    <w:p w14:paraId="10A94EB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总监理工程师：</w:t>
      </w:r>
    </w:p>
    <w:p w14:paraId="1E15A1B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姓    名：</w:t>
      </w:r>
      <w:r>
        <w:rPr>
          <w:rFonts w:hint="eastAsia" w:ascii="宋体" w:hAnsi="宋体" w:cs="宋体"/>
          <w:color w:val="000000"/>
          <w:szCs w:val="21"/>
          <w:highlight w:val="none"/>
          <w:u w:val="single"/>
        </w:rPr>
        <w:t xml:space="preserve">                          </w:t>
      </w:r>
      <w:r>
        <w:rPr>
          <w:rFonts w:hint="eastAsia" w:ascii="宋体" w:hAnsi="宋体" w:cs="宋体"/>
          <w:color w:val="000000"/>
          <w:szCs w:val="21"/>
          <w:highlight w:val="none"/>
        </w:rPr>
        <w:t>；</w:t>
      </w:r>
    </w:p>
    <w:p w14:paraId="1D4C46B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职    务：</w:t>
      </w:r>
      <w:r>
        <w:rPr>
          <w:rFonts w:hint="eastAsia" w:ascii="宋体" w:hAnsi="宋体" w:cs="宋体"/>
          <w:color w:val="000000"/>
          <w:szCs w:val="21"/>
          <w:highlight w:val="none"/>
          <w:u w:val="single"/>
        </w:rPr>
        <w:t xml:space="preserve">                          </w:t>
      </w:r>
      <w:r>
        <w:rPr>
          <w:rFonts w:hint="eastAsia" w:ascii="宋体" w:hAnsi="宋体" w:cs="宋体"/>
          <w:color w:val="000000"/>
          <w:szCs w:val="21"/>
          <w:highlight w:val="none"/>
        </w:rPr>
        <w:t>；</w:t>
      </w:r>
    </w:p>
    <w:p w14:paraId="0F06A02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监理工程师执业资格证书号：</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566CD56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联系方式：</w:t>
      </w:r>
      <w:r>
        <w:rPr>
          <w:rFonts w:hint="eastAsia" w:ascii="宋体" w:hAnsi="宋体" w:cs="宋体"/>
          <w:color w:val="000000"/>
          <w:szCs w:val="21"/>
          <w:highlight w:val="none"/>
          <w:u w:val="single"/>
        </w:rPr>
        <w:t xml:space="preserve">                          </w:t>
      </w:r>
      <w:r>
        <w:rPr>
          <w:rFonts w:hint="eastAsia" w:ascii="宋体" w:hAnsi="宋体" w:cs="宋体"/>
          <w:color w:val="000000"/>
          <w:szCs w:val="21"/>
          <w:highlight w:val="none"/>
        </w:rPr>
        <w:t>；</w:t>
      </w:r>
    </w:p>
    <w:p w14:paraId="0C3DBE3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关于监理人的其他约定：</w:t>
      </w:r>
      <w:r>
        <w:rPr>
          <w:rFonts w:hint="eastAsia" w:ascii="宋体" w:hAnsi="宋体" w:cs="宋体"/>
          <w:color w:val="000000"/>
          <w:szCs w:val="21"/>
          <w:highlight w:val="none"/>
          <w:u w:val="single"/>
        </w:rPr>
        <w:t>见发包人与监理人就本工程签订的监理合同</w:t>
      </w:r>
      <w:r>
        <w:rPr>
          <w:rFonts w:hint="eastAsia" w:ascii="宋体" w:hAnsi="宋体" w:cs="宋体"/>
          <w:color w:val="000000"/>
          <w:szCs w:val="21"/>
          <w:highlight w:val="none"/>
        </w:rPr>
        <w:t>。</w:t>
      </w:r>
    </w:p>
    <w:p w14:paraId="298FB2E3">
      <w:pPr>
        <w:pStyle w:val="7"/>
        <w:spacing w:before="0" w:beforeAutospacing="0" w:after="0" w:afterAutospacing="0" w:line="360" w:lineRule="auto"/>
        <w:ind w:left="0" w:leftChars="0" w:firstLine="0" w:firstLineChars="0"/>
        <w:rPr>
          <w:rFonts w:hint="eastAsia"/>
          <w:bCs w:val="0"/>
          <w:color w:val="000000"/>
          <w:sz w:val="21"/>
          <w:szCs w:val="21"/>
          <w:highlight w:val="none"/>
        </w:rPr>
      </w:pPr>
      <w:bookmarkStart w:id="324" w:name="_Toc532377343"/>
      <w:r>
        <w:rPr>
          <w:rFonts w:hint="eastAsia"/>
          <w:bCs w:val="0"/>
          <w:color w:val="000000"/>
          <w:sz w:val="21"/>
          <w:szCs w:val="21"/>
          <w:highlight w:val="none"/>
        </w:rPr>
        <w:t>4.4 商定或确定</w:t>
      </w:r>
      <w:bookmarkEnd w:id="324"/>
    </w:p>
    <w:p w14:paraId="6FB238F8">
      <w:pPr>
        <w:spacing w:line="360" w:lineRule="auto"/>
        <w:ind w:firstLine="560" w:firstLineChars="200"/>
        <w:jc w:val="left"/>
        <w:rPr>
          <w:rFonts w:hint="eastAsia" w:ascii="宋体" w:hAnsi="宋体" w:cs="宋体"/>
          <w:color w:val="000000"/>
          <w:szCs w:val="21"/>
          <w:highlight w:val="none"/>
        </w:rPr>
      </w:pPr>
      <w:bookmarkStart w:id="325" w:name="_Toc267251418"/>
      <w:r>
        <w:rPr>
          <w:rFonts w:hint="eastAsia" w:ascii="宋体" w:hAnsi="宋体" w:cs="宋体"/>
          <w:color w:val="000000"/>
          <w:szCs w:val="21"/>
          <w:highlight w:val="none"/>
        </w:rPr>
        <w:t>在发包人和承包人不能通过协商达成一致意见时，发包人授权监理人对以下事项进行确定：</w:t>
      </w:r>
    </w:p>
    <w:p w14:paraId="6C1560B2">
      <w:pPr>
        <w:spacing w:line="360" w:lineRule="auto"/>
        <w:ind w:firstLine="560" w:firstLineChars="200"/>
        <w:jc w:val="left"/>
        <w:rPr>
          <w:rFonts w:ascii="宋体" w:hAnsi="宋体"/>
          <w:color w:val="000000"/>
          <w:szCs w:val="21"/>
          <w:highlight w:val="none"/>
        </w:rPr>
      </w:pPr>
      <w:bookmarkStart w:id="326" w:name="_Toc532375612"/>
      <w:bookmarkStart w:id="327" w:name="_Toc5686"/>
      <w:bookmarkStart w:id="328" w:name="_Toc532377344"/>
      <w:bookmarkStart w:id="329" w:name="_Toc351203637"/>
      <w:r>
        <w:rPr>
          <w:rFonts w:hint="eastAsia" w:ascii="宋体" w:hAnsi="宋体"/>
          <w:color w:val="000000"/>
          <w:szCs w:val="21"/>
          <w:highlight w:val="none"/>
          <w:u w:val="single"/>
        </w:rPr>
        <w:t xml:space="preserve"> 见发包人与监理人就本工程签订的监理合同 </w:t>
      </w:r>
      <w:r>
        <w:rPr>
          <w:rFonts w:hint="eastAsia" w:ascii="宋体" w:hAnsi="宋体"/>
          <w:color w:val="000000"/>
          <w:szCs w:val="21"/>
          <w:highlight w:val="none"/>
        </w:rPr>
        <w:t>。</w:t>
      </w:r>
    </w:p>
    <w:p w14:paraId="266C9EAD">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r>
        <w:rPr>
          <w:rFonts w:hint="eastAsia"/>
          <w:color w:val="000000"/>
          <w:kern w:val="2"/>
          <w:sz w:val="21"/>
          <w:szCs w:val="21"/>
          <w:highlight w:val="none"/>
        </w:rPr>
        <w:t>5</w:t>
      </w:r>
      <w:bookmarkEnd w:id="325"/>
      <w:bookmarkStart w:id="330" w:name="_Toc292559872"/>
      <w:bookmarkStart w:id="331" w:name="_Toc292559367"/>
      <w:bookmarkStart w:id="332" w:name="_Toc296503163"/>
      <w:bookmarkStart w:id="333" w:name="_Toc297048349"/>
      <w:bookmarkStart w:id="334" w:name="_Toc296890991"/>
      <w:bookmarkStart w:id="335" w:name="_Toc297120463"/>
      <w:bookmarkStart w:id="336" w:name="_Toc296346664"/>
      <w:bookmarkStart w:id="337" w:name="_Toc296347162"/>
      <w:bookmarkStart w:id="338" w:name="_Toc296944502"/>
      <w:bookmarkStart w:id="339" w:name="_Toc296891203"/>
      <w:r>
        <w:rPr>
          <w:rFonts w:hint="eastAsia"/>
          <w:color w:val="000000"/>
          <w:kern w:val="2"/>
          <w:sz w:val="21"/>
          <w:szCs w:val="21"/>
          <w:highlight w:val="none"/>
        </w:rPr>
        <w:t>. 工程质量</w:t>
      </w:r>
      <w:bookmarkEnd w:id="326"/>
      <w:bookmarkEnd w:id="327"/>
      <w:bookmarkEnd w:id="328"/>
      <w:bookmarkEnd w:id="329"/>
    </w:p>
    <w:p w14:paraId="710056EB">
      <w:pPr>
        <w:pStyle w:val="7"/>
        <w:spacing w:before="0" w:beforeAutospacing="0" w:after="0" w:afterAutospacing="0" w:line="360" w:lineRule="auto"/>
        <w:ind w:left="0" w:leftChars="0" w:firstLine="0" w:firstLineChars="0"/>
        <w:rPr>
          <w:rFonts w:hint="eastAsia"/>
          <w:color w:val="000000"/>
          <w:sz w:val="21"/>
          <w:szCs w:val="21"/>
          <w:highlight w:val="none"/>
        </w:rPr>
      </w:pPr>
      <w:bookmarkStart w:id="340" w:name="_Toc532377345"/>
      <w:r>
        <w:rPr>
          <w:rFonts w:hint="eastAsia"/>
          <w:color w:val="000000"/>
          <w:sz w:val="21"/>
          <w:szCs w:val="21"/>
          <w:highlight w:val="none"/>
        </w:rPr>
        <w:t>5.1 质量要求</w:t>
      </w:r>
      <w:bookmarkEnd w:id="340"/>
      <w:bookmarkStart w:id="341" w:name="_Hlk528909888"/>
      <w:bookmarkStart w:id="342" w:name="_Toc300934949"/>
      <w:bookmarkStart w:id="343" w:name="_Toc297216155"/>
      <w:bookmarkStart w:id="344" w:name="_Toc303539106"/>
      <w:bookmarkStart w:id="345" w:name="_Toc297123496"/>
      <w:bookmarkStart w:id="346" w:name="_Toc318581164"/>
      <w:bookmarkStart w:id="347" w:name="_Toc312677997"/>
      <w:bookmarkStart w:id="348" w:name="_Toc304295527"/>
    </w:p>
    <w:p w14:paraId="2756484D">
      <w:pPr>
        <w:snapToGrid w:val="0"/>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工程质量符合强制性质量标准，</w:t>
      </w:r>
      <w:r>
        <w:rPr>
          <w:rFonts w:hint="eastAsia" w:ascii="宋体" w:hAnsi="宋体" w:cs="宋体"/>
          <w:color w:val="000000"/>
          <w:szCs w:val="21"/>
          <w:highlight w:val="none"/>
          <w:u w:val="single"/>
        </w:rPr>
        <w:t>符合国家和重庆市现行有关施工质量验收规范要求，并达到合格</w:t>
      </w:r>
      <w:r>
        <w:rPr>
          <w:rFonts w:hint="eastAsia" w:ascii="宋体" w:hAnsi="宋体" w:cs="宋体"/>
          <w:color w:val="000000"/>
          <w:szCs w:val="21"/>
          <w:highlight w:val="none"/>
        </w:rPr>
        <w:t>标准。</w:t>
      </w:r>
    </w:p>
    <w:bookmarkEnd w:id="341"/>
    <w:p w14:paraId="12EC2193">
      <w:pPr>
        <w:pStyle w:val="7"/>
        <w:spacing w:before="0" w:beforeAutospacing="0" w:after="0" w:afterAutospacing="0" w:line="360" w:lineRule="auto"/>
        <w:ind w:left="0" w:leftChars="0" w:firstLine="0" w:firstLineChars="0"/>
        <w:rPr>
          <w:rFonts w:hint="eastAsia"/>
          <w:color w:val="000000"/>
          <w:sz w:val="21"/>
          <w:szCs w:val="21"/>
          <w:highlight w:val="none"/>
        </w:rPr>
      </w:pPr>
      <w:bookmarkStart w:id="349" w:name="_Toc532377346"/>
      <w:r>
        <w:rPr>
          <w:rFonts w:hint="eastAsia"/>
          <w:color w:val="000000"/>
          <w:sz w:val="21"/>
          <w:szCs w:val="21"/>
          <w:highlight w:val="none"/>
        </w:rPr>
        <w:t>5.2 质量保证措施</w:t>
      </w:r>
      <w:bookmarkEnd w:id="349"/>
    </w:p>
    <w:p w14:paraId="5A3809C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本款补充5.2.4项：</w:t>
      </w:r>
    </w:p>
    <w:p w14:paraId="06467B4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5.2.4 在工程建设中，参建各方应严格执行以下规定（包括但不限于）：</w:t>
      </w:r>
    </w:p>
    <w:p w14:paraId="6190E4B7">
      <w:pPr>
        <w:spacing w:line="360" w:lineRule="auto"/>
        <w:ind w:firstLine="560" w:firstLineChars="200"/>
        <w:jc w:val="left"/>
        <w:rPr>
          <w:rFonts w:hint="eastAsia" w:ascii="宋体" w:hAnsi="宋体" w:cs="宋体"/>
          <w:color w:val="000000"/>
          <w:szCs w:val="21"/>
          <w:highlight w:val="none"/>
        </w:rPr>
      </w:pPr>
      <w:bookmarkStart w:id="350" w:name="_Toc351203536"/>
      <w:bookmarkStart w:id="351" w:name="_Toc532377347"/>
      <w:bookmarkStart w:id="352" w:name="_Hlk528927873"/>
      <w:r>
        <w:rPr>
          <w:rFonts w:hint="eastAsia" w:ascii="宋体" w:hAnsi="宋体" w:cs="宋体"/>
          <w:color w:val="000000"/>
          <w:szCs w:val="21"/>
          <w:highlight w:val="none"/>
        </w:rPr>
        <w:t>（1）</w:t>
      </w:r>
      <w:r>
        <w:rPr>
          <w:rFonts w:hint="eastAsia" w:ascii="宋体" w:hAnsi="宋体" w:cs="宋体"/>
          <w:color w:val="000000"/>
          <w:szCs w:val="21"/>
          <w:highlight w:val="none"/>
          <w:u w:val="single"/>
        </w:rPr>
        <w:t>《建筑工程施工质量验收统一标准》（GB50300-2013）</w:t>
      </w:r>
      <w:r>
        <w:rPr>
          <w:rFonts w:hint="eastAsia" w:ascii="宋体" w:hAnsi="宋体" w:cs="宋体"/>
          <w:color w:val="000000"/>
          <w:szCs w:val="21"/>
          <w:highlight w:val="none"/>
        </w:rPr>
        <w:t>；</w:t>
      </w:r>
    </w:p>
    <w:p w14:paraId="6D7A468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u w:val="single"/>
        </w:rPr>
        <w:t>《住房城乡建设部关于印发工程质量安全提升行动方案的通知》（建质〔2017〕57号）</w:t>
      </w:r>
      <w:r>
        <w:rPr>
          <w:rFonts w:hint="eastAsia" w:ascii="宋体" w:hAnsi="宋体" w:cs="宋体"/>
          <w:color w:val="000000"/>
          <w:szCs w:val="21"/>
          <w:highlight w:val="none"/>
        </w:rPr>
        <w:t>；</w:t>
      </w:r>
    </w:p>
    <w:p w14:paraId="186ACD8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u w:val="single"/>
        </w:rPr>
        <w:t>《房屋建筑和市政基础设施工程竣工验收规定》（建质〔2013〕171号）</w:t>
      </w:r>
      <w:r>
        <w:rPr>
          <w:rFonts w:hint="eastAsia" w:ascii="宋体" w:hAnsi="宋体" w:cs="宋体"/>
          <w:color w:val="000000"/>
          <w:szCs w:val="21"/>
          <w:highlight w:val="none"/>
        </w:rPr>
        <w:t>；</w:t>
      </w:r>
    </w:p>
    <w:p w14:paraId="79D7B60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highlight w:val="none"/>
          <w:u w:val="single"/>
        </w:rPr>
        <w:t>《建设部关于贯彻执行建筑工程勘察设计及施工质量验收规范若干问题的通知》（建标〔2002〕212号）</w:t>
      </w:r>
      <w:r>
        <w:rPr>
          <w:rFonts w:hint="eastAsia" w:ascii="宋体" w:hAnsi="宋体" w:cs="宋体"/>
          <w:color w:val="000000"/>
          <w:szCs w:val="21"/>
          <w:highlight w:val="none"/>
        </w:rPr>
        <w:t>；</w:t>
      </w:r>
    </w:p>
    <w:p w14:paraId="11A0AC3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w:t>
      </w:r>
      <w:r>
        <w:rPr>
          <w:rFonts w:hint="eastAsia" w:ascii="宋体" w:hAnsi="宋体" w:cs="宋体"/>
          <w:color w:val="000000"/>
          <w:szCs w:val="21"/>
          <w:highlight w:val="none"/>
          <w:u w:val="single"/>
        </w:rPr>
        <w:t>《重庆市住房和城乡建设委员会关于印发&lt;重庆市房屋建筑和市政基础设施工程质量常见问题防治要点（2019年版）&gt;的通知》（渝建〔2019〕198号）</w:t>
      </w:r>
      <w:r>
        <w:rPr>
          <w:rFonts w:hint="eastAsia" w:ascii="宋体" w:hAnsi="宋体" w:cs="宋体"/>
          <w:color w:val="000000"/>
          <w:szCs w:val="21"/>
          <w:highlight w:val="none"/>
        </w:rPr>
        <w:t>；</w:t>
      </w:r>
    </w:p>
    <w:p w14:paraId="298A409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s="宋体"/>
          <w:color w:val="000000"/>
          <w:szCs w:val="21"/>
          <w:highlight w:val="none"/>
          <w:u w:val="single"/>
        </w:rPr>
        <w:t>《关于印发&lt;重庆市房屋建筑和市政基础设施工程预拌商品砂浆应用推进工作方案&gt;的通知》（渝建〔2018〕375号）</w:t>
      </w:r>
      <w:r>
        <w:rPr>
          <w:rFonts w:hint="eastAsia" w:ascii="宋体" w:hAnsi="宋体" w:cs="宋体"/>
          <w:color w:val="000000"/>
          <w:szCs w:val="21"/>
          <w:highlight w:val="none"/>
        </w:rPr>
        <w:t>；</w:t>
      </w:r>
    </w:p>
    <w:p w14:paraId="45AFF79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w:t>
      </w:r>
      <w:r>
        <w:rPr>
          <w:rFonts w:hint="eastAsia" w:ascii="宋体" w:hAnsi="宋体" w:cs="宋体"/>
          <w:color w:val="000000"/>
          <w:szCs w:val="21"/>
          <w:highlight w:val="none"/>
          <w:u w:val="single"/>
        </w:rPr>
        <w:t>《重庆市城乡建设委员会关于印发2018年房屋建筑和市政基础设施工程质量要点的通知》（渝建〔2018〕94号）</w:t>
      </w:r>
      <w:r>
        <w:rPr>
          <w:rFonts w:hint="eastAsia" w:ascii="宋体" w:hAnsi="宋体" w:cs="宋体"/>
          <w:color w:val="000000"/>
          <w:szCs w:val="21"/>
          <w:highlight w:val="none"/>
        </w:rPr>
        <w:t>；</w:t>
      </w:r>
    </w:p>
    <w:p w14:paraId="4E9A1C2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w:t>
      </w:r>
      <w:r>
        <w:rPr>
          <w:rFonts w:hint="eastAsia" w:ascii="宋体" w:hAnsi="宋体" w:cs="宋体"/>
          <w:color w:val="000000"/>
          <w:szCs w:val="21"/>
          <w:highlight w:val="none"/>
          <w:u w:val="single"/>
        </w:rPr>
        <w:t>《重庆市城乡建设委员会关于进一步推广应用预拌商品砂浆的通知》（渝建〔2016〕318号）</w:t>
      </w:r>
      <w:r>
        <w:rPr>
          <w:rFonts w:hint="eastAsia" w:ascii="宋体" w:hAnsi="宋体" w:cs="宋体"/>
          <w:color w:val="000000"/>
          <w:szCs w:val="21"/>
          <w:highlight w:val="none"/>
        </w:rPr>
        <w:t>；</w:t>
      </w:r>
    </w:p>
    <w:p w14:paraId="36AE782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（9）</w:t>
      </w:r>
      <w:r>
        <w:rPr>
          <w:rFonts w:hint="eastAsia" w:ascii="宋体" w:hAnsi="宋体" w:cs="宋体"/>
          <w:color w:val="000000"/>
          <w:szCs w:val="21"/>
          <w:highlight w:val="none"/>
          <w:u w:val="single"/>
        </w:rPr>
        <w:t>《重庆市建设委员会关于发布&lt;建筑工程施工质量验收规范用表（建筑节能分部工程）&gt;和&lt;建设工程技术用表（建筑节能工程）&gt;的通知》（渝建发〔2008〕76号）</w:t>
      </w:r>
      <w:r>
        <w:rPr>
          <w:rFonts w:hint="eastAsia" w:ascii="宋体" w:hAnsi="宋体" w:cs="宋体"/>
          <w:color w:val="000000"/>
          <w:szCs w:val="21"/>
          <w:highlight w:val="none"/>
        </w:rPr>
        <w:t>；</w:t>
      </w:r>
    </w:p>
    <w:p w14:paraId="7EC8EEB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（10）</w:t>
      </w:r>
      <w:r>
        <w:rPr>
          <w:rFonts w:hint="eastAsia" w:ascii="宋体" w:hAnsi="宋体" w:cs="宋体"/>
          <w:color w:val="000000"/>
          <w:szCs w:val="21"/>
          <w:highlight w:val="none"/>
          <w:u w:val="single"/>
        </w:rPr>
        <w:t>国家和本市现行有关建设工程质量验收标准、规范和要求</w:t>
      </w:r>
      <w:r>
        <w:rPr>
          <w:rFonts w:hint="eastAsia" w:ascii="宋体" w:hAnsi="宋体" w:cs="宋体"/>
          <w:color w:val="000000"/>
          <w:szCs w:val="21"/>
          <w:highlight w:val="none"/>
        </w:rPr>
        <w:t>；</w:t>
      </w:r>
    </w:p>
    <w:p w14:paraId="50B2787A">
      <w:pPr>
        <w:pStyle w:val="2"/>
        <w:spacing w:after="0" w:line="360" w:lineRule="auto"/>
        <w:ind w:firstLine="64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50051A6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承包人、监理人和发包人在工程建设中，应严格执行国家及重庆市现行标准，如上述标准及规范要求有出入则以较严格者为准。</w:t>
      </w:r>
    </w:p>
    <w:p w14:paraId="3E5DEF9F">
      <w:pPr>
        <w:spacing w:line="360" w:lineRule="auto"/>
        <w:ind w:firstLine="562" w:firstLineChars="200"/>
        <w:jc w:val="left"/>
        <w:rPr>
          <w:rFonts w:hint="eastAsia" w:ascii="宋体" w:hAnsi="宋体" w:cs="宋体"/>
          <w:b/>
          <w:bCs/>
          <w:color w:val="000000"/>
          <w:szCs w:val="21"/>
          <w:highlight w:val="none"/>
        </w:rPr>
      </w:pPr>
      <w:r>
        <w:rPr>
          <w:rFonts w:hint="eastAsia" w:ascii="宋体" w:hAnsi="宋体" w:cs="宋体"/>
          <w:b/>
          <w:bCs/>
          <w:color w:val="000000"/>
          <w:szCs w:val="21"/>
          <w:highlight w:val="none"/>
        </w:rPr>
        <w:t>5.3隐蔽工程检查</w:t>
      </w:r>
    </w:p>
    <w:p w14:paraId="5335292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5.3.2检查程序</w:t>
      </w:r>
    </w:p>
    <w:p w14:paraId="1FCA7B8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工程隐蔽部位经承包人自检确认具备覆盖条件的，承包人应在共同检查前</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小时书面通知监理人检查，通知中应载明隐蔽检查的内容、时间和地点，并应附有自检记录和必要的检查资料。</w:t>
      </w:r>
    </w:p>
    <w:p w14:paraId="3B01631C">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5</w:t>
      </w:r>
      <w:bookmarkStart w:id="353" w:name="_Toc337558762"/>
      <w:r>
        <w:rPr>
          <w:rFonts w:hint="eastAsia"/>
          <w:color w:val="000000"/>
          <w:sz w:val="21"/>
          <w:szCs w:val="21"/>
          <w:highlight w:val="none"/>
        </w:rPr>
        <w:t>.4 不合格工程的处理</w:t>
      </w:r>
      <w:bookmarkEnd w:id="350"/>
      <w:bookmarkEnd w:id="351"/>
    </w:p>
    <w:bookmarkEnd w:id="353"/>
    <w:p w14:paraId="6D3DC6D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本款补充5.4.3项：</w:t>
      </w:r>
    </w:p>
    <w:p w14:paraId="367E01C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5.4.3 承包人在收到监理人发出的《不合格分项报告》或监理通知单后，必须在监理人规定时间内按要求完成整改，未能在限定时间内完成整改的，须承担相应违约责任。</w:t>
      </w:r>
    </w:p>
    <w:p w14:paraId="5AAA956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本条补充5.6款：</w:t>
      </w:r>
    </w:p>
    <w:bookmarkEnd w:id="352"/>
    <w:p w14:paraId="5B5F49A3">
      <w:pPr>
        <w:pStyle w:val="7"/>
        <w:spacing w:before="0" w:beforeAutospacing="0" w:after="0" w:afterAutospacing="0" w:line="360" w:lineRule="auto"/>
        <w:ind w:left="0" w:leftChars="0" w:firstLine="0" w:firstLineChars="0"/>
        <w:rPr>
          <w:rFonts w:hint="eastAsia"/>
          <w:color w:val="000000"/>
          <w:sz w:val="21"/>
          <w:szCs w:val="21"/>
          <w:highlight w:val="none"/>
        </w:rPr>
      </w:pPr>
      <w:bookmarkStart w:id="354" w:name="_Toc532377348"/>
      <w:r>
        <w:rPr>
          <w:rFonts w:hint="eastAsia"/>
          <w:color w:val="000000"/>
          <w:sz w:val="21"/>
          <w:szCs w:val="21"/>
          <w:highlight w:val="none"/>
        </w:rPr>
        <w:t>5.6 质量事故的处理</w:t>
      </w:r>
      <w:bookmarkEnd w:id="354"/>
    </w:p>
    <w:p w14:paraId="5CA19B8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5.6.1 合同履行过程中，发生工程质量事故的调查处理按照国家及重庆市现行规定处理。</w:t>
      </w:r>
    </w:p>
    <w:p w14:paraId="1F61F56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bookmarkEnd w:id="330"/>
    <w:bookmarkEnd w:id="331"/>
    <w:bookmarkEnd w:id="332"/>
    <w:bookmarkEnd w:id="333"/>
    <w:bookmarkEnd w:id="334"/>
    <w:bookmarkEnd w:id="335"/>
    <w:bookmarkEnd w:id="336"/>
    <w:bookmarkEnd w:id="337"/>
    <w:bookmarkEnd w:id="338"/>
    <w:bookmarkEnd w:id="339"/>
    <w:bookmarkEnd w:id="342"/>
    <w:bookmarkEnd w:id="343"/>
    <w:bookmarkEnd w:id="344"/>
    <w:bookmarkEnd w:id="345"/>
    <w:bookmarkEnd w:id="346"/>
    <w:bookmarkEnd w:id="347"/>
    <w:bookmarkEnd w:id="348"/>
    <w:p w14:paraId="62856663">
      <w:pPr>
        <w:pStyle w:val="6"/>
        <w:keepNext/>
        <w:keepLines/>
        <w:spacing w:before="221" w:beforeLines="50" w:beforeAutospacing="0" w:after="221" w:afterLines="50" w:afterAutospacing="0" w:line="360" w:lineRule="auto"/>
        <w:rPr>
          <w:rFonts w:hint="eastAsia"/>
          <w:bCs w:val="0"/>
          <w:color w:val="000000"/>
          <w:kern w:val="2"/>
          <w:sz w:val="21"/>
          <w:szCs w:val="21"/>
          <w:highlight w:val="none"/>
        </w:rPr>
      </w:pPr>
      <w:bookmarkStart w:id="355" w:name="_Toc22686"/>
      <w:bookmarkStart w:id="356" w:name="_Toc351203638"/>
      <w:bookmarkStart w:id="357" w:name="_Toc532377349"/>
      <w:bookmarkStart w:id="358" w:name="_Toc532375613"/>
      <w:bookmarkStart w:id="359" w:name="_Toc296503173"/>
      <w:bookmarkStart w:id="360" w:name="_Toc296891213"/>
      <w:bookmarkStart w:id="361" w:name="_Toc292559883"/>
      <w:bookmarkStart w:id="362" w:name="_Toc267251428"/>
      <w:bookmarkStart w:id="363" w:name="_Toc296891001"/>
      <w:bookmarkStart w:id="364" w:name="_Toc296944512"/>
      <w:bookmarkStart w:id="365" w:name="_Toc292559378"/>
      <w:bookmarkStart w:id="366" w:name="_Toc351203642"/>
      <w:bookmarkStart w:id="367" w:name="_Toc296347172"/>
      <w:bookmarkStart w:id="368" w:name="_Toc267251427"/>
      <w:bookmarkStart w:id="369" w:name="_Toc296346674"/>
      <w:bookmarkStart w:id="370" w:name="_Toc297120473"/>
      <w:bookmarkStart w:id="371" w:name="_Toc297048359"/>
      <w:r>
        <w:rPr>
          <w:rFonts w:hint="eastAsia"/>
          <w:color w:val="000000"/>
          <w:kern w:val="2"/>
          <w:sz w:val="21"/>
          <w:szCs w:val="21"/>
          <w:highlight w:val="none"/>
        </w:rPr>
        <w:t>6. 安全文明施工与环境保护</w:t>
      </w:r>
      <w:bookmarkEnd w:id="355"/>
      <w:bookmarkEnd w:id="356"/>
      <w:bookmarkEnd w:id="357"/>
      <w:bookmarkEnd w:id="358"/>
    </w:p>
    <w:p w14:paraId="07D88871">
      <w:pPr>
        <w:pStyle w:val="7"/>
        <w:spacing w:before="0" w:beforeAutospacing="0" w:after="0" w:afterAutospacing="0" w:line="360" w:lineRule="auto"/>
        <w:ind w:left="0" w:leftChars="0" w:firstLine="0" w:firstLineChars="0"/>
        <w:rPr>
          <w:rFonts w:hint="eastAsia"/>
          <w:color w:val="000000"/>
          <w:sz w:val="21"/>
          <w:szCs w:val="21"/>
          <w:highlight w:val="none"/>
        </w:rPr>
      </w:pPr>
      <w:bookmarkStart w:id="372" w:name="_Toc532377350"/>
      <w:bookmarkStart w:id="373" w:name="_Toc532375614"/>
      <w:r>
        <w:rPr>
          <w:rFonts w:hint="eastAsia"/>
          <w:color w:val="000000"/>
          <w:sz w:val="21"/>
          <w:szCs w:val="21"/>
          <w:highlight w:val="none"/>
        </w:rPr>
        <w:t>6.1 安全文明施工</w:t>
      </w:r>
      <w:bookmarkEnd w:id="372"/>
      <w:bookmarkEnd w:id="373"/>
    </w:p>
    <w:p w14:paraId="7AF99E5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承包人必须认真贯彻执行国家安全生产法律、法规、规章和强制性安全标准，按照重庆市现行的质量、安全文明施工有关规定和发包人安全管理的有关规定，建立完善的质量、安全、文明施工管理制度。</w:t>
      </w:r>
    </w:p>
    <w:p w14:paraId="09566FF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的施工要做到节能、环保，如果通过采用新材料、新设备、新工艺、新技术的手段来提高工程质量或节省工期，则必须保证新材料、新设备、新工艺、新技术是成熟的并获得相关部门正式批准的，同时使用前承包人必须组织专家论证，并得到发包人、监理人的批准。</w:t>
      </w:r>
    </w:p>
    <w:p w14:paraId="099486E5">
      <w:pPr>
        <w:spacing w:line="360" w:lineRule="auto"/>
        <w:ind w:firstLine="560" w:firstLineChars="200"/>
        <w:jc w:val="both"/>
        <w:rPr>
          <w:rFonts w:hint="eastAsia" w:ascii="宋体" w:hAnsi="宋体" w:cs="宋体"/>
          <w:color w:val="000000"/>
          <w:szCs w:val="21"/>
          <w:highlight w:val="none"/>
          <w:u w:val="single"/>
        </w:rPr>
      </w:pPr>
      <w:r>
        <w:rPr>
          <w:rFonts w:hint="eastAsia" w:ascii="宋体" w:hAnsi="宋体" w:cs="宋体"/>
          <w:color w:val="000000"/>
          <w:szCs w:val="21"/>
          <w:highlight w:val="none"/>
        </w:rPr>
        <w:t>6.1.1 项目安全生产的达标目标及相应事项的约定：</w:t>
      </w:r>
      <w:r>
        <w:rPr>
          <w:rFonts w:hint="eastAsia" w:ascii="宋体" w:hAnsi="宋体" w:cs="宋体"/>
          <w:color w:val="000000"/>
          <w:szCs w:val="21"/>
          <w:highlight w:val="none"/>
          <w:u w:val="single"/>
        </w:rPr>
        <w:t>达到《建筑施工安全检查标准》（JGJ59-2011）的要求</w:t>
      </w:r>
      <w:r>
        <w:rPr>
          <w:rFonts w:hint="eastAsia" w:ascii="宋体" w:hAnsi="宋体" w:cs="宋体"/>
          <w:color w:val="000000"/>
          <w:szCs w:val="21"/>
          <w:highlight w:val="none"/>
        </w:rPr>
        <w:t>。</w:t>
      </w:r>
    </w:p>
    <w:p w14:paraId="014AF09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（1）按现行安全文明施工费计取及使用管理的政策文件规定及发包人制订的安全管理制度执行</w:t>
      </w:r>
      <w:r>
        <w:rPr>
          <w:rFonts w:hint="eastAsia" w:ascii="宋体" w:hAnsi="宋体" w:cs="宋体"/>
          <w:color w:val="000000"/>
          <w:szCs w:val="21"/>
          <w:highlight w:val="none"/>
        </w:rPr>
        <w:t>。</w:t>
      </w:r>
    </w:p>
    <w:p w14:paraId="6109B77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（2）承包人的原因造成事故，由此产生的法律责任和事故责任及费用由承包人全部承担</w:t>
      </w:r>
      <w:r>
        <w:rPr>
          <w:rFonts w:hint="eastAsia" w:ascii="宋体" w:hAnsi="宋体" w:cs="宋体"/>
          <w:color w:val="000000"/>
          <w:szCs w:val="21"/>
          <w:highlight w:val="none"/>
        </w:rPr>
        <w:t>。</w:t>
      </w:r>
    </w:p>
    <w:p w14:paraId="0031E50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（3）承包人向发包人做出安全承诺，并签订《安全生产目标责任书》和《安全承诺书》</w:t>
      </w:r>
      <w:r>
        <w:rPr>
          <w:rFonts w:hint="eastAsia" w:ascii="宋体" w:hAnsi="宋体" w:cs="宋体"/>
          <w:color w:val="000000"/>
          <w:szCs w:val="21"/>
          <w:highlight w:val="none"/>
        </w:rPr>
        <w:t>。</w:t>
      </w:r>
    </w:p>
    <w:p w14:paraId="2043647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（4）承包人在施工过程中，必须严格执行安全生产法的相关规定，制定切实可靠的安全技术措施</w:t>
      </w:r>
      <w:r>
        <w:rPr>
          <w:rFonts w:hint="eastAsia" w:ascii="宋体" w:hAnsi="宋体" w:cs="宋体"/>
          <w:color w:val="000000"/>
          <w:szCs w:val="21"/>
          <w:highlight w:val="none"/>
        </w:rPr>
        <w:t>。</w:t>
      </w:r>
    </w:p>
    <w:p w14:paraId="3F767346">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（5）接受发包人安全监督和管理，在施工中违反安全管理规定和操作规程、违章作业的，承担违约责任</w:t>
      </w:r>
      <w:r>
        <w:rPr>
          <w:rFonts w:hint="eastAsia" w:ascii="宋体" w:hAnsi="宋体" w:cs="宋体"/>
          <w:color w:val="000000"/>
          <w:szCs w:val="21"/>
          <w:highlight w:val="none"/>
        </w:rPr>
        <w:t>。</w:t>
      </w:r>
    </w:p>
    <w:p w14:paraId="0D6F9BE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6.1.4 关于治安保卫的特别约定：</w:t>
      </w:r>
      <w:r>
        <w:rPr>
          <w:rFonts w:hint="eastAsia" w:ascii="宋体" w:hAnsi="宋体" w:cs="宋体"/>
          <w:color w:val="000000"/>
          <w:szCs w:val="21"/>
          <w:highlight w:val="none"/>
          <w:u w:val="single"/>
        </w:rPr>
        <w:t>承包人负责组建施工现场治安管理机构或联防组织；承包人负责编制施工场地治安管理计划和突发治安事件紧急预案</w:t>
      </w:r>
      <w:r>
        <w:rPr>
          <w:rFonts w:hint="eastAsia" w:ascii="宋体" w:hAnsi="宋体" w:cs="宋体"/>
          <w:color w:val="000000"/>
          <w:szCs w:val="21"/>
          <w:highlight w:val="none"/>
        </w:rPr>
        <w:t>。</w:t>
      </w:r>
    </w:p>
    <w:p w14:paraId="793C62A0">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关于编制施工场地治安管理计划的约定：</w:t>
      </w:r>
      <w:r>
        <w:rPr>
          <w:rFonts w:hint="eastAsia" w:ascii="宋体" w:hAnsi="宋体" w:cs="宋体"/>
          <w:color w:val="000000"/>
          <w:szCs w:val="21"/>
          <w:highlight w:val="none"/>
          <w:u w:val="single"/>
        </w:rPr>
        <w:t>由承包人负责</w:t>
      </w:r>
      <w:r>
        <w:rPr>
          <w:rFonts w:hint="eastAsia" w:ascii="宋体" w:hAnsi="宋体" w:cs="宋体"/>
          <w:color w:val="000000"/>
          <w:szCs w:val="21"/>
          <w:highlight w:val="none"/>
        </w:rPr>
        <w:t>。</w:t>
      </w:r>
    </w:p>
    <w:p w14:paraId="5D925A1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6.1.5 文明施工</w:t>
      </w:r>
    </w:p>
    <w:p w14:paraId="48B4E29F">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合同当事人对文明施工的要求：</w:t>
      </w:r>
      <w:r>
        <w:rPr>
          <w:rFonts w:hint="eastAsia" w:ascii="宋体" w:hAnsi="宋体" w:cs="宋体"/>
          <w:color w:val="000000"/>
          <w:szCs w:val="21"/>
          <w:highlight w:val="none"/>
          <w:u w:val="single"/>
        </w:rPr>
        <w:t>承包人应按照《房屋建筑和市政基础设施工程施工扬尘控制工作方案》（渝建发〔2009〕13号）、《重庆市建设委员会关于印发&lt;重庆市房屋建筑和市政基础设施工程现场文明施工标准&gt;的通知》（渝建发〔2008〕169号）等相关规定履行好施工扬尘控制、文明施工等责任</w:t>
      </w:r>
      <w:r>
        <w:rPr>
          <w:rFonts w:hint="eastAsia" w:ascii="宋体" w:hAnsi="宋体" w:cs="宋体"/>
          <w:color w:val="000000"/>
          <w:szCs w:val="21"/>
          <w:highlight w:val="none"/>
        </w:rPr>
        <w:t>。</w:t>
      </w:r>
    </w:p>
    <w:p w14:paraId="5795DD0E">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承包人应按规定设置施工现场围挡，承包人采用的围挡主体形式应从重庆市城乡建委发布的标准图集（DJBT-062、DJBT-063）中选用，做好施工围挡，围挡应整齐美观，承包人按相关要求做好日常维护和保洁，围挡高度满足规范要求，相关费用已包含在签约合同价中</w:t>
      </w:r>
      <w:r>
        <w:rPr>
          <w:rFonts w:hint="eastAsia" w:ascii="宋体" w:hAnsi="宋体" w:cs="宋体"/>
          <w:color w:val="000000"/>
          <w:szCs w:val="21"/>
          <w:highlight w:val="none"/>
        </w:rPr>
        <w:t>。</w:t>
      </w:r>
    </w:p>
    <w:p w14:paraId="25C3AFFB">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6.1.6 关于安全文明施工费支付比例和支付期限的约定：按照行业主管部门相关规定</w:t>
      </w:r>
      <w:r>
        <w:rPr>
          <w:rFonts w:hint="eastAsia" w:ascii="宋体" w:hAnsi="宋体" w:cs="宋体"/>
          <w:color w:val="000000"/>
          <w:szCs w:val="21"/>
          <w:highlight w:val="none"/>
          <w:u w:val="single"/>
        </w:rPr>
        <w:t xml:space="preserve"> 按照行业主管部门相关规定</w:t>
      </w:r>
      <w:r>
        <w:rPr>
          <w:rFonts w:hint="eastAsia" w:ascii="宋体" w:hAnsi="宋体" w:cs="宋体"/>
          <w:color w:val="000000"/>
          <w:szCs w:val="21"/>
          <w:highlight w:val="none"/>
        </w:rPr>
        <w:t>执行。</w:t>
      </w:r>
    </w:p>
    <w:p w14:paraId="4E31D81C">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安全文明施工费的要求与内容、提取支付方法以及违反约定造成损失的赔偿等条款，按照现行规范要求执行，做到专款专用</w:t>
      </w:r>
      <w:r>
        <w:rPr>
          <w:rFonts w:hint="eastAsia" w:ascii="宋体" w:hAnsi="宋体" w:cs="宋体"/>
          <w:color w:val="000000"/>
          <w:szCs w:val="21"/>
          <w:highlight w:val="none"/>
        </w:rPr>
        <w:t>。</w:t>
      </w:r>
    </w:p>
    <w:p w14:paraId="59F0AEA7">
      <w:pPr>
        <w:pStyle w:val="7"/>
        <w:spacing w:before="0" w:beforeAutospacing="0" w:after="0" w:afterAutospacing="0" w:line="360" w:lineRule="auto"/>
        <w:ind w:left="0" w:leftChars="0" w:firstLine="0" w:firstLineChars="0"/>
        <w:rPr>
          <w:rFonts w:hint="eastAsia"/>
          <w:color w:val="000000"/>
          <w:sz w:val="21"/>
          <w:szCs w:val="21"/>
          <w:highlight w:val="none"/>
        </w:rPr>
      </w:pPr>
      <w:bookmarkStart w:id="374" w:name="_Toc532377351"/>
      <w:bookmarkStart w:id="375" w:name="_Toc532375615"/>
      <w:r>
        <w:rPr>
          <w:rFonts w:hint="eastAsia"/>
          <w:color w:val="000000"/>
          <w:sz w:val="21"/>
          <w:szCs w:val="21"/>
          <w:highlight w:val="none"/>
        </w:rPr>
        <w:t>6.3 环境保护</w:t>
      </w:r>
      <w:bookmarkEnd w:id="374"/>
      <w:bookmarkEnd w:id="375"/>
    </w:p>
    <w:p w14:paraId="1CD0733A">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本款补充6.3.1～6.3.8项：</w:t>
      </w:r>
    </w:p>
    <w:p w14:paraId="60BCC45A">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6.3.1 承包人应严格按照项目环境影响评价文件批准书结合发包人报送的环境影响报告书的要求进行环境保护的相关工作。如行政主管部门有新标准，则按最新标准执行，执行新标准增加的费用由发包人承担。</w:t>
      </w:r>
    </w:p>
    <w:p w14:paraId="234864ED">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6.3.2 承包人应做好对周边环境的调查工作，认真编制施工组织设计，严格按照施工方案组织施工，涉及交通、绿化、市政、环保、生态、公共安全等的施工方案应达到相关标准要求并在施工前得到相关行政主管部门和单位的同意，否则不得施工，因施工原因引起的一切投诉及处罚由承包人自行负责。</w:t>
      </w:r>
    </w:p>
    <w:p w14:paraId="6368D3B9">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6.3.3 承包人应加强生态环境保护工作。施工期间，采取边坡防护，挡渣坝、排水沟、沉淀池、表土剥离和绿化恢复等水土保持措施减少水土流失量，绿化恢复宜采用适于当地生长的植物。</w:t>
      </w:r>
    </w:p>
    <w:p w14:paraId="67CF3BA5">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6.3.4 承包人应认真落实水污染防治措施。施工期间，加强机械设备维护，减少跑冒滴漏等现象；做好含油废水处理措施；施工场地生活污水经生化处理后达到《污水综合排放标准》（GB8978-1996）一级标准后排放。</w:t>
      </w:r>
    </w:p>
    <w:p w14:paraId="1F54F79F">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6.3.5 承包人应重视大气污染物污染防治措施。施工期间，严格执行市政府“蓝天行动”方案等有关规定，通过洒水防尘，严格控制施工场地扬尘和运输扬尘污染。</w:t>
      </w:r>
    </w:p>
    <w:p w14:paraId="4F8A5C7A">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6.3.6 承包人应落实固体废物污染防治措施。施工期间，项目产生的弃方不可合理利用的，应运往指定的弃渣场内堆存；建筑垃圾运至指定的建筑垃圾消纳场处置；生活垃圾由当地环卫部门统一处置。</w:t>
      </w:r>
    </w:p>
    <w:p w14:paraId="486B4637">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6.3.7 承包人应认真落实噪声污染防治措施。施工期间，优选低噪声设备，合理安排施工时间，严格控制夜间施工，昼、夜施工场界需满足《建筑施工场界环境噪声排放标准》（GB12523-2011）。</w:t>
      </w:r>
    </w:p>
    <w:p w14:paraId="65E4248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6.3.8 承包人自行负责办理有关施工场地交通、环卫和施工噪音管理等手续，并应按要求结合自身实际和重庆市相关规定，考虑不低于以上标准的此类工作。</w:t>
      </w:r>
    </w:p>
    <w:p w14:paraId="5A07796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 xml:space="preserve">6.3.9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352518DB">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376" w:name="_Toc351203639"/>
      <w:bookmarkStart w:id="377" w:name="_Toc532375616"/>
      <w:bookmarkStart w:id="378" w:name="_Toc532377352"/>
      <w:bookmarkStart w:id="379" w:name="_Toc31870"/>
      <w:r>
        <w:rPr>
          <w:rFonts w:hint="eastAsia"/>
          <w:color w:val="000000"/>
          <w:kern w:val="2"/>
          <w:sz w:val="21"/>
          <w:szCs w:val="21"/>
          <w:highlight w:val="none"/>
        </w:rPr>
        <w:t>7. 工期和进度</w:t>
      </w:r>
      <w:bookmarkEnd w:id="376"/>
      <w:bookmarkEnd w:id="377"/>
      <w:bookmarkEnd w:id="378"/>
      <w:bookmarkEnd w:id="379"/>
    </w:p>
    <w:p w14:paraId="72A1405F">
      <w:pPr>
        <w:pStyle w:val="7"/>
        <w:spacing w:before="0" w:beforeAutospacing="0" w:after="0" w:afterAutospacing="0" w:line="360" w:lineRule="auto"/>
        <w:ind w:left="0" w:leftChars="0" w:firstLine="0" w:firstLineChars="0"/>
        <w:rPr>
          <w:rFonts w:hint="eastAsia"/>
          <w:color w:val="000000"/>
          <w:sz w:val="21"/>
          <w:szCs w:val="21"/>
          <w:highlight w:val="none"/>
        </w:rPr>
      </w:pPr>
      <w:bookmarkStart w:id="380" w:name="_Toc532377353"/>
      <w:bookmarkStart w:id="381" w:name="_Toc532375617"/>
      <w:r>
        <w:rPr>
          <w:rFonts w:hint="eastAsia"/>
          <w:color w:val="000000"/>
          <w:sz w:val="21"/>
          <w:szCs w:val="21"/>
          <w:highlight w:val="none"/>
        </w:rPr>
        <w:t>7.1 施工组织设计</w:t>
      </w:r>
      <w:bookmarkEnd w:id="380"/>
      <w:bookmarkEnd w:id="381"/>
    </w:p>
    <w:p w14:paraId="713F48C2">
      <w:pPr>
        <w:autoSpaceDE w:val="0"/>
        <w:autoSpaceDN w:val="0"/>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7.1.1 合同当事人约定的施工组织设计应包括的其他内容：</w:t>
      </w:r>
      <w:r>
        <w:rPr>
          <w:rFonts w:hint="eastAsia" w:ascii="宋体" w:hAnsi="宋体" w:cs="宋体"/>
          <w:color w:val="000000"/>
          <w:szCs w:val="21"/>
          <w:highlight w:val="none"/>
          <w:u w:val="single"/>
        </w:rPr>
        <w:t>应采用文字并结合图表形式说明施工方法；拟投入工程的主要施工设备情况、拟配备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按发包人要求提供</w:t>
      </w:r>
      <w:r>
        <w:rPr>
          <w:rFonts w:hint="eastAsia" w:ascii="宋体" w:hAnsi="宋体" w:cs="宋体"/>
          <w:color w:val="000000"/>
          <w:szCs w:val="21"/>
          <w:highlight w:val="none"/>
        </w:rPr>
        <w:t>。</w:t>
      </w:r>
    </w:p>
    <w:p w14:paraId="59E2C429">
      <w:pPr>
        <w:autoSpaceDE w:val="0"/>
        <w:autoSpaceDN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7.1.2 施工组织设计的提交和修改</w:t>
      </w:r>
    </w:p>
    <w:p w14:paraId="5A3DE234">
      <w:pPr>
        <w:autoSpaceDE w:val="0"/>
        <w:autoSpaceDN w:val="0"/>
        <w:spacing w:line="360" w:lineRule="auto"/>
        <w:ind w:firstLine="560" w:firstLineChars="200"/>
        <w:jc w:val="left"/>
        <w:rPr>
          <w:rFonts w:ascii="宋体" w:hAnsi="宋体"/>
          <w:color w:val="000000"/>
          <w:szCs w:val="21"/>
          <w:highlight w:val="none"/>
        </w:rPr>
      </w:pPr>
      <w:bookmarkStart w:id="382" w:name="_Toc532375618"/>
      <w:bookmarkStart w:id="383" w:name="_Toc532377354"/>
      <w:r>
        <w:rPr>
          <w:rFonts w:hint="eastAsia" w:ascii="宋体" w:hAnsi="宋体"/>
          <w:color w:val="000000"/>
          <w:szCs w:val="21"/>
          <w:highlight w:val="none"/>
        </w:rPr>
        <w:t>承包人提交详细施工组织设计的期限的约定：</w:t>
      </w:r>
      <w:r>
        <w:rPr>
          <w:rFonts w:hint="eastAsia" w:ascii="宋体" w:hAnsi="宋体"/>
          <w:color w:val="000000"/>
          <w:szCs w:val="21"/>
          <w:highlight w:val="none"/>
          <w:u w:val="single"/>
        </w:rPr>
        <w:t>合同签订后 5 天内，但最迟不得晚于开工通知载明的开工日期前7天</w:t>
      </w:r>
      <w:r>
        <w:rPr>
          <w:rFonts w:hint="eastAsia" w:ascii="宋体" w:hAnsi="宋体"/>
          <w:color w:val="000000"/>
          <w:szCs w:val="21"/>
          <w:highlight w:val="none"/>
        </w:rPr>
        <w:t>。</w:t>
      </w:r>
    </w:p>
    <w:p w14:paraId="160839E1">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发包人和监理人在收到详细的施工组织设计后确认或提出修改意见的期限：</w:t>
      </w:r>
      <w:r>
        <w:rPr>
          <w:rFonts w:hint="eastAsia" w:ascii="宋体" w:hAnsi="宋体"/>
          <w:color w:val="000000"/>
          <w:szCs w:val="21"/>
          <w:highlight w:val="none"/>
          <w:u w:val="single"/>
        </w:rPr>
        <w:t>收到施工组织设计后 7 天内</w:t>
      </w:r>
      <w:r>
        <w:rPr>
          <w:rFonts w:hint="eastAsia" w:ascii="宋体" w:hAnsi="宋体"/>
          <w:color w:val="000000"/>
          <w:szCs w:val="21"/>
          <w:highlight w:val="none"/>
        </w:rPr>
        <w:t>。</w:t>
      </w:r>
    </w:p>
    <w:p w14:paraId="46AA5EB2">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7.2 施工进度计划</w:t>
      </w:r>
      <w:bookmarkEnd w:id="382"/>
      <w:bookmarkEnd w:id="383"/>
    </w:p>
    <w:p w14:paraId="331D264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7.2.2 施工进度计划的修订</w:t>
      </w:r>
    </w:p>
    <w:p w14:paraId="21461140">
      <w:pPr>
        <w:spacing w:line="360" w:lineRule="auto"/>
        <w:ind w:firstLine="560" w:firstLineChars="200"/>
        <w:jc w:val="left"/>
        <w:rPr>
          <w:rFonts w:ascii="宋体" w:hAnsi="宋体"/>
          <w:color w:val="000000"/>
          <w:szCs w:val="21"/>
          <w:highlight w:val="none"/>
        </w:rPr>
      </w:pPr>
      <w:bookmarkStart w:id="384" w:name="_Toc532375619"/>
      <w:bookmarkStart w:id="385" w:name="_Toc532377355"/>
      <w:bookmarkStart w:id="386" w:name="_Toc312678005"/>
      <w:bookmarkStart w:id="387" w:name="_Toc304295541"/>
      <w:bookmarkStart w:id="388" w:name="_Toc312677479"/>
      <w:bookmarkStart w:id="389" w:name="_Toc303539123"/>
      <w:bookmarkStart w:id="390" w:name="_Toc300934966"/>
      <w:bookmarkStart w:id="391" w:name="_Toc297123514"/>
      <w:bookmarkStart w:id="392" w:name="_Toc297216173"/>
      <w:r>
        <w:rPr>
          <w:rFonts w:hint="eastAsia" w:ascii="宋体" w:hAnsi="宋体"/>
          <w:color w:val="000000"/>
          <w:szCs w:val="21"/>
          <w:highlight w:val="none"/>
        </w:rPr>
        <w:t>发包人和监理人在收到修订的施工进度计划后确认或提出修改意见的期限：</w:t>
      </w:r>
      <w:r>
        <w:rPr>
          <w:rFonts w:hint="eastAsia" w:ascii="宋体" w:hAnsi="宋体"/>
          <w:color w:val="000000"/>
          <w:szCs w:val="21"/>
          <w:highlight w:val="none"/>
          <w:u w:val="single"/>
        </w:rPr>
        <w:t>收到修订的施工进度计划后 7 天内</w:t>
      </w:r>
      <w:r>
        <w:rPr>
          <w:rFonts w:hint="eastAsia" w:ascii="宋体" w:hAnsi="宋体"/>
          <w:color w:val="000000"/>
          <w:szCs w:val="21"/>
          <w:highlight w:val="none"/>
        </w:rPr>
        <w:t>。</w:t>
      </w:r>
    </w:p>
    <w:p w14:paraId="2EA5660E">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7.3 开工</w:t>
      </w:r>
      <w:bookmarkEnd w:id="384"/>
      <w:bookmarkEnd w:id="385"/>
    </w:p>
    <w:p w14:paraId="28EC61B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7.3.1 开工准备</w:t>
      </w:r>
    </w:p>
    <w:bookmarkEnd w:id="386"/>
    <w:bookmarkEnd w:id="387"/>
    <w:bookmarkEnd w:id="388"/>
    <w:bookmarkEnd w:id="389"/>
    <w:bookmarkEnd w:id="390"/>
    <w:bookmarkEnd w:id="391"/>
    <w:bookmarkEnd w:id="392"/>
    <w:p w14:paraId="0B4B2060">
      <w:pPr>
        <w:spacing w:line="360" w:lineRule="auto"/>
        <w:ind w:firstLine="560" w:firstLineChars="200"/>
        <w:jc w:val="left"/>
        <w:rPr>
          <w:rFonts w:ascii="宋体" w:hAnsi="宋体"/>
          <w:color w:val="000000"/>
          <w:szCs w:val="21"/>
          <w:highlight w:val="none"/>
        </w:rPr>
      </w:pPr>
      <w:bookmarkStart w:id="393" w:name="_Toc532375620"/>
      <w:bookmarkStart w:id="394" w:name="_Toc532377356"/>
      <w:r>
        <w:rPr>
          <w:rFonts w:hint="eastAsia" w:ascii="宋体" w:hAnsi="宋体"/>
          <w:color w:val="000000"/>
          <w:szCs w:val="21"/>
          <w:highlight w:val="none"/>
        </w:rPr>
        <w:t>关于承包人提交工程开工报审表的期限：</w:t>
      </w:r>
      <w:r>
        <w:rPr>
          <w:rFonts w:hint="eastAsia" w:ascii="宋体" w:hAnsi="宋体"/>
          <w:color w:val="000000"/>
          <w:szCs w:val="21"/>
          <w:highlight w:val="none"/>
          <w:u w:val="single"/>
        </w:rPr>
        <w:t>不晚于开工前 7 天</w:t>
      </w:r>
      <w:r>
        <w:rPr>
          <w:rFonts w:hint="eastAsia" w:ascii="宋体" w:hAnsi="宋体"/>
          <w:color w:val="000000"/>
          <w:szCs w:val="21"/>
          <w:highlight w:val="none"/>
        </w:rPr>
        <w:t>。</w:t>
      </w:r>
    </w:p>
    <w:p w14:paraId="2B7237E9">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关于发包人应完成的其他开工准备工作及期限：</w:t>
      </w:r>
      <w:r>
        <w:rPr>
          <w:rFonts w:hint="eastAsia" w:ascii="宋体" w:hAnsi="宋体"/>
          <w:color w:val="000000"/>
          <w:szCs w:val="21"/>
          <w:highlight w:val="none"/>
          <w:u w:val="single"/>
        </w:rPr>
        <w:t>不晚于开工前 7 天</w:t>
      </w:r>
      <w:r>
        <w:rPr>
          <w:rFonts w:hint="eastAsia" w:ascii="宋体" w:hAnsi="宋体"/>
          <w:color w:val="000000"/>
          <w:szCs w:val="21"/>
          <w:highlight w:val="none"/>
        </w:rPr>
        <w:t>。</w:t>
      </w:r>
    </w:p>
    <w:p w14:paraId="714531F9">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关于承包人应完成的其他开工准备工作及期限：</w:t>
      </w:r>
      <w:r>
        <w:rPr>
          <w:rFonts w:hint="eastAsia" w:ascii="宋体" w:hAnsi="宋体"/>
          <w:color w:val="000000"/>
          <w:szCs w:val="21"/>
          <w:highlight w:val="none"/>
          <w:u w:val="single"/>
        </w:rPr>
        <w:t>不晚于开工前 7 天</w:t>
      </w:r>
      <w:r>
        <w:rPr>
          <w:rFonts w:hint="eastAsia" w:ascii="宋体" w:hAnsi="宋体"/>
          <w:color w:val="000000"/>
          <w:szCs w:val="21"/>
          <w:highlight w:val="none"/>
        </w:rPr>
        <w:t>。</w:t>
      </w:r>
    </w:p>
    <w:p w14:paraId="0DFB078A">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7.4 测量放线</w:t>
      </w:r>
      <w:bookmarkEnd w:id="393"/>
      <w:bookmarkEnd w:id="394"/>
    </w:p>
    <w:p w14:paraId="03540971">
      <w:pPr>
        <w:spacing w:line="360" w:lineRule="auto"/>
        <w:ind w:firstLine="560" w:firstLineChars="200"/>
        <w:jc w:val="left"/>
        <w:rPr>
          <w:rFonts w:ascii="宋体" w:hAnsi="宋体"/>
          <w:color w:val="000000"/>
          <w:szCs w:val="21"/>
          <w:highlight w:val="none"/>
        </w:rPr>
      </w:pPr>
      <w:bookmarkStart w:id="395" w:name="_Toc532377357"/>
      <w:bookmarkStart w:id="396" w:name="_Toc532375621"/>
      <w:r>
        <w:rPr>
          <w:rFonts w:hint="eastAsia" w:ascii="宋体" w:hAnsi="宋体"/>
          <w:color w:val="000000"/>
          <w:szCs w:val="21"/>
          <w:highlight w:val="none"/>
        </w:rPr>
        <w:t>7.4.1 发包人通过监理人向承包人提供测量基准点、基准线和水准点及其书面资料的期限：</w:t>
      </w:r>
      <w:r>
        <w:rPr>
          <w:rFonts w:hint="eastAsia" w:ascii="宋体" w:hAnsi="宋体"/>
          <w:color w:val="000000"/>
          <w:szCs w:val="21"/>
          <w:highlight w:val="none"/>
          <w:u w:val="single"/>
        </w:rPr>
        <w:t>不晚于开工前  7  天</w:t>
      </w:r>
      <w:r>
        <w:rPr>
          <w:rFonts w:hint="eastAsia" w:ascii="宋体" w:hAnsi="宋体"/>
          <w:color w:val="000000"/>
          <w:szCs w:val="21"/>
          <w:highlight w:val="none"/>
        </w:rPr>
        <w:t>。</w:t>
      </w:r>
    </w:p>
    <w:p w14:paraId="2E8923B4">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承包人报监理人审批施工控制网资料的期限：</w:t>
      </w:r>
      <w:r>
        <w:rPr>
          <w:rFonts w:hint="eastAsia" w:ascii="宋体" w:hAnsi="宋体"/>
          <w:color w:val="000000"/>
          <w:szCs w:val="21"/>
          <w:highlight w:val="none"/>
          <w:u w:val="single"/>
        </w:rPr>
        <w:t>发出开工通知后   7 天。承包人发现发包人提供的测量基准点、基准线和水准点及其书面资料存在错误或疏漏的，应及时通知监理人并报告发包人，承包人应会同监理人、发包人核实，发包人就如何处理和是否继续施工作出决定，并通过监理人通知承包人</w:t>
      </w:r>
      <w:r>
        <w:rPr>
          <w:rFonts w:hint="eastAsia" w:ascii="宋体" w:hAnsi="宋体"/>
          <w:color w:val="000000"/>
          <w:szCs w:val="21"/>
          <w:highlight w:val="none"/>
        </w:rPr>
        <w:t>。</w:t>
      </w:r>
    </w:p>
    <w:p w14:paraId="161FB11E">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7</w:t>
      </w:r>
      <w:bookmarkStart w:id="397" w:name="_Toc297216175"/>
      <w:bookmarkStart w:id="398" w:name="_Toc297123516"/>
      <w:bookmarkStart w:id="399" w:name="_Toc312678010"/>
      <w:bookmarkStart w:id="400" w:name="_Toc312677484"/>
      <w:bookmarkStart w:id="401" w:name="_Toc300934968"/>
      <w:bookmarkStart w:id="402" w:name="_Toc303539125"/>
      <w:bookmarkStart w:id="403" w:name="_Toc304295546"/>
      <w:r>
        <w:rPr>
          <w:rFonts w:hint="eastAsia"/>
          <w:color w:val="000000"/>
          <w:sz w:val="21"/>
          <w:szCs w:val="21"/>
          <w:highlight w:val="none"/>
        </w:rPr>
        <w:t>.5 工期延误</w:t>
      </w:r>
      <w:bookmarkEnd w:id="395"/>
      <w:bookmarkEnd w:id="396"/>
    </w:p>
    <w:bookmarkEnd w:id="397"/>
    <w:bookmarkEnd w:id="398"/>
    <w:bookmarkEnd w:id="399"/>
    <w:bookmarkEnd w:id="400"/>
    <w:bookmarkEnd w:id="401"/>
    <w:bookmarkEnd w:id="402"/>
    <w:bookmarkEnd w:id="403"/>
    <w:p w14:paraId="41D62439">
      <w:pPr>
        <w:spacing w:line="360" w:lineRule="auto"/>
        <w:ind w:firstLine="560" w:firstLineChars="200"/>
        <w:jc w:val="left"/>
        <w:rPr>
          <w:rFonts w:hint="eastAsia" w:ascii="宋体" w:hAnsi="宋体" w:cs="宋体"/>
          <w:color w:val="000000"/>
          <w:szCs w:val="21"/>
          <w:highlight w:val="none"/>
        </w:rPr>
      </w:pPr>
      <w:bookmarkStart w:id="404" w:name="_Hlk528927940"/>
      <w:r>
        <w:rPr>
          <w:rFonts w:hint="eastAsia" w:ascii="宋体" w:hAnsi="宋体" w:cs="宋体"/>
          <w:color w:val="000000"/>
          <w:szCs w:val="21"/>
          <w:highlight w:val="none"/>
        </w:rPr>
        <w:t>7.5.1 因发包人原因导致工期延误：</w:t>
      </w:r>
    </w:p>
    <w:p w14:paraId="6E0BC21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在合同履行过程中，除通用条款约定外，因下列情况导致工期延误和（或）费用增加的，由发包人承担由此延误的工期和（或）增加的费用：</w:t>
      </w:r>
    </w:p>
    <w:p w14:paraId="25A522F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（1）发包人未能按合同约定提供施工场地，且该未提供开工条件直接影响项目关键线路的；</w:t>
      </w:r>
    </w:p>
    <w:p w14:paraId="03300C8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（2）发包人提供的测量基准点、基准线和水准点及其书面资料存在错误或疏漏，且该错误或疏漏直接影响项目关键线路的；</w:t>
      </w:r>
    </w:p>
    <w:p w14:paraId="53E68CA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（3）监理人未按合同约定发出指示、批准等文件，且该未按合同约定发出指示、批准直接影响项目关键线路的；</w:t>
      </w:r>
    </w:p>
    <w:p w14:paraId="17A5B2B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（4）变更未及时审批，直接影响项目关键线路的；</w:t>
      </w:r>
    </w:p>
    <w:p w14:paraId="5189EDC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（5）实施变更直接影响项目关键线路的；</w:t>
      </w:r>
    </w:p>
    <w:p w14:paraId="26768FF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（6）因发包人原因导致工程暂停施工、停建、缓建的；</w:t>
      </w:r>
    </w:p>
    <w:p w14:paraId="6E7F34F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（7）因征地拆迁、当地群众阻工等情形的；</w:t>
      </w:r>
    </w:p>
    <w:p w14:paraId="0F9C4228">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（8）</w:t>
      </w:r>
      <w:r>
        <w:rPr>
          <w:rFonts w:hint="eastAsia" w:ascii="宋体" w:hAnsi="宋体" w:cs="宋体"/>
          <w:color w:val="000000"/>
          <w:szCs w:val="21"/>
          <w:highlight w:val="none"/>
          <w:u w:val="single"/>
        </w:rPr>
        <w:t>合同约定的其他情形</w:t>
      </w:r>
      <w:r>
        <w:rPr>
          <w:rFonts w:hint="eastAsia" w:ascii="宋体" w:hAnsi="宋体" w:cs="宋体"/>
          <w:color w:val="000000"/>
          <w:szCs w:val="21"/>
          <w:highlight w:val="none"/>
        </w:rPr>
        <w:t>。</w:t>
      </w:r>
    </w:p>
    <w:p w14:paraId="611BF8A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因发包人原因未按计划开工日期开工的，发包人应按实际开工日期顺延竣工日期。因发包人原因导致工期延误需要修订施工进度计划的，按照第7.2.2项〔施工进度计划的修订〕执行</w:t>
      </w:r>
      <w:r>
        <w:rPr>
          <w:rFonts w:hint="eastAsia" w:ascii="宋体" w:hAnsi="宋体" w:cs="宋体"/>
          <w:color w:val="000000"/>
          <w:szCs w:val="21"/>
          <w:highlight w:val="none"/>
        </w:rPr>
        <w:t>。</w:t>
      </w:r>
    </w:p>
    <w:p w14:paraId="356195F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7.5.2 因承包人原因导致工期延误</w:t>
      </w:r>
    </w:p>
    <w:p w14:paraId="38C444A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因承包人原因造成工期延误，逾期竣工按16.2.2（6）目执行。</w:t>
      </w:r>
    </w:p>
    <w:bookmarkEnd w:id="404"/>
    <w:p w14:paraId="217EA002">
      <w:pPr>
        <w:pStyle w:val="7"/>
        <w:spacing w:before="0" w:beforeAutospacing="0" w:after="0" w:afterAutospacing="0" w:line="360" w:lineRule="auto"/>
        <w:ind w:left="0" w:leftChars="0" w:firstLine="0" w:firstLineChars="0"/>
        <w:rPr>
          <w:rFonts w:hint="eastAsia"/>
          <w:color w:val="000000"/>
          <w:sz w:val="21"/>
          <w:szCs w:val="21"/>
          <w:highlight w:val="none"/>
        </w:rPr>
      </w:pPr>
      <w:bookmarkStart w:id="405" w:name="_Toc532377358"/>
      <w:bookmarkStart w:id="406" w:name="_Toc532375622"/>
      <w:bookmarkStart w:id="407" w:name="_Hlk528927997"/>
      <w:r>
        <w:rPr>
          <w:rFonts w:hint="eastAsia"/>
          <w:color w:val="000000"/>
          <w:sz w:val="21"/>
          <w:szCs w:val="21"/>
          <w:highlight w:val="none"/>
        </w:rPr>
        <w:t>7</w:t>
      </w:r>
      <w:bookmarkStart w:id="408" w:name="_Toc297216178"/>
      <w:bookmarkStart w:id="409" w:name="_Toc303539128"/>
      <w:bookmarkStart w:id="410" w:name="_Toc304295549"/>
      <w:bookmarkStart w:id="411" w:name="_Toc300934971"/>
      <w:bookmarkStart w:id="412" w:name="_Toc312678015"/>
      <w:bookmarkStart w:id="413" w:name="_Toc297123519"/>
      <w:r>
        <w:rPr>
          <w:rFonts w:hint="eastAsia"/>
          <w:color w:val="000000"/>
          <w:sz w:val="21"/>
          <w:szCs w:val="21"/>
          <w:highlight w:val="none"/>
        </w:rPr>
        <w:t>.6 不</w:t>
      </w:r>
      <w:bookmarkEnd w:id="408"/>
      <w:bookmarkEnd w:id="409"/>
      <w:bookmarkEnd w:id="410"/>
      <w:bookmarkEnd w:id="411"/>
      <w:bookmarkEnd w:id="412"/>
      <w:bookmarkEnd w:id="413"/>
      <w:r>
        <w:rPr>
          <w:rFonts w:hint="eastAsia"/>
          <w:color w:val="000000"/>
          <w:sz w:val="21"/>
          <w:szCs w:val="21"/>
          <w:highlight w:val="none"/>
        </w:rPr>
        <w:t>利物质条件</w:t>
      </w:r>
      <w:bookmarkEnd w:id="405"/>
      <w:bookmarkEnd w:id="406"/>
    </w:p>
    <w:bookmarkEnd w:id="407"/>
    <w:p w14:paraId="3B02390B">
      <w:pPr>
        <w:spacing w:line="360" w:lineRule="auto"/>
        <w:ind w:firstLine="560" w:firstLineChars="200"/>
        <w:jc w:val="left"/>
        <w:rPr>
          <w:rFonts w:ascii="宋体" w:hAnsi="宋体"/>
          <w:bCs/>
          <w:color w:val="000000"/>
          <w:szCs w:val="21"/>
          <w:highlight w:val="none"/>
        </w:rPr>
      </w:pPr>
      <w:bookmarkStart w:id="414" w:name="_Toc297216179"/>
      <w:bookmarkStart w:id="415" w:name="_Toc300934972"/>
      <w:bookmarkStart w:id="416" w:name="_Toc318581172"/>
      <w:bookmarkStart w:id="417" w:name="_Toc304295550"/>
      <w:bookmarkStart w:id="418" w:name="_Toc297123520"/>
      <w:bookmarkStart w:id="419" w:name="_Toc303539129"/>
      <w:bookmarkStart w:id="420" w:name="_Toc312678016"/>
      <w:bookmarkStart w:id="421" w:name="_Toc532375624"/>
      <w:bookmarkStart w:id="422" w:name="_Toc532377360"/>
      <w:r>
        <w:rPr>
          <w:rFonts w:hint="eastAsia" w:ascii="宋体" w:hAnsi="宋体"/>
          <w:color w:val="000000"/>
          <w:szCs w:val="21"/>
          <w:highlight w:val="none"/>
        </w:rPr>
        <w:t>不利物质条件的其他情形和有关约定：</w:t>
      </w:r>
      <w:bookmarkStart w:id="423" w:name="_Hlk528910274"/>
      <w:r>
        <w:rPr>
          <w:rFonts w:hint="eastAsia" w:ascii="宋体" w:hAnsi="宋体"/>
          <w:color w:val="000000"/>
          <w:szCs w:val="21"/>
          <w:highlight w:val="none"/>
          <w:u w:val="single"/>
        </w:rPr>
        <w:t xml:space="preserve"> 按通用条款执行 </w:t>
      </w:r>
      <w:r>
        <w:rPr>
          <w:rFonts w:hint="eastAsia" w:ascii="宋体" w:hAnsi="宋体"/>
          <w:color w:val="000000"/>
          <w:szCs w:val="21"/>
          <w:highlight w:val="none"/>
        </w:rPr>
        <w:t>。</w:t>
      </w:r>
    </w:p>
    <w:bookmarkEnd w:id="414"/>
    <w:bookmarkEnd w:id="415"/>
    <w:bookmarkEnd w:id="416"/>
    <w:bookmarkEnd w:id="417"/>
    <w:bookmarkEnd w:id="418"/>
    <w:bookmarkEnd w:id="419"/>
    <w:bookmarkEnd w:id="420"/>
    <w:bookmarkEnd w:id="423"/>
    <w:p w14:paraId="238D9678">
      <w:pPr>
        <w:pStyle w:val="7"/>
        <w:spacing w:before="0" w:beforeAutospacing="0" w:after="0" w:afterAutospacing="0" w:line="360" w:lineRule="auto"/>
        <w:ind w:left="0" w:leftChars="0" w:firstLine="0" w:firstLineChars="0"/>
        <w:rPr>
          <w:color w:val="000000"/>
          <w:sz w:val="21"/>
          <w:szCs w:val="21"/>
          <w:highlight w:val="none"/>
        </w:rPr>
      </w:pPr>
      <w:bookmarkStart w:id="424" w:name="_Toc532377359"/>
      <w:bookmarkStart w:id="425" w:name="_Toc532375623"/>
      <w:r>
        <w:rPr>
          <w:rFonts w:hint="eastAsia"/>
          <w:color w:val="000000"/>
          <w:sz w:val="21"/>
          <w:szCs w:val="21"/>
          <w:highlight w:val="none"/>
        </w:rPr>
        <w:t>7</w:t>
      </w:r>
      <w:bookmarkStart w:id="426" w:name="_Toc300934973"/>
      <w:bookmarkStart w:id="427" w:name="_Toc297123521"/>
      <w:bookmarkStart w:id="428" w:name="_Toc303539130"/>
      <w:bookmarkStart w:id="429" w:name="_Toc304295551"/>
      <w:bookmarkStart w:id="430" w:name="_Toc297216180"/>
      <w:bookmarkStart w:id="431" w:name="_Toc312678017"/>
      <w:r>
        <w:rPr>
          <w:rFonts w:hint="eastAsia"/>
          <w:color w:val="000000"/>
          <w:sz w:val="21"/>
          <w:szCs w:val="21"/>
          <w:highlight w:val="none"/>
        </w:rPr>
        <w:t>.7异常恶劣的气候条件</w:t>
      </w:r>
      <w:bookmarkEnd w:id="424"/>
      <w:bookmarkEnd w:id="425"/>
    </w:p>
    <w:bookmarkEnd w:id="426"/>
    <w:bookmarkEnd w:id="427"/>
    <w:bookmarkEnd w:id="428"/>
    <w:bookmarkEnd w:id="429"/>
    <w:bookmarkEnd w:id="430"/>
    <w:bookmarkEnd w:id="431"/>
    <w:p w14:paraId="5CD284CE">
      <w:pPr>
        <w:spacing w:line="360" w:lineRule="auto"/>
        <w:ind w:firstLine="560" w:firstLineChars="200"/>
        <w:jc w:val="left"/>
        <w:rPr>
          <w:rFonts w:ascii="宋体" w:hAnsi="宋体"/>
          <w:color w:val="000000"/>
          <w:szCs w:val="21"/>
          <w:highlight w:val="none"/>
          <w:u w:val="single"/>
        </w:rPr>
      </w:pPr>
      <w:r>
        <w:rPr>
          <w:rFonts w:hint="eastAsia" w:ascii="宋体" w:hAnsi="宋体"/>
          <w:color w:val="000000"/>
          <w:szCs w:val="21"/>
          <w:highlight w:val="none"/>
        </w:rPr>
        <w:t>发包人和承包人同意以下情形视为异常恶劣的气候条件：</w:t>
      </w:r>
      <w:r>
        <w:rPr>
          <w:rFonts w:hint="eastAsia" w:ascii="宋体" w:hAnsi="宋体"/>
          <w:color w:val="000000"/>
          <w:szCs w:val="21"/>
          <w:highlight w:val="none"/>
          <w:u w:val="single"/>
        </w:rPr>
        <w:t xml:space="preserve">  以项目所在地气象部门书面通知的禁止施工条件为准  （异常气候是指项目所在地50年以上一遇的罕见气候现象）</w:t>
      </w:r>
      <w:r>
        <w:rPr>
          <w:rFonts w:hint="eastAsia" w:ascii="宋体" w:hAnsi="宋体"/>
          <w:color w:val="000000"/>
          <w:szCs w:val="21"/>
          <w:highlight w:val="none"/>
        </w:rPr>
        <w:t>。</w:t>
      </w:r>
    </w:p>
    <w:p w14:paraId="79395630">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7.9 提前竣工</w:t>
      </w:r>
      <w:bookmarkEnd w:id="421"/>
      <w:bookmarkEnd w:id="422"/>
    </w:p>
    <w:p w14:paraId="15BD98A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7.9.1项细化为：</w:t>
      </w:r>
    </w:p>
    <w:p w14:paraId="1CBEC89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当项目需要提前竣工或项目工期按照第7.5款〔工期延误〕约定顺延后需要提前竣工的，发包人应通过监理人向承包人下达提前竣工指示。承包人同意提前竣工的，应向发包人和监理人提交提前竣工方案，提前竣工方案经监理人和发包人审批后生效。由此增加的费用按照第10.4.1项〔变更估价原则〕约定执行。</w:t>
      </w:r>
    </w:p>
    <w:p w14:paraId="7F8469D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（2）发包人不得随意要求承包人提前竣工，承包人也不得随意提出提前竣工的建议。如遇特殊情况，确需将工期提前的，发包人和承包人必须采取有效措施，确保工程质量。</w:t>
      </w:r>
    </w:p>
    <w:p w14:paraId="25A6D31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（3）如果承包人提前竣工，发包人支付奖金的计算方法在合同条款中约定，时间自竣工验收证书中写明的实际竣工日期起至预定的竣工日期止，按天计算。但奖金最高限额不超过项目7.9.2项的限额。</w:t>
      </w:r>
    </w:p>
    <w:p w14:paraId="5EDF5BC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7.9.2 提前竣工的奖励</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rPr>
        <w:t>。</w:t>
      </w:r>
    </w:p>
    <w:p w14:paraId="4098B583">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432" w:name="_Toc532375625"/>
      <w:bookmarkStart w:id="433" w:name="_Toc5507"/>
      <w:bookmarkStart w:id="434" w:name="_Toc532377361"/>
      <w:bookmarkStart w:id="435" w:name="_Toc351203640"/>
      <w:r>
        <w:rPr>
          <w:rFonts w:hint="eastAsia"/>
          <w:color w:val="000000"/>
          <w:kern w:val="2"/>
          <w:sz w:val="21"/>
          <w:szCs w:val="21"/>
          <w:highlight w:val="none"/>
        </w:rPr>
        <w:t>8. 材料与设备</w:t>
      </w:r>
      <w:bookmarkEnd w:id="432"/>
      <w:bookmarkEnd w:id="433"/>
      <w:bookmarkEnd w:id="434"/>
      <w:bookmarkEnd w:id="435"/>
    </w:p>
    <w:p w14:paraId="0F548658">
      <w:pPr>
        <w:pStyle w:val="7"/>
        <w:spacing w:before="0" w:beforeAutospacing="0" w:after="0" w:afterAutospacing="0" w:line="360" w:lineRule="auto"/>
        <w:ind w:left="0" w:leftChars="0" w:firstLine="0" w:firstLineChars="0"/>
        <w:rPr>
          <w:rFonts w:hint="eastAsia"/>
          <w:color w:val="000000"/>
          <w:sz w:val="21"/>
          <w:szCs w:val="21"/>
          <w:highlight w:val="none"/>
        </w:rPr>
      </w:pPr>
      <w:bookmarkStart w:id="436" w:name="_Toc532377362"/>
      <w:bookmarkStart w:id="437" w:name="_Toc532375626"/>
      <w:r>
        <w:rPr>
          <w:rFonts w:hint="eastAsia"/>
          <w:color w:val="000000"/>
          <w:sz w:val="21"/>
          <w:szCs w:val="21"/>
          <w:highlight w:val="none"/>
        </w:rPr>
        <w:t>8.1发包人供应材料与工程设备</w:t>
      </w:r>
      <w:bookmarkEnd w:id="436"/>
      <w:bookmarkEnd w:id="437"/>
    </w:p>
    <w:p w14:paraId="6233001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材料的名称、规格、数量和价格：</w:t>
      </w:r>
      <w:r>
        <w:rPr>
          <w:rFonts w:hint="eastAsia" w:ascii="宋体" w:hAnsi="宋体" w:cs="宋体"/>
          <w:color w:val="000000"/>
          <w:szCs w:val="21"/>
          <w:highlight w:val="none"/>
          <w:u w:val="single"/>
        </w:rPr>
        <w:t>发包人应提供甲供材料的明细表，结算时按经监理人、承包人共同确认的供应数量乘以比选时甲供材料暂定价格，在支付工程款时扣除</w:t>
      </w:r>
      <w:r>
        <w:rPr>
          <w:rFonts w:hint="eastAsia" w:ascii="宋体" w:hAnsi="宋体" w:cs="宋体"/>
          <w:color w:val="000000"/>
          <w:szCs w:val="21"/>
          <w:highlight w:val="none"/>
        </w:rPr>
        <w:t>。</w:t>
      </w:r>
    </w:p>
    <w:p w14:paraId="58162B6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发包人按约定的内容提供材料设备并对提供的材料设备质量负责，承包人按施工规范和检测规范对一切进场材料进行质量检验，承包人有权退回检验不合格的材料；承包人对投入使用的材料质量负责</w:t>
      </w:r>
      <w:r>
        <w:rPr>
          <w:rFonts w:hint="eastAsia" w:ascii="宋体" w:hAnsi="宋体" w:cs="宋体"/>
          <w:color w:val="000000"/>
          <w:szCs w:val="21"/>
          <w:highlight w:val="none"/>
        </w:rPr>
        <w:t>。</w:t>
      </w:r>
    </w:p>
    <w:p w14:paraId="7E7C792D">
      <w:pPr>
        <w:pStyle w:val="7"/>
        <w:spacing w:before="0" w:beforeAutospacing="0" w:after="0" w:afterAutospacing="0" w:line="360" w:lineRule="auto"/>
        <w:ind w:left="0" w:leftChars="0" w:firstLine="0" w:firstLineChars="0"/>
        <w:rPr>
          <w:rFonts w:hint="eastAsia"/>
          <w:color w:val="000000"/>
          <w:sz w:val="21"/>
          <w:szCs w:val="21"/>
          <w:highlight w:val="none"/>
        </w:rPr>
      </w:pPr>
      <w:bookmarkStart w:id="438" w:name="_Toc532377363"/>
      <w:bookmarkStart w:id="439" w:name="_Toc351203554"/>
      <w:bookmarkStart w:id="440" w:name="_Toc532375627"/>
      <w:r>
        <w:rPr>
          <w:rFonts w:hint="eastAsia"/>
          <w:color w:val="000000"/>
          <w:sz w:val="21"/>
          <w:szCs w:val="21"/>
          <w:highlight w:val="none"/>
        </w:rPr>
        <w:t>8</w:t>
      </w:r>
      <w:bookmarkStart w:id="441" w:name="_Toc337558778"/>
      <w:bookmarkStart w:id="442" w:name="_Toc296503060"/>
      <w:bookmarkStart w:id="443" w:name="_Toc296346561"/>
      <w:r>
        <w:rPr>
          <w:rFonts w:hint="eastAsia"/>
          <w:color w:val="000000"/>
          <w:sz w:val="21"/>
          <w:szCs w:val="21"/>
          <w:highlight w:val="none"/>
        </w:rPr>
        <w:t>.2 承包人采购材料与工程设备</w:t>
      </w:r>
      <w:bookmarkEnd w:id="438"/>
      <w:bookmarkEnd w:id="439"/>
      <w:bookmarkEnd w:id="440"/>
    </w:p>
    <w:bookmarkEnd w:id="441"/>
    <w:bookmarkEnd w:id="442"/>
    <w:bookmarkEnd w:id="443"/>
    <w:p w14:paraId="696D1B1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8.2.1承包人负责采购、运输和保管的材料、工程设备：</w:t>
      </w:r>
      <w:r>
        <w:rPr>
          <w:rFonts w:hint="eastAsia" w:ascii="宋体" w:hAnsi="宋体" w:cs="宋体"/>
          <w:color w:val="000000"/>
          <w:szCs w:val="21"/>
          <w:highlight w:val="none"/>
          <w:u w:val="single"/>
        </w:rPr>
        <w:t>由承包人自行采购。承包人采购材料设备必须经监理人和发包人批准，结算时由监理人和发包人按比选文件规定审核的数量和合同约定价格计算</w:t>
      </w:r>
      <w:r>
        <w:rPr>
          <w:rFonts w:hint="eastAsia" w:ascii="宋体" w:hAnsi="宋体" w:cs="宋体"/>
          <w:color w:val="000000"/>
          <w:szCs w:val="21"/>
          <w:highlight w:val="none"/>
        </w:rPr>
        <w:t>。</w:t>
      </w:r>
    </w:p>
    <w:p w14:paraId="15E642F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8.2.2承包人报送监理人审批的时间：</w:t>
      </w:r>
      <w:r>
        <w:rPr>
          <w:rFonts w:hint="eastAsia" w:ascii="宋体" w:hAnsi="宋体" w:cs="宋体"/>
          <w:color w:val="000000"/>
          <w:szCs w:val="21"/>
          <w:highlight w:val="none"/>
          <w:u w:val="single"/>
        </w:rPr>
        <w:t>按发包人及监理单位的相关规定执行</w:t>
      </w:r>
      <w:r>
        <w:rPr>
          <w:rFonts w:hint="eastAsia" w:ascii="宋体" w:hAnsi="宋体" w:cs="宋体"/>
          <w:color w:val="000000"/>
          <w:szCs w:val="21"/>
          <w:highlight w:val="none"/>
        </w:rPr>
        <w:t>。</w:t>
      </w:r>
    </w:p>
    <w:p w14:paraId="31B0C12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8.2.3承包人选择的生产厂家或供应商满足下列条件：</w:t>
      </w:r>
    </w:p>
    <w:p w14:paraId="044BFC5E">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A.承包人选择的混凝土供应商应满足下列条件：</w:t>
      </w:r>
      <w:r>
        <w:rPr>
          <w:rFonts w:hint="eastAsia" w:ascii="宋体" w:hAnsi="宋体"/>
          <w:color w:val="000000"/>
          <w:szCs w:val="21"/>
          <w:highlight w:val="none"/>
          <w:u w:val="single"/>
        </w:rPr>
        <w:t xml:space="preserve">符合相关规定     </w:t>
      </w:r>
      <w:r>
        <w:rPr>
          <w:rFonts w:hint="eastAsia" w:ascii="宋体" w:hAnsi="宋体"/>
          <w:color w:val="000000"/>
          <w:szCs w:val="21"/>
          <w:highlight w:val="none"/>
        </w:rPr>
        <w:t>；</w:t>
      </w:r>
    </w:p>
    <w:p w14:paraId="1A5C685C">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B.承包人选择的钢材供应商应满足下列条件：</w:t>
      </w:r>
      <w:r>
        <w:rPr>
          <w:rFonts w:hint="eastAsia" w:ascii="宋体" w:hAnsi="宋体"/>
          <w:color w:val="000000"/>
          <w:szCs w:val="21"/>
          <w:highlight w:val="none"/>
          <w:u w:val="single"/>
        </w:rPr>
        <w:t xml:space="preserve">  符合相关规定         </w:t>
      </w:r>
      <w:r>
        <w:rPr>
          <w:rFonts w:hint="eastAsia" w:ascii="宋体" w:hAnsi="宋体"/>
          <w:color w:val="000000"/>
          <w:szCs w:val="21"/>
          <w:highlight w:val="none"/>
        </w:rPr>
        <w:t>；</w:t>
      </w:r>
    </w:p>
    <w:p w14:paraId="3FE62800">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C.承包人选择的水泥供应商应满足下列条件：</w:t>
      </w:r>
      <w:r>
        <w:rPr>
          <w:rFonts w:hint="eastAsia" w:ascii="宋体" w:hAnsi="宋体"/>
          <w:color w:val="000000"/>
          <w:szCs w:val="21"/>
          <w:highlight w:val="none"/>
          <w:u w:val="single"/>
        </w:rPr>
        <w:t xml:space="preserve">   符合相关规定        </w:t>
      </w:r>
      <w:r>
        <w:rPr>
          <w:rFonts w:hint="eastAsia" w:ascii="宋体" w:hAnsi="宋体"/>
          <w:color w:val="000000"/>
          <w:szCs w:val="21"/>
          <w:highlight w:val="none"/>
        </w:rPr>
        <w:t>；</w:t>
      </w:r>
    </w:p>
    <w:p w14:paraId="4B00A69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D.承包人采购的材料与设计或标准要求不符时，承包人应按发包人和监理人要求的时间运出施工场地，并重新采购符合要求的产品，并承担由此发生的费用，因此延误的工期不予顺延。</w:t>
      </w:r>
    </w:p>
    <w:p w14:paraId="4D6A6BA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E.承包人采购的材料在使用前，应按发包人和监理人的要求进行检验或试验，不合格的不得使用。</w:t>
      </w:r>
    </w:p>
    <w:p w14:paraId="4470DE9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F.</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34E47DF3">
      <w:pPr>
        <w:pStyle w:val="7"/>
        <w:spacing w:before="0" w:beforeAutospacing="0" w:after="0" w:afterAutospacing="0" w:line="360" w:lineRule="auto"/>
        <w:ind w:left="0" w:leftChars="0" w:firstLine="0" w:firstLineChars="0"/>
        <w:rPr>
          <w:rFonts w:hint="eastAsia"/>
          <w:color w:val="000000"/>
          <w:sz w:val="21"/>
          <w:szCs w:val="21"/>
          <w:highlight w:val="none"/>
        </w:rPr>
      </w:pPr>
      <w:bookmarkStart w:id="444" w:name="_Toc532377364"/>
      <w:bookmarkStart w:id="445" w:name="_Toc532375628"/>
      <w:r>
        <w:rPr>
          <w:rFonts w:hint="eastAsia"/>
          <w:color w:val="000000"/>
          <w:sz w:val="21"/>
          <w:szCs w:val="21"/>
          <w:highlight w:val="none"/>
        </w:rPr>
        <w:t>8</w:t>
      </w:r>
      <w:bookmarkStart w:id="446" w:name="_Toc292559877"/>
      <w:bookmarkStart w:id="447" w:name="_Toc296346668"/>
      <w:bookmarkStart w:id="448" w:name="_Toc280868654"/>
      <w:bookmarkStart w:id="449" w:name="_Toc297120467"/>
      <w:bookmarkStart w:id="450" w:name="_Toc297123527"/>
      <w:bookmarkStart w:id="451" w:name="_Toc296891207"/>
      <w:bookmarkStart w:id="452" w:name="_Toc296347166"/>
      <w:bookmarkStart w:id="453" w:name="_Toc296503167"/>
      <w:bookmarkStart w:id="454" w:name="_Toc303539136"/>
      <w:bookmarkStart w:id="455" w:name="_Toc297216186"/>
      <w:bookmarkStart w:id="456" w:name="_Toc300934979"/>
      <w:bookmarkStart w:id="457" w:name="_Toc296944506"/>
      <w:bookmarkStart w:id="458" w:name="_Toc297048353"/>
      <w:bookmarkStart w:id="459" w:name="_Toc312678019"/>
      <w:bookmarkStart w:id="460" w:name="_Toc312677493"/>
      <w:bookmarkStart w:id="461" w:name="_Toc292559372"/>
      <w:bookmarkStart w:id="462" w:name="_Toc304295556"/>
      <w:bookmarkStart w:id="463" w:name="_Toc296890995"/>
      <w:bookmarkStart w:id="464" w:name="_Toc280868655"/>
      <w:bookmarkStart w:id="465" w:name="_Toc280868656"/>
      <w:bookmarkStart w:id="466" w:name="_Toc267251424"/>
      <w:r>
        <w:rPr>
          <w:rFonts w:hint="eastAsia"/>
          <w:color w:val="000000"/>
          <w:sz w:val="21"/>
          <w:szCs w:val="21"/>
          <w:highlight w:val="none"/>
        </w:rPr>
        <w:t>.4 材料与工程设备的保管与使用</w:t>
      </w:r>
      <w:bookmarkEnd w:id="444"/>
      <w:bookmarkEnd w:id="445"/>
    </w:p>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14:paraId="4361E3DC">
      <w:pPr>
        <w:spacing w:line="360" w:lineRule="auto"/>
        <w:ind w:firstLine="560" w:firstLineChars="200"/>
        <w:jc w:val="left"/>
        <w:rPr>
          <w:rFonts w:hint="eastAsia" w:ascii="宋体" w:hAnsi="宋体"/>
          <w:color w:val="000000"/>
          <w:szCs w:val="21"/>
          <w:highlight w:val="none"/>
          <w:u w:val="single"/>
        </w:rPr>
      </w:pPr>
      <w:bookmarkStart w:id="467" w:name="_Toc532375629"/>
      <w:bookmarkStart w:id="468" w:name="_Toc532377365"/>
      <w:bookmarkStart w:id="469" w:name="_Toc304295557"/>
      <w:bookmarkStart w:id="470" w:name="_Toc297048354"/>
      <w:bookmarkStart w:id="471" w:name="_Toc297120468"/>
      <w:bookmarkStart w:id="472" w:name="_Toc296944507"/>
      <w:bookmarkStart w:id="473" w:name="_Toc297123528"/>
      <w:bookmarkStart w:id="474" w:name="_Toc296346669"/>
      <w:bookmarkStart w:id="475" w:name="_Toc296890996"/>
      <w:bookmarkStart w:id="476" w:name="_Toc318581173"/>
      <w:bookmarkStart w:id="477" w:name="_Toc296347167"/>
      <w:bookmarkStart w:id="478" w:name="_Toc303539137"/>
      <w:bookmarkStart w:id="479" w:name="_Toc300934980"/>
      <w:bookmarkStart w:id="480" w:name="_Toc297216187"/>
      <w:bookmarkStart w:id="481" w:name="_Toc296503168"/>
      <w:bookmarkStart w:id="482" w:name="_Toc296891208"/>
      <w:bookmarkStart w:id="483" w:name="_Toc312678020"/>
      <w:bookmarkStart w:id="484" w:name="_Toc312677494"/>
      <w:r>
        <w:rPr>
          <w:rFonts w:hint="eastAsia" w:ascii="宋体" w:hAnsi="宋体"/>
          <w:color w:val="000000"/>
          <w:szCs w:val="21"/>
          <w:highlight w:val="none"/>
        </w:rPr>
        <w:t>8</w:t>
      </w:r>
      <w:bookmarkStart w:id="485" w:name="_Toc292559373"/>
      <w:bookmarkStart w:id="486" w:name="_Toc292559878"/>
      <w:r>
        <w:rPr>
          <w:rFonts w:hint="eastAsia" w:ascii="宋体" w:hAnsi="宋体"/>
          <w:color w:val="000000"/>
          <w:szCs w:val="21"/>
          <w:highlight w:val="none"/>
        </w:rPr>
        <w:t>.4.1 发包人供应的材料设备的保管费用的承担：</w:t>
      </w:r>
      <w:r>
        <w:rPr>
          <w:rFonts w:hint="eastAsia" w:ascii="宋体" w:hAnsi="宋体"/>
          <w:color w:val="000000"/>
          <w:szCs w:val="21"/>
          <w:highlight w:val="none"/>
          <w:u w:val="single"/>
        </w:rPr>
        <w:t xml:space="preserve"> 承包方承担。</w:t>
      </w:r>
      <w:bookmarkEnd w:id="485"/>
      <w:bookmarkEnd w:id="486"/>
    </w:p>
    <w:p w14:paraId="3B2928CD">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8.6 样品</w:t>
      </w:r>
      <w:bookmarkEnd w:id="467"/>
      <w:bookmarkEnd w:id="468"/>
    </w:p>
    <w:p w14:paraId="321845CA">
      <w:pPr>
        <w:autoSpaceDE w:val="0"/>
        <w:autoSpaceDN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8.6.1 样品的报送与封存</w:t>
      </w:r>
    </w:p>
    <w:p w14:paraId="03E7AF2F">
      <w:pPr>
        <w:autoSpaceDE w:val="0"/>
        <w:autoSpaceDN w:val="0"/>
        <w:spacing w:line="360" w:lineRule="auto"/>
        <w:ind w:firstLine="560" w:firstLineChars="200"/>
        <w:jc w:val="left"/>
        <w:rPr>
          <w:rFonts w:ascii="宋体" w:hAnsi="宋体"/>
          <w:color w:val="000000"/>
          <w:szCs w:val="21"/>
          <w:highlight w:val="none"/>
        </w:rPr>
      </w:pPr>
      <w:bookmarkStart w:id="487" w:name="_Toc532377366"/>
      <w:bookmarkStart w:id="488" w:name="_Toc532375630"/>
      <w:r>
        <w:rPr>
          <w:rFonts w:hint="eastAsia" w:ascii="宋体" w:hAnsi="宋体"/>
          <w:color w:val="000000"/>
          <w:szCs w:val="21"/>
          <w:highlight w:val="none"/>
        </w:rPr>
        <w:t>需要承包人报送样品的材料或工程设备，样品的种类、名称、规格、数量要求：</w:t>
      </w:r>
      <w:r>
        <w:rPr>
          <w:rFonts w:hint="eastAsia" w:ascii="宋体" w:hAnsi="宋体"/>
          <w:color w:val="000000"/>
          <w:szCs w:val="21"/>
          <w:highlight w:val="none"/>
          <w:u w:val="single"/>
        </w:rPr>
        <w:t xml:space="preserve"> 由承包人实施采购时向发包人提供样品，并经发包人同意后方可用于现场施工    </w:t>
      </w:r>
      <w:r>
        <w:rPr>
          <w:rFonts w:hint="eastAsia" w:ascii="宋体" w:hAnsi="宋体"/>
          <w:color w:val="000000"/>
          <w:szCs w:val="21"/>
          <w:highlight w:val="none"/>
        </w:rPr>
        <w:t>。</w:t>
      </w:r>
    </w:p>
    <w:p w14:paraId="1A3E428B">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8.8 施工设备和临时设施</w:t>
      </w:r>
      <w:bookmarkEnd w:id="487"/>
      <w:bookmarkEnd w:id="488"/>
    </w:p>
    <w:p w14:paraId="416A806E">
      <w:pPr>
        <w:autoSpaceDE w:val="0"/>
        <w:autoSpaceDN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8.8.1 承包人提供的施工设备和临时设施</w:t>
      </w:r>
    </w:p>
    <w:p w14:paraId="67493CC8">
      <w:pPr>
        <w:autoSpaceDE w:val="0"/>
        <w:autoSpaceDN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关于修建临时设施费用承担的约定：</w:t>
      </w:r>
      <w:r>
        <w:rPr>
          <w:rFonts w:hint="eastAsia" w:ascii="宋体" w:hAnsi="宋体" w:cs="宋体"/>
          <w:color w:val="000000"/>
          <w:szCs w:val="21"/>
          <w:highlight w:val="none"/>
          <w:u w:val="single"/>
        </w:rPr>
        <w:t>由承包人承担</w:t>
      </w:r>
      <w:r>
        <w:rPr>
          <w:rFonts w:hint="eastAsia" w:ascii="宋体" w:hAnsi="宋体" w:cs="宋体"/>
          <w:color w:val="000000"/>
          <w:szCs w:val="21"/>
          <w:highlight w:val="none"/>
        </w:rPr>
        <w:t>。</w:t>
      </w:r>
    </w:p>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14:paraId="67051B1D">
      <w:pPr>
        <w:pStyle w:val="6"/>
        <w:keepNext/>
        <w:keepLines/>
        <w:spacing w:before="221" w:beforeLines="50" w:beforeAutospacing="0" w:after="221" w:afterLines="50" w:afterAutospacing="0" w:line="360" w:lineRule="auto"/>
        <w:rPr>
          <w:rFonts w:hint="eastAsia"/>
          <w:bCs w:val="0"/>
          <w:color w:val="000000"/>
          <w:kern w:val="2"/>
          <w:sz w:val="21"/>
          <w:szCs w:val="21"/>
          <w:highlight w:val="none"/>
        </w:rPr>
      </w:pPr>
      <w:bookmarkStart w:id="489" w:name="_Toc10932"/>
      <w:bookmarkStart w:id="490" w:name="_Toc532377367"/>
      <w:bookmarkStart w:id="491" w:name="_Toc351203641"/>
      <w:bookmarkStart w:id="492" w:name="_Toc532375631"/>
      <w:r>
        <w:rPr>
          <w:rFonts w:hint="eastAsia"/>
          <w:color w:val="000000"/>
          <w:kern w:val="2"/>
          <w:sz w:val="21"/>
          <w:szCs w:val="21"/>
          <w:highlight w:val="none"/>
        </w:rPr>
        <w:t>9</w:t>
      </w:r>
      <w:bookmarkEnd w:id="464"/>
      <w:bookmarkEnd w:id="465"/>
      <w:bookmarkEnd w:id="466"/>
      <w:bookmarkStart w:id="493" w:name="_Toc297216192"/>
      <w:bookmarkStart w:id="494" w:name="_Toc303539139"/>
      <w:bookmarkStart w:id="495" w:name="_Toc312677495"/>
      <w:bookmarkStart w:id="496" w:name="_Toc297123533"/>
      <w:bookmarkStart w:id="497" w:name="_Toc312678021"/>
      <w:bookmarkStart w:id="498" w:name="_Toc300934982"/>
      <w:bookmarkStart w:id="499" w:name="_Toc304295559"/>
      <w:r>
        <w:rPr>
          <w:rFonts w:hint="eastAsia"/>
          <w:color w:val="000000"/>
          <w:kern w:val="2"/>
          <w:sz w:val="21"/>
          <w:szCs w:val="21"/>
          <w:highlight w:val="none"/>
        </w:rPr>
        <w:t>. 试验与检验</w:t>
      </w:r>
      <w:bookmarkEnd w:id="489"/>
      <w:bookmarkEnd w:id="490"/>
      <w:bookmarkEnd w:id="491"/>
      <w:bookmarkEnd w:id="492"/>
    </w:p>
    <w:bookmarkEnd w:id="493"/>
    <w:bookmarkEnd w:id="494"/>
    <w:bookmarkEnd w:id="495"/>
    <w:bookmarkEnd w:id="496"/>
    <w:bookmarkEnd w:id="497"/>
    <w:bookmarkEnd w:id="498"/>
    <w:bookmarkEnd w:id="499"/>
    <w:p w14:paraId="695C7EF0">
      <w:pPr>
        <w:pStyle w:val="7"/>
        <w:spacing w:before="0" w:beforeAutospacing="0" w:after="0" w:afterAutospacing="0" w:line="360" w:lineRule="auto"/>
        <w:ind w:left="0" w:leftChars="0" w:firstLine="0" w:firstLineChars="0"/>
        <w:rPr>
          <w:rFonts w:hint="eastAsia"/>
          <w:color w:val="000000"/>
          <w:sz w:val="21"/>
          <w:szCs w:val="21"/>
          <w:highlight w:val="none"/>
        </w:rPr>
      </w:pPr>
      <w:bookmarkStart w:id="500" w:name="_Toc532375632"/>
      <w:bookmarkStart w:id="501" w:name="_Toc532377368"/>
      <w:r>
        <w:rPr>
          <w:rFonts w:hint="eastAsia"/>
          <w:color w:val="000000"/>
          <w:sz w:val="21"/>
          <w:szCs w:val="21"/>
          <w:highlight w:val="none"/>
        </w:rPr>
        <w:t>9</w:t>
      </w:r>
      <w:bookmarkStart w:id="502" w:name="_Toc297216193"/>
      <w:bookmarkStart w:id="503" w:name="_Toc300934983"/>
      <w:bookmarkStart w:id="504" w:name="_Toc297123534"/>
      <w:bookmarkStart w:id="505" w:name="_Toc312677496"/>
      <w:bookmarkStart w:id="506" w:name="_Toc304295560"/>
      <w:bookmarkStart w:id="507" w:name="_Toc303539140"/>
      <w:bookmarkStart w:id="508" w:name="_Toc312678022"/>
      <w:r>
        <w:rPr>
          <w:rFonts w:hint="eastAsia"/>
          <w:color w:val="000000"/>
          <w:sz w:val="21"/>
          <w:szCs w:val="21"/>
          <w:highlight w:val="none"/>
        </w:rPr>
        <w:t>.1 试验设备与试验人员</w:t>
      </w:r>
      <w:bookmarkEnd w:id="500"/>
      <w:bookmarkEnd w:id="501"/>
    </w:p>
    <w:bookmarkEnd w:id="502"/>
    <w:bookmarkEnd w:id="503"/>
    <w:bookmarkEnd w:id="504"/>
    <w:bookmarkEnd w:id="505"/>
    <w:bookmarkEnd w:id="506"/>
    <w:bookmarkEnd w:id="507"/>
    <w:bookmarkEnd w:id="508"/>
    <w:p w14:paraId="0779113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9</w:t>
      </w:r>
      <w:bookmarkStart w:id="509" w:name="_Toc303539141"/>
      <w:bookmarkStart w:id="510" w:name="_Toc297123535"/>
      <w:bookmarkStart w:id="511" w:name="_Toc304295561"/>
      <w:bookmarkStart w:id="512" w:name="_Toc297216194"/>
      <w:bookmarkStart w:id="513" w:name="_Toc300934984"/>
      <w:bookmarkStart w:id="514" w:name="_Toc312677497"/>
      <w:bookmarkStart w:id="515" w:name="_Toc312678023"/>
      <w:bookmarkStart w:id="516" w:name="_Toc318581174"/>
      <w:r>
        <w:rPr>
          <w:rFonts w:hint="eastAsia" w:ascii="宋体" w:hAnsi="宋体" w:cs="宋体"/>
          <w:color w:val="000000"/>
          <w:szCs w:val="21"/>
          <w:highlight w:val="none"/>
        </w:rPr>
        <w:t>.1.2 试验设备</w:t>
      </w:r>
    </w:p>
    <w:p w14:paraId="5201FE1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施工现场需要配置的试验场所：</w:t>
      </w:r>
      <w:bookmarkEnd w:id="509"/>
      <w:bookmarkEnd w:id="510"/>
      <w:bookmarkEnd w:id="511"/>
      <w:bookmarkEnd w:id="512"/>
      <w:bookmarkEnd w:id="513"/>
      <w:bookmarkEnd w:id="514"/>
      <w:bookmarkEnd w:id="515"/>
      <w:bookmarkStart w:id="517" w:name="_Toc297216195"/>
      <w:bookmarkStart w:id="518" w:name="_Toc300934985"/>
      <w:bookmarkStart w:id="519" w:name="_Toc312678024"/>
      <w:bookmarkStart w:id="520" w:name="_Toc304295562"/>
      <w:bookmarkStart w:id="521" w:name="_Toc312677498"/>
      <w:bookmarkStart w:id="522" w:name="_Toc297123536"/>
      <w:bookmarkStart w:id="523" w:name="_Toc303539142"/>
      <w:r>
        <w:rPr>
          <w:rFonts w:hint="eastAsia" w:ascii="宋体" w:hAnsi="宋体" w:cs="宋体"/>
          <w:color w:val="000000"/>
          <w:szCs w:val="21"/>
          <w:highlight w:val="none"/>
          <w:u w:val="single"/>
        </w:rPr>
        <w:t>满足工程施工的需要</w:t>
      </w:r>
      <w:r>
        <w:rPr>
          <w:rFonts w:hint="eastAsia" w:ascii="宋体" w:hAnsi="宋体" w:cs="宋体"/>
          <w:color w:val="000000"/>
          <w:szCs w:val="21"/>
          <w:highlight w:val="none"/>
        </w:rPr>
        <w:t>。</w:t>
      </w:r>
    </w:p>
    <w:p w14:paraId="326B961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施工现场需要配备的试验设备：</w:t>
      </w:r>
      <w:r>
        <w:rPr>
          <w:rFonts w:hint="eastAsia" w:ascii="宋体" w:hAnsi="宋体" w:cs="宋体"/>
          <w:color w:val="000000"/>
          <w:szCs w:val="21"/>
          <w:highlight w:val="none"/>
          <w:u w:val="single"/>
        </w:rPr>
        <w:t>满足工程施工的需要</w:t>
      </w:r>
      <w:r>
        <w:rPr>
          <w:rFonts w:hint="eastAsia" w:ascii="宋体" w:hAnsi="宋体" w:cs="宋体"/>
          <w:color w:val="000000"/>
          <w:szCs w:val="21"/>
          <w:highlight w:val="none"/>
        </w:rPr>
        <w:t>。</w:t>
      </w:r>
    </w:p>
    <w:p w14:paraId="3969624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施工现场需要具备的其他试验条件：</w:t>
      </w:r>
      <w:r>
        <w:rPr>
          <w:rFonts w:hint="eastAsia" w:ascii="宋体" w:hAnsi="宋体" w:cs="宋体"/>
          <w:color w:val="000000"/>
          <w:szCs w:val="21"/>
          <w:highlight w:val="none"/>
          <w:u w:val="single"/>
        </w:rPr>
        <w:t xml:space="preserve">  </w:t>
      </w:r>
      <w:r>
        <w:rPr>
          <w:rFonts w:hint="eastAsia" w:ascii="宋体" w:hAnsi="宋体"/>
          <w:color w:val="000000"/>
          <w:szCs w:val="21"/>
          <w:highlight w:val="none"/>
          <w:u w:val="single"/>
        </w:rPr>
        <w:t xml:space="preserve"> /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473E2AB1">
      <w:pPr>
        <w:pStyle w:val="7"/>
        <w:spacing w:before="0" w:beforeAutospacing="0" w:after="0" w:afterAutospacing="0" w:line="360" w:lineRule="auto"/>
        <w:ind w:left="0" w:leftChars="0" w:firstLine="0" w:firstLineChars="0"/>
        <w:rPr>
          <w:rFonts w:hint="eastAsia"/>
          <w:color w:val="000000"/>
          <w:sz w:val="21"/>
          <w:szCs w:val="21"/>
          <w:highlight w:val="none"/>
        </w:rPr>
      </w:pPr>
      <w:bookmarkStart w:id="524" w:name="_Toc532375633"/>
      <w:bookmarkStart w:id="525" w:name="_Toc532377369"/>
      <w:r>
        <w:rPr>
          <w:rFonts w:hint="eastAsia"/>
          <w:color w:val="000000"/>
          <w:sz w:val="21"/>
          <w:szCs w:val="21"/>
          <w:highlight w:val="none"/>
        </w:rPr>
        <w:t>9.4 现场工艺试验</w:t>
      </w:r>
      <w:bookmarkEnd w:id="524"/>
      <w:bookmarkEnd w:id="525"/>
    </w:p>
    <w:p w14:paraId="1225C0D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本款补充9.4.1～9.4.5项：</w:t>
      </w:r>
    </w:p>
    <w:bookmarkEnd w:id="516"/>
    <w:bookmarkEnd w:id="517"/>
    <w:bookmarkEnd w:id="518"/>
    <w:bookmarkEnd w:id="519"/>
    <w:bookmarkEnd w:id="520"/>
    <w:bookmarkEnd w:id="521"/>
    <w:bookmarkEnd w:id="522"/>
    <w:bookmarkEnd w:id="523"/>
    <w:p w14:paraId="31338E6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9.4.1一般检验试验：</w:t>
      </w:r>
    </w:p>
    <w:p w14:paraId="6E607317">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根据《建设工程质量检测管理办法》（建设部令第141号）、关于实施《建设工程质量检测管理办法》有关问题的通知（建质〔2009〕25号）、《重庆市建设工程质量检测管理规定》（渝建发〔2009〕123号）、《关于加强我市建设工程质量检测委托管理的通知》（渝建〔2015〕420号）和有关施工规范、验收标准及施工图的规定或要求，对工程材料、构件、建筑安装物、半成品、成品进行的一般质量鉴定、检测和试验，由发包人委托的第三方检测试验机构实施，所发生的鉴定、检测和试验费用由中标人承担，包含在合同价格中。</w:t>
      </w:r>
    </w:p>
    <w:p w14:paraId="11D96710">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实施前，由发包人、承包人和第三方检测试验机构签订三方合同，第三方检测试验机构分别向承包人和发包人出具相应的检测试验报告。根据渝建〔2015〕420号文和有关施工规范、验收标准及施工图的规定或要求，所做的上述检测试验所需的试件取样、制作、送检，试件制作需要提供的材料以及检测、试验的配合工作由承包人负责完成并承担由此产生的所有相关费用。</w:t>
      </w:r>
    </w:p>
    <w:p w14:paraId="325E7DA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9.4.2特殊检验试验：</w:t>
      </w:r>
    </w:p>
    <w:p w14:paraId="540F059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（1）除“施工措施的检测、试验”外，包括但不限于路基弯沉值试验、路面承载力试验、桥梁荷载试验、锚固试验、桩基检测、锚杆抗拔检验、锚索预应力检测、外墙面砖抗粘接试验、室内有害物质检测、门窗 （幕墙）三性检测、石材放射性检测、石膏板阻燃检测、挡土墙抗渗试验、保温层隔热检测等（根据项目实际情况增减）设计施工规范及其他法律法规规范规定的特殊检验试验项目，根据渝建〔2015〕420号文的规定，均由发包人委托相应的第三方检测试验机构进行检测，所发生的特殊检验试验费由中标人承担，包含在合同价格中。</w:t>
      </w:r>
    </w:p>
    <w:p w14:paraId="0D95FC81">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发包人委托的第三方检测试验机构检测试验的试件所需的材料、取样、送检及相关配合工作由承包人负责完成并承担由此产生的所有相关费用。</w:t>
      </w:r>
    </w:p>
    <w:p w14:paraId="264CA094">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（2）施工措施的检测、试验：因施工措施需要而做的相关检测、试验由承包人负责实施，其费用由承包人承担。</w:t>
      </w:r>
    </w:p>
    <w:p w14:paraId="79EB7C34">
      <w:pPr>
        <w:tabs>
          <w:tab w:val="left" w:pos="711"/>
          <w:tab w:val="left" w:pos="2580"/>
        </w:tabs>
        <w:spacing w:line="360" w:lineRule="auto"/>
        <w:ind w:firstLine="560" w:firstLineChars="200"/>
        <w:jc w:val="left"/>
        <w:textAlignment w:val="baseline"/>
        <w:rPr>
          <w:rFonts w:ascii="宋体" w:hAnsi="宋体"/>
          <w:color w:val="000000"/>
          <w:szCs w:val="21"/>
          <w:highlight w:val="none"/>
        </w:rPr>
      </w:pPr>
      <w:r>
        <w:rPr>
          <w:rFonts w:hint="eastAsia" w:ascii="宋体" w:hAnsi="宋体"/>
          <w:color w:val="000000"/>
          <w:szCs w:val="21"/>
          <w:highlight w:val="none"/>
        </w:rPr>
        <w:t>9.4.3专项检测：</w:t>
      </w:r>
      <w:r>
        <w:rPr>
          <w:rFonts w:hint="eastAsia" w:ascii="宋体" w:hAnsi="宋体"/>
          <w:color w:val="000000"/>
          <w:szCs w:val="21"/>
          <w:highlight w:val="none"/>
          <w:u w:val="single"/>
        </w:rPr>
        <w:t xml:space="preserve">  按相关规定和规范执行    </w:t>
      </w:r>
      <w:r>
        <w:rPr>
          <w:rFonts w:hint="eastAsia" w:ascii="宋体" w:hAnsi="宋体"/>
          <w:color w:val="000000"/>
          <w:szCs w:val="21"/>
          <w:highlight w:val="none"/>
        </w:rPr>
        <w:t>。</w:t>
      </w:r>
    </w:p>
    <w:p w14:paraId="510C9147">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9.4.4若因承包人取样、制样、送检及相关配合不及时而导致工程的工期和费用增加，影响的工期不予延长，增加费用由承包人承担。</w:t>
      </w:r>
    </w:p>
    <w:p w14:paraId="61AB0E0D">
      <w:pPr>
        <w:tabs>
          <w:tab w:val="left" w:pos="711"/>
          <w:tab w:val="left" w:pos="2580"/>
        </w:tabs>
        <w:spacing w:line="360" w:lineRule="auto"/>
        <w:ind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rPr>
        <w:t>9.4.5检测试验不合格的项目，其缺陷处理和复测费用由承包人承担，工期不予延长。</w:t>
      </w:r>
    </w:p>
    <w:bookmarkEnd w:id="359"/>
    <w:bookmarkEnd w:id="360"/>
    <w:bookmarkEnd w:id="361"/>
    <w:bookmarkEnd w:id="362"/>
    <w:bookmarkEnd w:id="363"/>
    <w:bookmarkEnd w:id="364"/>
    <w:bookmarkEnd w:id="365"/>
    <w:bookmarkEnd w:id="366"/>
    <w:bookmarkEnd w:id="367"/>
    <w:bookmarkEnd w:id="368"/>
    <w:bookmarkEnd w:id="369"/>
    <w:bookmarkEnd w:id="370"/>
    <w:bookmarkEnd w:id="371"/>
    <w:p w14:paraId="658D7EF8">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526" w:name="_Toc532377370"/>
      <w:bookmarkStart w:id="527" w:name="_Toc16340"/>
      <w:bookmarkStart w:id="528" w:name="_Toc532375634"/>
      <w:bookmarkStart w:id="529" w:name="_Toc267251485"/>
      <w:bookmarkStart w:id="530" w:name="_Toc267251489"/>
      <w:bookmarkStart w:id="531" w:name="_Toc267251484"/>
      <w:bookmarkStart w:id="532" w:name="_Toc267251490"/>
      <w:bookmarkStart w:id="533" w:name="_Toc267251482"/>
      <w:bookmarkStart w:id="534" w:name="_Toc267251486"/>
      <w:bookmarkStart w:id="535" w:name="_Hlk524298112"/>
      <w:bookmarkStart w:id="536" w:name="_Toc267251488"/>
      <w:bookmarkStart w:id="537" w:name="_Toc267251501"/>
      <w:bookmarkStart w:id="538" w:name="_Toc267251510"/>
      <w:bookmarkStart w:id="539" w:name="_Toc267251492"/>
      <w:bookmarkStart w:id="540" w:name="_Toc267251494"/>
      <w:bookmarkStart w:id="541" w:name="_Toc267251503"/>
      <w:bookmarkStart w:id="542" w:name="_Toc267251514"/>
      <w:bookmarkStart w:id="543" w:name="_Toc267251515"/>
      <w:bookmarkStart w:id="544" w:name="_Toc267251507"/>
      <w:bookmarkStart w:id="545" w:name="_Toc267251506"/>
      <w:bookmarkStart w:id="546" w:name="_Toc267251508"/>
      <w:bookmarkStart w:id="547" w:name="_Toc267251513"/>
      <w:bookmarkStart w:id="548" w:name="_Toc267251493"/>
      <w:bookmarkStart w:id="549" w:name="_Toc267251502"/>
      <w:bookmarkStart w:id="550" w:name="_Toc267251497"/>
      <w:bookmarkStart w:id="551" w:name="_Toc267251495"/>
      <w:bookmarkStart w:id="552" w:name="_Toc267251509"/>
      <w:bookmarkStart w:id="553" w:name="_Toc267251498"/>
      <w:bookmarkStart w:id="554" w:name="_Toc267251504"/>
      <w:bookmarkStart w:id="555" w:name="_Toc267251496"/>
      <w:bookmarkStart w:id="556" w:name="_Toc267251499"/>
      <w:bookmarkStart w:id="557" w:name="_Toc267251491"/>
      <w:bookmarkStart w:id="558" w:name="_Toc267251511"/>
      <w:r>
        <w:rPr>
          <w:rFonts w:hint="eastAsia"/>
          <w:color w:val="000000"/>
          <w:kern w:val="2"/>
          <w:sz w:val="21"/>
          <w:szCs w:val="21"/>
          <w:highlight w:val="none"/>
        </w:rPr>
        <w:t>1</w:t>
      </w:r>
      <w:bookmarkStart w:id="559" w:name="_Toc297048379"/>
      <w:bookmarkStart w:id="560" w:name="_Toc296503193"/>
      <w:bookmarkStart w:id="561" w:name="_Toc297216199"/>
      <w:bookmarkStart w:id="562" w:name="_Toc296346694"/>
      <w:bookmarkStart w:id="563" w:name="_Toc296944532"/>
      <w:bookmarkStart w:id="564" w:name="_Toc303539146"/>
      <w:bookmarkStart w:id="565" w:name="_Toc304295566"/>
      <w:bookmarkStart w:id="566" w:name="_Toc296891233"/>
      <w:bookmarkStart w:id="567" w:name="_Toc296347192"/>
      <w:bookmarkStart w:id="568" w:name="_Toc297123540"/>
      <w:bookmarkStart w:id="569" w:name="_Toc292559903"/>
      <w:bookmarkStart w:id="570" w:name="_Toc292559398"/>
      <w:bookmarkStart w:id="571" w:name="_Toc300934989"/>
      <w:bookmarkStart w:id="572" w:name="_Toc297120493"/>
      <w:bookmarkStart w:id="573" w:name="_Toc296891021"/>
      <w:bookmarkStart w:id="574" w:name="_Toc312677499"/>
      <w:bookmarkStart w:id="575" w:name="_Toc312678025"/>
      <w:bookmarkStart w:id="576" w:name="_Toc267251437"/>
      <w:bookmarkStart w:id="577" w:name="_Toc267251440"/>
      <w:bookmarkStart w:id="578" w:name="_Toc267251433"/>
      <w:bookmarkStart w:id="579" w:name="_Toc267251435"/>
      <w:bookmarkStart w:id="580" w:name="_Toc267251439"/>
      <w:bookmarkStart w:id="581" w:name="_Toc267251441"/>
      <w:r>
        <w:rPr>
          <w:rFonts w:hint="eastAsia"/>
          <w:color w:val="000000"/>
          <w:kern w:val="2"/>
          <w:sz w:val="21"/>
          <w:szCs w:val="21"/>
          <w:highlight w:val="none"/>
        </w:rPr>
        <w:t>0. 变更</w:t>
      </w:r>
      <w:bookmarkEnd w:id="526"/>
      <w:bookmarkEnd w:id="527"/>
      <w:bookmarkEnd w:id="52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bookmarkEnd w:id="574"/>
    <w:bookmarkEnd w:id="575"/>
    <w:p w14:paraId="48B1F464">
      <w:pPr>
        <w:pStyle w:val="7"/>
        <w:spacing w:before="0" w:beforeAutospacing="0" w:after="0" w:afterAutospacing="0" w:line="360" w:lineRule="auto"/>
        <w:ind w:left="0" w:leftChars="0" w:firstLine="0" w:firstLineChars="0"/>
        <w:rPr>
          <w:rFonts w:hint="eastAsia"/>
          <w:color w:val="000000"/>
          <w:sz w:val="21"/>
          <w:szCs w:val="21"/>
          <w:highlight w:val="none"/>
        </w:rPr>
      </w:pPr>
      <w:bookmarkStart w:id="582" w:name="_Toc532377371"/>
      <w:bookmarkStart w:id="583" w:name="_Toc532375635"/>
      <w:r>
        <w:rPr>
          <w:rFonts w:hint="eastAsia"/>
          <w:color w:val="000000"/>
          <w:sz w:val="21"/>
          <w:szCs w:val="21"/>
          <w:highlight w:val="none"/>
        </w:rPr>
        <w:t>1</w:t>
      </w:r>
      <w:bookmarkStart w:id="584" w:name="_Toc296944533"/>
      <w:bookmarkStart w:id="585" w:name="_Toc292559904"/>
      <w:bookmarkStart w:id="586" w:name="_Toc297123541"/>
      <w:bookmarkStart w:id="587" w:name="_Toc304295567"/>
      <w:bookmarkStart w:id="588" w:name="_Toc296891234"/>
      <w:bookmarkStart w:id="589" w:name="_Toc296891022"/>
      <w:bookmarkStart w:id="590" w:name="_Toc303539147"/>
      <w:bookmarkStart w:id="591" w:name="_Toc300934990"/>
      <w:bookmarkStart w:id="592" w:name="_Toc292559399"/>
      <w:bookmarkStart w:id="593" w:name="_Toc297216200"/>
      <w:bookmarkStart w:id="594" w:name="_Toc297120494"/>
      <w:bookmarkStart w:id="595" w:name="_Toc296347193"/>
      <w:bookmarkStart w:id="596" w:name="_Toc312678026"/>
      <w:bookmarkStart w:id="597" w:name="_Toc312677500"/>
      <w:bookmarkStart w:id="598" w:name="_Toc296503194"/>
      <w:bookmarkStart w:id="599" w:name="_Toc296346695"/>
      <w:bookmarkStart w:id="600" w:name="_Toc297048380"/>
      <w:r>
        <w:rPr>
          <w:rFonts w:hint="eastAsia"/>
          <w:color w:val="000000"/>
          <w:sz w:val="21"/>
          <w:szCs w:val="21"/>
          <w:highlight w:val="none"/>
        </w:rPr>
        <w:t>0.1变更的范围</w:t>
      </w:r>
      <w:bookmarkEnd w:id="582"/>
      <w:bookmarkEnd w:id="583"/>
    </w:p>
    <w:p w14:paraId="2EBCAC0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关于变更范围的约定：</w:t>
      </w:r>
    </w:p>
    <w:p w14:paraId="4EE499B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（1）增加或减少合同中任何工作，或追加额外的工作；</w:t>
      </w:r>
    </w:p>
    <w:p w14:paraId="46A3872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（2）取消合同中任何工作；</w:t>
      </w:r>
    </w:p>
    <w:p w14:paraId="3B164B0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（3）改变合同中任何工作的质量标准或其他特性；</w:t>
      </w:r>
    </w:p>
    <w:p w14:paraId="654033C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（4）改变工程的基线、标高、位置和尺寸；</w:t>
      </w:r>
    </w:p>
    <w:p w14:paraId="1C925D8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（5）适用于工程的标准和（或）规范变化导致需要对工程进行改变，且该改变导致工期和（或）费用变化的；</w:t>
      </w:r>
    </w:p>
    <w:p w14:paraId="209DDEF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（6）勘察设计变更；</w:t>
      </w:r>
    </w:p>
    <w:p w14:paraId="238884C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（7）实施内容变更，包括因设计变更和非设计变更引起的实施地点、投资规模、结构型式、采购数量、服务内容等进行的调整，以及因此导致的合同价格、工期变更；</w:t>
      </w:r>
    </w:p>
    <w:p w14:paraId="38042B9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（8）项目管理人员变更；</w:t>
      </w:r>
    </w:p>
    <w:p w14:paraId="635127C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（9）因人工、原材料等价格变化导致的合同总价变更；</w:t>
      </w:r>
    </w:p>
    <w:p w14:paraId="11C344C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（10）非实施内容变化导致的工期变更；</w:t>
      </w:r>
    </w:p>
    <w:p w14:paraId="38794DC3">
      <w:pPr>
        <w:spacing w:line="360" w:lineRule="auto"/>
        <w:ind w:firstLine="560" w:firstLineChars="200"/>
        <w:jc w:val="left"/>
        <w:rPr>
          <w:rFonts w:ascii="宋体" w:hAnsi="宋体"/>
          <w:color w:val="000000"/>
          <w:szCs w:val="21"/>
          <w:highlight w:val="none"/>
        </w:rPr>
      </w:pPr>
      <w:r>
        <w:rPr>
          <w:rFonts w:hint="eastAsia" w:ascii="宋体" w:hAnsi="宋体"/>
          <w:color w:val="000000"/>
          <w:szCs w:val="21"/>
          <w:highlight w:val="none"/>
        </w:rPr>
        <w:t>（11）</w:t>
      </w:r>
      <w:r>
        <w:rPr>
          <w:rFonts w:hint="eastAsia" w:ascii="宋体" w:hAnsi="宋体"/>
          <w:color w:val="000000"/>
          <w:szCs w:val="21"/>
          <w:highlight w:val="none"/>
          <w:u w:val="single"/>
        </w:rPr>
        <w:t xml:space="preserve">   /     </w:t>
      </w:r>
      <w:r>
        <w:rPr>
          <w:rFonts w:hint="eastAsia" w:ascii="宋体" w:hAnsi="宋体"/>
          <w:color w:val="000000"/>
          <w:szCs w:val="21"/>
          <w:highlight w:val="none"/>
        </w:rPr>
        <w:t>。</w:t>
      </w:r>
    </w:p>
    <w:p w14:paraId="10010BB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合同变更应当符合国家法律法规、强制标准和技术规范的要求，且合同变更后更加有利于工程的建设、运营、安全、节约资金、保护生态环境或者实现功能要求。发包人对项目合同变更承担主体责任。项目合同变更后，发包人应当与承包人签订补充协议。项目合同变更应当按照《重庆市政府投资项目合同变更管理暂行办法》要求进行信息公开。项目合同变更未获得通过的，发包人和承包人均不得擅自变更原合同约定事项，且不得就同一理由同一事项再提出变更。</w:t>
      </w:r>
    </w:p>
    <w:p w14:paraId="52DBE9F9">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承包人对其提供的材料、工程设备、施工、无负荷试车、热负荷试车及图纸参数存在的缺陷，自费修正、调整和完善，不属于变更。</w:t>
      </w:r>
    </w:p>
    <w:p w14:paraId="4A395576">
      <w:pPr>
        <w:pStyle w:val="7"/>
        <w:spacing w:before="0" w:beforeAutospacing="0" w:after="0" w:afterAutospacing="0" w:line="360" w:lineRule="auto"/>
        <w:ind w:left="0" w:leftChars="0" w:firstLine="0" w:firstLineChars="0"/>
        <w:rPr>
          <w:rFonts w:hint="eastAsia"/>
          <w:color w:val="000000"/>
          <w:sz w:val="21"/>
          <w:szCs w:val="21"/>
          <w:highlight w:val="none"/>
        </w:rPr>
      </w:pPr>
      <w:bookmarkStart w:id="601" w:name="_Toc532377372"/>
      <w:bookmarkStart w:id="602" w:name="_Toc351203569"/>
      <w:bookmarkStart w:id="603" w:name="_Toc532375636"/>
      <w:r>
        <w:rPr>
          <w:rFonts w:hint="eastAsia"/>
          <w:color w:val="000000"/>
          <w:sz w:val="21"/>
          <w:szCs w:val="21"/>
          <w:highlight w:val="none"/>
        </w:rPr>
        <w:t>1</w:t>
      </w:r>
      <w:bookmarkStart w:id="604" w:name="_Toc296503085"/>
      <w:bookmarkStart w:id="605" w:name="_Toc337558789"/>
      <w:bookmarkStart w:id="606" w:name="_Toc296346586"/>
      <w:r>
        <w:rPr>
          <w:rFonts w:hint="eastAsia"/>
          <w:color w:val="000000"/>
          <w:sz w:val="21"/>
          <w:szCs w:val="21"/>
          <w:highlight w:val="none"/>
        </w:rPr>
        <w:t>0.2变更权</w:t>
      </w:r>
      <w:bookmarkEnd w:id="601"/>
      <w:bookmarkEnd w:id="602"/>
      <w:bookmarkEnd w:id="603"/>
    </w:p>
    <w:bookmarkEnd w:id="604"/>
    <w:bookmarkEnd w:id="605"/>
    <w:bookmarkEnd w:id="606"/>
    <w:p w14:paraId="5F431E3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10.2.1发包人和监理人提出变更</w:t>
      </w:r>
    </w:p>
    <w:p w14:paraId="123878D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发包人和监理人均可以提出变更。变更指示均通过监理人以书面形式发出，监理人发出变更指示前应征得发包人同意。承包人收到经发包人签认的变更指示后，方可实施变更。未取得经发包人签认的变更指示，承包人不得实施任何变更。</w:t>
      </w:r>
    </w:p>
    <w:p w14:paraId="2C56D859">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涉及设计变更的，应由设计人提供变更后的图纸和说明，交由发包人同意后由监理人以书面形式发出。如变更超过原设计标准或批准的建设规模时，由发包人及时办理规划、设计变更等审批手续。</w:t>
      </w:r>
    </w:p>
    <w:p w14:paraId="26EEC01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若出现重大设计变更，变更后的内容超出承包人资质或能力范围的，发包人将另行依法招标选择承包单位，无需征得承包人同意。</w:t>
      </w:r>
    </w:p>
    <w:p w14:paraId="54D1AE7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10.2.2 承包人提出变更建议</w:t>
      </w:r>
    </w:p>
    <w:p w14:paraId="608D3AC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可以向发包人提交书面变更建议，应当以承包人单位名义书面向发包人提出申请，详细说明变更的内容、理由，以及该变更对项目的工期、投资、质量、安全、运营管理、生态环境等的影响，客观反映项目合同变更的必要性和可行性，包括：</w:t>
      </w:r>
      <w:r>
        <w:rPr>
          <w:rFonts w:hint="eastAsia" w:ascii="宋体" w:hAnsi="宋体" w:cs="宋体"/>
          <w:color w:val="000000"/>
          <w:szCs w:val="21"/>
          <w:highlight w:val="none"/>
          <w:u w:val="single"/>
        </w:rPr>
        <w:t>缩短工期，降低发包人的工程、施工、维护、营运的费用，提高竣工工程的效率或价值，给发包人带来的长远利益和其他利益。发包人接到此类建议后，可以选择：不采纳/采纳/补充进一步资料的书面通知</w:t>
      </w:r>
      <w:r>
        <w:rPr>
          <w:rFonts w:hint="eastAsia" w:ascii="宋体" w:hAnsi="宋体" w:cs="宋体"/>
          <w:color w:val="000000"/>
          <w:szCs w:val="21"/>
          <w:highlight w:val="none"/>
        </w:rPr>
        <w:t>。</w:t>
      </w:r>
    </w:p>
    <w:p w14:paraId="6A2B5346">
      <w:pPr>
        <w:autoSpaceDE w:val="0"/>
        <w:autoSpaceDN w:val="0"/>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如果发包人对承包人已实施的施工项目在发出重大设计变更之前要求承包人提出一份建议，那么，承包人应尽快提出：</w:t>
      </w:r>
    </w:p>
    <w:p w14:paraId="09FECFB4">
      <w:pPr>
        <w:autoSpaceDE w:val="0"/>
        <w:autoSpaceDN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（1）对所提方案和（或）待做工作及其实施计划的说明</w:t>
      </w:r>
      <w:r>
        <w:rPr>
          <w:rFonts w:hint="eastAsia" w:ascii="宋体" w:hAnsi="宋体" w:cs="宋体"/>
          <w:color w:val="000000"/>
          <w:szCs w:val="21"/>
          <w:highlight w:val="none"/>
        </w:rPr>
        <w:t>；</w:t>
      </w:r>
    </w:p>
    <w:p w14:paraId="13C8B95B">
      <w:pPr>
        <w:autoSpaceDE w:val="0"/>
        <w:autoSpaceDN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（2）承包人按照对工程进度计划进行必要修改的建议</w:t>
      </w:r>
      <w:r>
        <w:rPr>
          <w:rFonts w:hint="eastAsia" w:ascii="宋体" w:hAnsi="宋体" w:cs="宋体"/>
          <w:color w:val="000000"/>
          <w:szCs w:val="21"/>
          <w:highlight w:val="none"/>
        </w:rPr>
        <w:t>；</w:t>
      </w:r>
    </w:p>
    <w:p w14:paraId="7ECD6FDD">
      <w:pPr>
        <w:autoSpaceDE w:val="0"/>
        <w:autoSpaceDN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（3）承包人发生较大返工损失增加费用的建议</w:t>
      </w:r>
      <w:r>
        <w:rPr>
          <w:rFonts w:hint="eastAsia" w:ascii="宋体" w:hAnsi="宋体" w:cs="宋体"/>
          <w:color w:val="000000"/>
          <w:szCs w:val="21"/>
          <w:highlight w:val="none"/>
        </w:rPr>
        <w:t>。</w:t>
      </w:r>
    </w:p>
    <w:p w14:paraId="5FA074B6">
      <w:pPr>
        <w:autoSpaceDE w:val="0"/>
        <w:autoSpaceDN w:val="0"/>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发包人在收到上述建议书后，应尽快给予批准、否决或提出意见</w:t>
      </w:r>
      <w:r>
        <w:rPr>
          <w:rFonts w:hint="eastAsia" w:ascii="宋体" w:hAnsi="宋体" w:cs="宋体"/>
          <w:color w:val="000000"/>
          <w:szCs w:val="21"/>
          <w:highlight w:val="none"/>
        </w:rPr>
        <w:t>。</w:t>
      </w:r>
    </w:p>
    <w:p w14:paraId="2E893210">
      <w:pPr>
        <w:pStyle w:val="7"/>
        <w:spacing w:before="0" w:beforeAutospacing="0" w:after="0" w:afterAutospacing="0" w:line="360" w:lineRule="auto"/>
        <w:ind w:left="0" w:leftChars="0" w:firstLine="0" w:firstLineChars="0"/>
        <w:rPr>
          <w:rFonts w:hint="eastAsia"/>
          <w:color w:val="000000"/>
          <w:sz w:val="21"/>
          <w:szCs w:val="21"/>
          <w:highlight w:val="none"/>
        </w:rPr>
      </w:pPr>
      <w:bookmarkStart w:id="607" w:name="_Toc532375637"/>
      <w:bookmarkStart w:id="608" w:name="_Toc532377373"/>
      <w:bookmarkStart w:id="609" w:name="_Hlk528928195"/>
      <w:bookmarkStart w:id="610" w:name="_Toc351203570"/>
      <w:r>
        <w:rPr>
          <w:rFonts w:hint="eastAsia"/>
          <w:color w:val="000000"/>
          <w:sz w:val="21"/>
          <w:szCs w:val="21"/>
          <w:highlight w:val="none"/>
        </w:rPr>
        <w:t>1</w:t>
      </w:r>
      <w:bookmarkStart w:id="611" w:name="_Toc337558790"/>
      <w:bookmarkStart w:id="612" w:name="_Toc296503086"/>
      <w:bookmarkStart w:id="613" w:name="_Toc296346587"/>
      <w:r>
        <w:rPr>
          <w:rFonts w:hint="eastAsia"/>
          <w:color w:val="000000"/>
          <w:sz w:val="21"/>
          <w:szCs w:val="21"/>
          <w:highlight w:val="none"/>
        </w:rPr>
        <w:t>0.3变更程序</w:t>
      </w:r>
      <w:bookmarkEnd w:id="607"/>
      <w:bookmarkEnd w:id="608"/>
    </w:p>
    <w:bookmarkEnd w:id="611"/>
    <w:bookmarkEnd w:id="612"/>
    <w:bookmarkEnd w:id="613"/>
    <w:p w14:paraId="36C3B7E5">
      <w:pPr>
        <w:autoSpaceDE w:val="0"/>
        <w:autoSpaceDN w:val="0"/>
        <w:spacing w:line="360" w:lineRule="auto"/>
        <w:ind w:firstLine="560" w:firstLineChars="200"/>
        <w:jc w:val="left"/>
        <w:rPr>
          <w:rFonts w:hint="eastAsia" w:ascii="宋体" w:hAnsi="宋体" w:cs="宋体"/>
          <w:color w:val="000000"/>
          <w:szCs w:val="21"/>
          <w:highlight w:val="none"/>
        </w:rPr>
      </w:pPr>
      <w:bookmarkStart w:id="614" w:name="_Hlk524353972"/>
      <w:r>
        <w:rPr>
          <w:rFonts w:hint="eastAsia" w:ascii="宋体" w:hAnsi="宋体" w:cs="宋体"/>
          <w:color w:val="000000"/>
          <w:szCs w:val="21"/>
          <w:highlight w:val="none"/>
        </w:rPr>
        <w:t>10.3.3 变更执行</w:t>
      </w:r>
    </w:p>
    <w:p w14:paraId="79E8878D">
      <w:pPr>
        <w:autoSpaceDE w:val="0"/>
        <w:autoSpaceDN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一般设计变更：承包人收到监理人下达的变更指示后，应按照监理人下达的变更指示执行，并书面说明实施该变更指示对合同价格和工期的影响，按照第10.4.1项〔变更估价原则〕约定执行。</w:t>
      </w:r>
    </w:p>
    <w:p w14:paraId="3FADE97E">
      <w:pPr>
        <w:autoSpaceDE w:val="0"/>
        <w:autoSpaceDN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重大设计变更：需经设计人、监理人和发包人三方签名认可并报相关行业部门审查同意后实施。</w:t>
      </w:r>
    </w:p>
    <w:p w14:paraId="4DA38410">
      <w:pPr>
        <w:pStyle w:val="2"/>
        <w:ind w:firstLine="640" w:firstLineChars="200"/>
        <w:rPr>
          <w:rFonts w:hint="default" w:eastAsia="宋体"/>
          <w:color w:val="000000"/>
          <w:highlight w:val="none"/>
          <w:lang w:val="en-US" w:eastAsia="zh-CN"/>
        </w:rPr>
      </w:pPr>
      <w:r>
        <w:rPr>
          <w:rFonts w:hint="eastAsia" w:ascii="宋体" w:hAnsi="宋体" w:cs="宋体"/>
          <w:color w:val="000000"/>
          <w:szCs w:val="21"/>
          <w:highlight w:val="none"/>
          <w:lang w:val="en-US" w:eastAsia="zh-CN"/>
        </w:rPr>
        <w:t>注：施工过程中发生的工程变更部分，在发包人、监理人向承包人发出书面通知七个工作日内，承包人须向发包人提供书面回复，以确定是否同意实施。若七个工作日内未提供书面回复，视为同意实施工程变更部分。若七个工作日内，承包人提供了书面回复，明确不实施工程变更部分，发包人有权对工程变更部分另行发包。</w:t>
      </w:r>
    </w:p>
    <w:p w14:paraId="422590A2">
      <w:pPr>
        <w:autoSpaceDE w:val="0"/>
        <w:autoSpaceDN w:val="0"/>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10.3.3 项增加以下内容：</w:t>
      </w:r>
    </w:p>
    <w:p w14:paraId="669213ED">
      <w:pPr>
        <w:autoSpaceDE w:val="0"/>
        <w:autoSpaceDN w:val="0"/>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合同变更提出后，应当首先由发包人组织相关单位、专家进行论证。经论证确需变更的，发包人按照</w:t>
      </w:r>
      <w:r>
        <w:rPr>
          <w:rFonts w:hint="eastAsia" w:ascii="宋体" w:hAnsi="宋体" w:eastAsia="宋体" w:cs="宋体"/>
          <w:color w:val="000000"/>
          <w:szCs w:val="21"/>
          <w:highlight w:val="none"/>
          <w:u w:val="single"/>
        </w:rPr>
        <w:t>《重庆市政府投资项目合同变更管理暂行办法》</w:t>
      </w:r>
      <w:r>
        <w:rPr>
          <w:rFonts w:hint="eastAsia" w:ascii="宋体" w:hAnsi="宋体" w:eastAsia="宋体" w:cs="宋体"/>
          <w:color w:val="000000"/>
          <w:szCs w:val="21"/>
          <w:highlight w:val="none"/>
          <w:u w:val="single"/>
          <w:lang w:eastAsia="zh-CN"/>
        </w:rPr>
        <w:t>、</w:t>
      </w:r>
      <w:r>
        <w:rPr>
          <w:rFonts w:hint="eastAsia" w:ascii="宋体" w:hAnsi="宋体" w:eastAsia="宋体" w:cs="宋体"/>
          <w:color w:val="000000"/>
          <w:szCs w:val="21"/>
          <w:highlight w:val="none"/>
          <w:u w:val="single"/>
          <w:lang w:val="en-US" w:eastAsia="zh-CN"/>
        </w:rPr>
        <w:t>《大足区政府投资项目管理细则（修订）》大足发改[2025]9号</w:t>
      </w:r>
      <w:r>
        <w:rPr>
          <w:rFonts w:hint="eastAsia" w:ascii="宋体" w:hAnsi="宋体" w:cs="宋体"/>
          <w:color w:val="000000"/>
          <w:szCs w:val="21"/>
          <w:highlight w:val="none"/>
          <w:u w:val="single"/>
        </w:rPr>
        <w:t>规定的程序自行决策或者报批；经论证不需要变更的，继续按合同执行。</w:t>
      </w:r>
    </w:p>
    <w:p w14:paraId="2A29059F">
      <w:pPr>
        <w:autoSpaceDE w:val="0"/>
        <w:autoSpaceDN w:val="0"/>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项目的勘察设计、实施内容等作较大变更的，应当按照规定的程序报原审批部门审批；变更导致总投资超概的，应当报原投资概算核定部门核定。</w:t>
      </w:r>
    </w:p>
    <w:p w14:paraId="598FF469">
      <w:pPr>
        <w:autoSpaceDE w:val="0"/>
        <w:autoSpaceDN w:val="0"/>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项目管理人员变更的，应当经发包人领导班子集体决策同意，并将变更信息推送给行业主管部门。变更后的项目管理人员应当符合比选文件和行业主管部门的相关规定。</w:t>
      </w:r>
    </w:p>
    <w:p w14:paraId="5436BB9D">
      <w:pPr>
        <w:autoSpaceDE w:val="0"/>
        <w:autoSpaceDN w:val="0"/>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因人工、原材料市场价格发生大幅度变化导致的合同总价变更，由发包人与承包人按照合同进行变更，并将变更信息推送给行业主管部门。</w:t>
      </w:r>
    </w:p>
    <w:p w14:paraId="271124D6">
      <w:pPr>
        <w:autoSpaceDE w:val="0"/>
        <w:autoSpaceDN w:val="0"/>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项目实施内容无变更，因不可抗力导致的工期变更，由发包人领导班子集体决策同意，并将变更信息推送给行业主管部门；因项目实施内容变更导致的工期变更，与项目实施内容变更一并办理。</w:t>
      </w:r>
    </w:p>
    <w:p w14:paraId="12E07C9F">
      <w:pPr>
        <w:autoSpaceDE w:val="0"/>
        <w:autoSpaceDN w:val="0"/>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项目合同变更后，增加的实施内容达到依法必须招标的规模标准的，增加的部分应当依法通过招标选择承包单位。</w:t>
      </w:r>
    </w:p>
    <w:bookmarkEnd w:id="609"/>
    <w:bookmarkEnd w:id="610"/>
    <w:bookmarkEnd w:id="614"/>
    <w:p w14:paraId="24FF82B3">
      <w:pPr>
        <w:pStyle w:val="7"/>
        <w:spacing w:before="0" w:beforeAutospacing="0" w:after="0" w:afterAutospacing="0" w:line="360" w:lineRule="auto"/>
        <w:ind w:left="0" w:leftChars="0" w:firstLine="0" w:firstLineChars="0"/>
        <w:rPr>
          <w:rFonts w:hint="eastAsia"/>
          <w:color w:val="000000"/>
          <w:sz w:val="21"/>
          <w:szCs w:val="21"/>
          <w:highlight w:val="none"/>
        </w:rPr>
      </w:pPr>
      <w:bookmarkStart w:id="615" w:name="_Toc532377374"/>
      <w:bookmarkStart w:id="616" w:name="_Toc532375638"/>
      <w:r>
        <w:rPr>
          <w:rFonts w:hint="eastAsia"/>
          <w:color w:val="000000"/>
          <w:sz w:val="21"/>
          <w:szCs w:val="21"/>
          <w:highlight w:val="none"/>
        </w:rPr>
        <w:t>10.4 变更估价</w:t>
      </w:r>
      <w:bookmarkEnd w:id="615"/>
      <w:bookmarkEnd w:id="616"/>
    </w:p>
    <w:p w14:paraId="6373246D">
      <w:pPr>
        <w:spacing w:line="360" w:lineRule="auto"/>
        <w:ind w:firstLine="560" w:firstLineChars="200"/>
        <w:jc w:val="left"/>
        <w:rPr>
          <w:rFonts w:hint="eastAsia" w:ascii="宋体" w:hAnsi="宋体" w:cs="宋体"/>
          <w:color w:val="000000"/>
          <w:szCs w:val="21"/>
          <w:highlight w:val="none"/>
        </w:rPr>
      </w:pPr>
      <w:bookmarkStart w:id="617" w:name="_Hlk524296629"/>
      <w:r>
        <w:rPr>
          <w:rFonts w:hint="eastAsia" w:ascii="宋体" w:hAnsi="宋体" w:cs="宋体"/>
          <w:color w:val="000000"/>
          <w:szCs w:val="21"/>
          <w:highlight w:val="none"/>
        </w:rPr>
        <w:t>10.4.1 变更估价原则</w:t>
      </w:r>
    </w:p>
    <w:p w14:paraId="28DE78C3">
      <w:pPr>
        <w:pStyle w:val="2"/>
        <w:spacing w:after="0" w:line="360" w:lineRule="auto"/>
        <w:ind w:firstLine="64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当发生工程变更时，工程量按</w:t>
      </w:r>
      <w:r>
        <w:rPr>
          <w:rFonts w:hint="eastAsia" w:ascii="宋体" w:hAnsi="宋体" w:cs="宋体"/>
          <w:color w:val="000000"/>
          <w:szCs w:val="21"/>
          <w:highlight w:val="none"/>
          <w:u w:val="single"/>
        </w:rPr>
        <w:t>国家及重庆市</w:t>
      </w:r>
      <w:r>
        <w:rPr>
          <w:rFonts w:hint="eastAsia" w:ascii="宋体" w:hAnsi="宋体" w:cs="宋体"/>
          <w:color w:val="000000"/>
          <w:szCs w:val="21"/>
          <w:highlight w:val="none"/>
        </w:rPr>
        <w:t>规定的计算规则及已标价工程量清单规定的工程量计算规则计量，按以下办法计价：</w:t>
      </w:r>
      <w:bookmarkStart w:id="618" w:name="_Hlk524770102"/>
    </w:p>
    <w:bookmarkEnd w:id="618"/>
    <w:p w14:paraId="0C6BCF3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10.4.1.1已标价工程量清单中有相同项目的，按照相同项目单价计算；</w:t>
      </w:r>
    </w:p>
    <w:p w14:paraId="0F480DC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10.4.1.2已标价工程量清单中有类似项目的，参考类似项目单价计算；</w:t>
      </w:r>
    </w:p>
    <w:p w14:paraId="198733A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10.4.1.3已标价工程量清单中无相同项目亦无类似项目的，按照以下原则执行：</w:t>
      </w:r>
    </w:p>
    <w:p w14:paraId="1084387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按《建设工程量清单计价规范》（GB50500-2013）、《重庆市建设工程量清单计价规则》（CQJJGZ-2013）、《重庆市建设工程量计算规则》（CQJLGZ-2013）及相关配套文件执行；定额按照2018年《重庆市建筑与装饰工程计价定额》、2018年《重庆市市政工程计价定额》、2018年《重庆市建设工程费用定额》、《重庆市建设工程安全文明施工费计取及使用管理规定》（渝建发[2014]25号），《重庆市建设工程安全文明施工费计取及使用管理规定（2024版）》（渝建管[2024]38号）、《重庆市住房和城乡建设委员会关于适用增值税新税率调整建设工程计价依据的通知》（渝建〔2019〕143号）及相关配套文件进行组价并按承包人报价浮动率下浮（认质核价的设备和材料不参与浮动），经监理人、跟审单位、发包人审定后执行</w:t>
      </w:r>
      <w:r>
        <w:rPr>
          <w:rFonts w:hint="eastAsia" w:ascii="宋体" w:hAnsi="宋体" w:cs="宋体"/>
          <w:color w:val="000000"/>
          <w:szCs w:val="21"/>
          <w:highlight w:val="none"/>
        </w:rPr>
        <w:t>。</w:t>
      </w:r>
    </w:p>
    <w:p w14:paraId="7AE37CF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承包人报价浮动率按下列公式计算：承包人报价浮动率=（1-中选价/最高限价）×100%。</w:t>
      </w:r>
    </w:p>
    <w:p w14:paraId="694403E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（1）人工单价：按开标当期《重庆工程造价信息》发布的项目所在地的人工单价执行。</w:t>
      </w:r>
    </w:p>
    <w:p w14:paraId="42548F08">
      <w:pPr>
        <w:spacing w:line="360" w:lineRule="auto"/>
        <w:ind w:firstLine="560" w:firstLineChars="200"/>
        <w:jc w:val="left"/>
        <w:rPr>
          <w:rFonts w:hint="eastAsia" w:ascii="宋体" w:hAnsi="宋体" w:cs="宋体"/>
          <w:color w:val="000000"/>
          <w:szCs w:val="21"/>
          <w:highlight w:val="none"/>
        </w:rPr>
      </w:pPr>
      <w:bookmarkStart w:id="619" w:name="_Hlk529023896"/>
      <w:r>
        <w:rPr>
          <w:rFonts w:hint="eastAsia" w:ascii="宋体" w:hAnsi="宋体" w:cs="宋体"/>
          <w:color w:val="000000"/>
          <w:szCs w:val="21"/>
          <w:highlight w:val="none"/>
        </w:rPr>
        <w:t>（2）材料单价：</w:t>
      </w:r>
    </w:p>
    <w:p w14:paraId="458ADFE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①按</w:t>
      </w:r>
      <w:bookmarkStart w:id="620" w:name="_Hlk529023354"/>
      <w:r>
        <w:rPr>
          <w:rFonts w:hint="eastAsia" w:ascii="宋体" w:hAnsi="宋体" w:cs="宋体"/>
          <w:color w:val="000000"/>
          <w:szCs w:val="21"/>
          <w:highlight w:val="none"/>
        </w:rPr>
        <w:t>开标当期《重庆工程造价信息》发布的项目所在地的信息价</w:t>
      </w:r>
      <w:bookmarkEnd w:id="620"/>
      <w:r>
        <w:rPr>
          <w:rFonts w:hint="eastAsia" w:ascii="宋体" w:hAnsi="宋体" w:cs="宋体"/>
          <w:color w:val="000000"/>
          <w:szCs w:val="21"/>
          <w:highlight w:val="none"/>
        </w:rPr>
        <w:t>执行；</w:t>
      </w:r>
    </w:p>
    <w:p w14:paraId="50BEFFE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②开标当期《重庆工程造价信息》中没有的，承包人投标报价中有的，按承包人投标报价中相同材料单价的最低值执行；</w:t>
      </w:r>
    </w:p>
    <w:p w14:paraId="5DD7D90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③开标当期《重庆工程造价信息》和承包人投标报价没有的，由承包人申报、监理人会同跟审单位、发包人根据市场行情认质核价确定。</w:t>
      </w:r>
    </w:p>
    <w:bookmarkEnd w:id="619"/>
    <w:p w14:paraId="073F756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企业管理费和利润：按承包人投标报价中相同工程分类的费用标准执行（投标报价中费用标准高于《重庆市建设工程费用定额》（CQFYDE-2018）费用标准的，按《重庆市建设工程费用定额》（CQFYDE-2018）费用标准执行）。</w:t>
      </w:r>
    </w:p>
    <w:p w14:paraId="526A5AF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（4）规费：按《重庆市建设工程费用定额》（CQFYDE-2018）费用标准进行计算。</w:t>
      </w:r>
    </w:p>
    <w:p w14:paraId="041C8A3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（5）税金：包含增值税、城市维护建设税、教育费附加、地方教育附加以及环境保护税。其中增值税按《重庆市建设工程费用定额》（CQFYDE-2018）规定及配套文件执行。</w:t>
      </w:r>
    </w:p>
    <w:p w14:paraId="4889196F">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10.4.1.4已标价工程量清单中无相同项目亦无类似项目，也无定额可套用的，由承包人会同监理人、跟审单位、发包人按相关原则、编制方法编制补充定额（人工、材料、机械基价执行2018年计价定额的基价，2018年计价定额没有的基价，按市场价计），按照第10.4.1.3目约定执行；或参照重庆市场相同工作的市场价格上报监理人，最终价格按承包人、监理人、跟审单位、发包人共同询价确认的价格执行。</w:t>
      </w:r>
    </w:p>
    <w:p w14:paraId="64D14FE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本款补充10.4.3项：</w:t>
      </w:r>
    </w:p>
    <w:p w14:paraId="03F1AE4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10.4.3工程变更引起施工方案改变并使措施项目发生变化时，承包人提出调整措施项目费的，应事前将拟实施的方案提交监理人审核报发包人确认，并应详细说明与原方案措施项目相比的变化情况。拟实施的方案经发承包双方确认后执行，并应按照下列规定调整措施项目费：</w:t>
      </w:r>
    </w:p>
    <w:p w14:paraId="08D8FFC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u w:val="single"/>
        </w:rPr>
        <w:t>安全文明施工费应按照实际发生变化的措施项目依据现行安全文明施工费计取及管理政策规定及《重庆市建设工程费用定额》（CQFYDE-2018）规定执行</w:t>
      </w:r>
      <w:r>
        <w:rPr>
          <w:rFonts w:hint="eastAsia" w:ascii="宋体" w:hAnsi="宋体" w:cs="宋体"/>
          <w:color w:val="000000"/>
          <w:szCs w:val="21"/>
          <w:highlight w:val="none"/>
        </w:rPr>
        <w:t>；</w:t>
      </w:r>
    </w:p>
    <w:p w14:paraId="154E1DE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u w:val="single"/>
        </w:rPr>
        <w:t>按照单价计算的措施项目费，应按照实际发生变化的措施项目，按照第10.4.1项〔变更估价原则〕约定执行</w:t>
      </w:r>
      <w:r>
        <w:rPr>
          <w:rFonts w:hint="eastAsia" w:ascii="宋体" w:hAnsi="宋体" w:cs="宋体"/>
          <w:color w:val="000000"/>
          <w:szCs w:val="21"/>
          <w:highlight w:val="none"/>
        </w:rPr>
        <w:t>；</w:t>
      </w:r>
    </w:p>
    <w:p w14:paraId="7CFA658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u w:val="single"/>
        </w:rPr>
        <w:t>按总价（或系数）计算的措施项目费，应按照实际发生变化的措施项目费按承包人报价浮动率下浮后的金额计算</w:t>
      </w:r>
      <w:r>
        <w:rPr>
          <w:rFonts w:hint="eastAsia" w:ascii="宋体" w:hAnsi="宋体" w:cs="宋体"/>
          <w:color w:val="000000"/>
          <w:szCs w:val="21"/>
          <w:highlight w:val="none"/>
        </w:rPr>
        <w:t>；</w:t>
      </w:r>
    </w:p>
    <w:p w14:paraId="17FA5B1A">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（4）</w:t>
      </w:r>
      <w:r>
        <w:rPr>
          <w:rFonts w:hint="eastAsia" w:ascii="宋体" w:hAnsi="宋体" w:cs="宋体"/>
          <w:color w:val="000000"/>
          <w:szCs w:val="21"/>
          <w:highlight w:val="none"/>
          <w:u w:val="single"/>
        </w:rPr>
        <w:t>如果承包人未事前将拟实施的方案提交给发包人确认，则应视为工程变更不引起措施项目费的调整或承包人放弃调整措施项目费的权利</w:t>
      </w:r>
      <w:r>
        <w:rPr>
          <w:rFonts w:hint="eastAsia" w:ascii="宋体" w:hAnsi="宋体" w:cs="宋体"/>
          <w:color w:val="000000"/>
          <w:szCs w:val="21"/>
          <w:highlight w:val="none"/>
        </w:rPr>
        <w:t>。</w:t>
      </w:r>
    </w:p>
    <w:bookmarkEnd w:id="617"/>
    <w:p w14:paraId="7282A29C">
      <w:pPr>
        <w:pStyle w:val="7"/>
        <w:spacing w:before="0" w:beforeAutospacing="0" w:after="0" w:afterAutospacing="0" w:line="360" w:lineRule="auto"/>
        <w:ind w:left="0" w:leftChars="0" w:firstLine="0" w:firstLineChars="0"/>
        <w:rPr>
          <w:rFonts w:hint="eastAsia"/>
          <w:color w:val="000000"/>
          <w:sz w:val="21"/>
          <w:szCs w:val="21"/>
          <w:highlight w:val="none"/>
        </w:rPr>
      </w:pPr>
      <w:bookmarkStart w:id="621" w:name="_Toc532375639"/>
      <w:bookmarkStart w:id="622" w:name="_Toc532377375"/>
      <w:r>
        <w:rPr>
          <w:rFonts w:hint="eastAsia"/>
          <w:color w:val="000000"/>
          <w:sz w:val="21"/>
          <w:szCs w:val="21"/>
          <w:highlight w:val="none"/>
        </w:rPr>
        <w:t>1</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Start w:id="623" w:name="_Toc300934993"/>
      <w:bookmarkStart w:id="624" w:name="_Toc297048383"/>
      <w:bookmarkStart w:id="625" w:name="_Toc296346698"/>
      <w:bookmarkStart w:id="626" w:name="_Toc303539150"/>
      <w:bookmarkStart w:id="627" w:name="_Toc297120497"/>
      <w:bookmarkStart w:id="628" w:name="_Toc296347196"/>
      <w:bookmarkStart w:id="629" w:name="_Toc296891237"/>
      <w:bookmarkStart w:id="630" w:name="_Toc292559907"/>
      <w:bookmarkStart w:id="631" w:name="_Toc297123544"/>
      <w:bookmarkStart w:id="632" w:name="_Toc292559402"/>
      <w:bookmarkStart w:id="633" w:name="_Toc296503197"/>
      <w:bookmarkStart w:id="634" w:name="_Toc296944536"/>
      <w:bookmarkStart w:id="635" w:name="_Toc297216203"/>
      <w:bookmarkStart w:id="636" w:name="_Toc296891025"/>
      <w:bookmarkStart w:id="637" w:name="_Toc312677503"/>
      <w:bookmarkStart w:id="638" w:name="_Toc304295570"/>
      <w:bookmarkStart w:id="639" w:name="_Toc312678029"/>
      <w:r>
        <w:rPr>
          <w:rFonts w:hint="eastAsia"/>
          <w:color w:val="000000"/>
          <w:sz w:val="21"/>
          <w:szCs w:val="21"/>
          <w:highlight w:val="none"/>
        </w:rPr>
        <w:t>0.5承</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Start w:id="640" w:name="_Toc296346704"/>
      <w:bookmarkStart w:id="641" w:name="_Toc292559408"/>
      <w:bookmarkStart w:id="642" w:name="_Toc296347202"/>
      <w:bookmarkStart w:id="643" w:name="_Toc296503203"/>
      <w:bookmarkStart w:id="644" w:name="_Toc296891031"/>
      <w:bookmarkStart w:id="645" w:name="_Toc297048389"/>
      <w:bookmarkStart w:id="646" w:name="_Toc296944542"/>
      <w:bookmarkStart w:id="647" w:name="_Toc303539151"/>
      <w:bookmarkStart w:id="648" w:name="_Toc297216204"/>
      <w:bookmarkStart w:id="649" w:name="_Toc292559913"/>
      <w:bookmarkStart w:id="650" w:name="_Toc296891243"/>
      <w:bookmarkStart w:id="651" w:name="_Toc297123545"/>
      <w:bookmarkStart w:id="652" w:name="_Toc297120503"/>
      <w:bookmarkStart w:id="653" w:name="_Toc300934994"/>
      <w:r>
        <w:rPr>
          <w:rFonts w:hint="eastAsia"/>
          <w:color w:val="000000"/>
          <w:sz w:val="21"/>
          <w:szCs w:val="21"/>
          <w:highlight w:val="none"/>
        </w:rPr>
        <w:t>包人的合理化建议</w:t>
      </w:r>
      <w:bookmarkEnd w:id="621"/>
      <w:bookmarkEnd w:id="622"/>
    </w:p>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14:paraId="74F27D1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承包人提出合理化建议的，应向监理人提交合理化建议说明，说明建议的内容和理由，以及实施该建议对合同价格和（或）工期和（或）工程经济效益的影响。</w:t>
      </w:r>
    </w:p>
    <w:p w14:paraId="2D66284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监理人审查承包人合理化建议的期限：</w:t>
      </w:r>
      <w:r>
        <w:rPr>
          <w:rFonts w:hint="eastAsia" w:ascii="宋体" w:hAnsi="宋体" w:cs="宋体"/>
          <w:color w:val="000000"/>
          <w:szCs w:val="21"/>
          <w:highlight w:val="none"/>
          <w:u w:val="single"/>
        </w:rPr>
        <w:t>不超过14天</w:t>
      </w:r>
      <w:r>
        <w:rPr>
          <w:rFonts w:hint="eastAsia" w:ascii="宋体" w:hAnsi="宋体" w:cs="宋体"/>
          <w:color w:val="000000"/>
          <w:szCs w:val="21"/>
          <w:highlight w:val="none"/>
        </w:rPr>
        <w:t>。</w:t>
      </w:r>
    </w:p>
    <w:p w14:paraId="1C3BDDB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发包人审批承包人合理化建议的期限：</w:t>
      </w:r>
      <w:r>
        <w:rPr>
          <w:rFonts w:hint="eastAsia" w:ascii="宋体" w:hAnsi="宋体" w:cs="宋体"/>
          <w:color w:val="000000"/>
          <w:szCs w:val="21"/>
          <w:highlight w:val="none"/>
          <w:u w:val="single"/>
        </w:rPr>
        <w:t>不超过14天</w:t>
      </w:r>
      <w:r>
        <w:rPr>
          <w:rFonts w:hint="eastAsia" w:ascii="宋体" w:hAnsi="宋体" w:cs="宋体"/>
          <w:color w:val="000000"/>
          <w:szCs w:val="21"/>
          <w:highlight w:val="none"/>
        </w:rPr>
        <w:t>。</w:t>
      </w:r>
    </w:p>
    <w:p w14:paraId="2858A7F1">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承</w:t>
      </w:r>
      <w:bookmarkStart w:id="654" w:name="_Toc303539152"/>
      <w:bookmarkStart w:id="655" w:name="_Toc297123546"/>
      <w:bookmarkStart w:id="656" w:name="_Toc312678030"/>
      <w:bookmarkStart w:id="657" w:name="_Toc300934995"/>
      <w:bookmarkStart w:id="658" w:name="_Toc292559409"/>
      <w:bookmarkStart w:id="659" w:name="_Toc296347203"/>
      <w:bookmarkStart w:id="660" w:name="_Toc296346705"/>
      <w:bookmarkStart w:id="661" w:name="_Toc292559914"/>
      <w:bookmarkStart w:id="662" w:name="_Toc296944543"/>
      <w:bookmarkStart w:id="663" w:name="_Toc296891032"/>
      <w:bookmarkStart w:id="664" w:name="_Toc297216205"/>
      <w:bookmarkStart w:id="665" w:name="_Toc297048390"/>
      <w:bookmarkStart w:id="666" w:name="_Toc296891244"/>
      <w:bookmarkStart w:id="667" w:name="_Toc304295571"/>
      <w:bookmarkStart w:id="668" w:name="_Toc318581175"/>
      <w:bookmarkStart w:id="669" w:name="_Toc297120504"/>
      <w:bookmarkStart w:id="670" w:name="_Toc312677504"/>
      <w:bookmarkStart w:id="671" w:name="_Toc296503204"/>
      <w:r>
        <w:rPr>
          <w:rFonts w:hint="eastAsia" w:ascii="宋体" w:hAnsi="宋体" w:cs="宋体"/>
          <w:color w:val="000000"/>
          <w:szCs w:val="21"/>
          <w:highlight w:val="none"/>
        </w:rPr>
        <w:t>包人提出的合理化建议降低了合同价格或缩短了工期或者提高了工程经济效益的奖励的方法和金额为：</w:t>
      </w:r>
      <w:r>
        <w:rPr>
          <w:rFonts w:hint="eastAsia" w:ascii="宋体" w:hAnsi="宋体" w:cs="宋体"/>
          <w:color w:val="000000"/>
          <w:szCs w:val="21"/>
          <w:highlight w:val="none"/>
          <w:u w:val="single"/>
          <w:lang w:val="en-US" w:eastAsia="zh-CN"/>
        </w:rPr>
        <w:t>无</w:t>
      </w:r>
      <w:r>
        <w:rPr>
          <w:rFonts w:hint="eastAsia" w:ascii="宋体" w:hAnsi="宋体" w:cs="宋体"/>
          <w:color w:val="000000"/>
          <w:szCs w:val="21"/>
          <w:highlight w:val="none"/>
        </w:rPr>
        <w:t>。</w:t>
      </w:r>
    </w:p>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14:paraId="0E39E47F">
      <w:pPr>
        <w:pStyle w:val="7"/>
        <w:spacing w:before="0" w:beforeAutospacing="0" w:after="0" w:afterAutospacing="0" w:line="360" w:lineRule="auto"/>
        <w:ind w:left="0" w:leftChars="0" w:firstLine="0" w:firstLineChars="0"/>
        <w:rPr>
          <w:rFonts w:hint="eastAsia"/>
          <w:color w:val="000000"/>
          <w:sz w:val="21"/>
          <w:szCs w:val="21"/>
          <w:highlight w:val="none"/>
        </w:rPr>
      </w:pPr>
      <w:bookmarkStart w:id="672" w:name="_Toc532375640"/>
      <w:bookmarkStart w:id="673" w:name="_Toc532377376"/>
      <w:r>
        <w:rPr>
          <w:rFonts w:hint="eastAsia"/>
          <w:color w:val="000000"/>
          <w:sz w:val="21"/>
          <w:szCs w:val="21"/>
          <w:highlight w:val="none"/>
        </w:rPr>
        <w:t>1</w:t>
      </w:r>
      <w:bookmarkStart w:id="674" w:name="_Toc296503199"/>
      <w:bookmarkStart w:id="675" w:name="_Toc296346700"/>
      <w:bookmarkStart w:id="676" w:name="_Toc297048385"/>
      <w:bookmarkStart w:id="677" w:name="_Toc296347198"/>
      <w:bookmarkStart w:id="678" w:name="_Toc303539154"/>
      <w:bookmarkStart w:id="679" w:name="_Toc292559404"/>
      <w:bookmarkStart w:id="680" w:name="_Toc312678033"/>
      <w:bookmarkStart w:id="681" w:name="_Toc292559909"/>
      <w:bookmarkStart w:id="682" w:name="_Toc297216207"/>
      <w:bookmarkStart w:id="683" w:name="_Toc312677507"/>
      <w:bookmarkStart w:id="684" w:name="_Toc304295574"/>
      <w:bookmarkStart w:id="685" w:name="_Toc297123548"/>
      <w:bookmarkStart w:id="686" w:name="_Toc296944538"/>
      <w:bookmarkStart w:id="687" w:name="_Toc297120499"/>
      <w:bookmarkStart w:id="688" w:name="_Toc300934997"/>
      <w:bookmarkStart w:id="689" w:name="_Toc296891027"/>
      <w:bookmarkStart w:id="690" w:name="_Toc296891239"/>
      <w:r>
        <w:rPr>
          <w:rFonts w:hint="eastAsia"/>
          <w:color w:val="000000"/>
          <w:sz w:val="21"/>
          <w:szCs w:val="21"/>
          <w:highlight w:val="none"/>
        </w:rPr>
        <w:t>0.7 暂估价</w:t>
      </w:r>
      <w:bookmarkEnd w:id="672"/>
      <w:bookmarkEnd w:id="673"/>
    </w:p>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14:paraId="58FE42C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专业工程暂估价：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万元。</w:t>
      </w:r>
    </w:p>
    <w:p w14:paraId="1027C24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单项合同估算价在国家相关法律法规规定必须招标规模以下的，符合可以不招标相关规定的，由承包人采取交钥匙工程模式实施，发包人配合。承包人（需在允许资质范围内）或承包人委托的有资质的专业分包单位实施。费用估价按照第10.4.1项〔变更估价原则〕执行，承包人申报，经监理人、跟审单位、发包人共同审定。审定后根据承包人签订的相关合同（需经监理人、跟审单位、发包人共同确认）约定，由承包人申报，随进度款按与相关单位签订的合同约定一并支付。</w:t>
      </w:r>
    </w:p>
    <w:p w14:paraId="51D7BE36">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单项合同暂估价在国家相关法律法规规定必须招标规模以上的，需依法必须招标的，由承包人、发包人共同招标确定。</w:t>
      </w:r>
    </w:p>
    <w:p w14:paraId="5A43C0C8">
      <w:pPr>
        <w:pStyle w:val="7"/>
        <w:spacing w:before="0" w:beforeAutospacing="0" w:after="0" w:afterAutospacing="0" w:line="360" w:lineRule="auto"/>
        <w:ind w:left="0" w:leftChars="0" w:firstLine="0" w:firstLineChars="0"/>
        <w:rPr>
          <w:rFonts w:hint="eastAsia"/>
          <w:color w:val="000000"/>
          <w:sz w:val="21"/>
          <w:szCs w:val="21"/>
          <w:highlight w:val="none"/>
        </w:rPr>
      </w:pPr>
      <w:bookmarkStart w:id="691" w:name="_Toc532377377"/>
      <w:bookmarkStart w:id="692" w:name="_Toc532375641"/>
      <w:r>
        <w:rPr>
          <w:rFonts w:hint="eastAsia"/>
          <w:color w:val="000000"/>
          <w:sz w:val="21"/>
          <w:szCs w:val="21"/>
          <w:highlight w:val="none"/>
        </w:rPr>
        <w:t>10.8 暂列金额</w:t>
      </w:r>
      <w:bookmarkEnd w:id="691"/>
      <w:bookmarkEnd w:id="692"/>
    </w:p>
    <w:p w14:paraId="55D7E146">
      <w:pPr>
        <w:autoSpaceDE w:val="0"/>
        <w:autoSpaceDN w:val="0"/>
        <w:spacing w:line="360" w:lineRule="auto"/>
        <w:ind w:firstLine="560" w:firstLineChars="200"/>
        <w:jc w:val="left"/>
        <w:rPr>
          <w:rFonts w:ascii="宋体" w:hAnsi="宋体"/>
          <w:color w:val="000000"/>
          <w:szCs w:val="21"/>
          <w:highlight w:val="none"/>
        </w:rPr>
      </w:pPr>
      <w:bookmarkStart w:id="693" w:name="_Toc25096"/>
      <w:bookmarkStart w:id="694" w:name="_Toc532375642"/>
      <w:bookmarkStart w:id="695" w:name="_Toc532377378"/>
      <w:bookmarkStart w:id="696" w:name="_Toc351203643"/>
      <w:r>
        <w:rPr>
          <w:rFonts w:hint="eastAsia" w:ascii="宋体" w:hAnsi="宋体"/>
          <w:color w:val="000000"/>
          <w:szCs w:val="21"/>
          <w:highlight w:val="none"/>
        </w:rPr>
        <w:t>合同当事人关于暂列金额使用的约定：</w:t>
      </w:r>
      <w:r>
        <w:rPr>
          <w:rFonts w:hint="eastAsia" w:ascii="宋体" w:hAnsi="宋体"/>
          <w:color w:val="000000"/>
          <w:szCs w:val="21"/>
          <w:highlight w:val="none"/>
          <w:u w:val="single"/>
        </w:rPr>
        <w:t xml:space="preserve">  按相关规定执行   </w:t>
      </w:r>
      <w:r>
        <w:rPr>
          <w:rFonts w:hint="eastAsia" w:ascii="宋体" w:hAnsi="宋体"/>
          <w:color w:val="000000"/>
          <w:szCs w:val="21"/>
          <w:highlight w:val="none"/>
        </w:rPr>
        <w:t>。</w:t>
      </w:r>
    </w:p>
    <w:p w14:paraId="7C4C17AE">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r>
        <w:rPr>
          <w:rFonts w:hint="eastAsia"/>
          <w:color w:val="000000"/>
          <w:kern w:val="2"/>
          <w:sz w:val="21"/>
          <w:szCs w:val="21"/>
          <w:highlight w:val="none"/>
        </w:rPr>
        <w:t>11. 价格调整</w:t>
      </w:r>
      <w:bookmarkEnd w:id="693"/>
      <w:bookmarkEnd w:id="694"/>
      <w:bookmarkEnd w:id="695"/>
      <w:bookmarkEnd w:id="696"/>
    </w:p>
    <w:p w14:paraId="41B05606">
      <w:pPr>
        <w:pStyle w:val="7"/>
        <w:spacing w:before="0" w:beforeAutospacing="0" w:after="0" w:afterAutospacing="0" w:line="360" w:lineRule="auto"/>
        <w:ind w:left="0" w:leftChars="0" w:firstLine="0" w:firstLineChars="0"/>
        <w:rPr>
          <w:rFonts w:hint="eastAsia"/>
          <w:color w:val="000000"/>
          <w:sz w:val="21"/>
          <w:szCs w:val="21"/>
          <w:highlight w:val="none"/>
        </w:rPr>
      </w:pPr>
      <w:bookmarkStart w:id="697" w:name="_Toc532377379"/>
      <w:bookmarkStart w:id="698" w:name="_Toc532375643"/>
      <w:bookmarkStart w:id="699" w:name="_Toc292559911"/>
      <w:bookmarkStart w:id="700" w:name="_Toc297123550"/>
      <w:bookmarkStart w:id="701" w:name="_Toc304295577"/>
      <w:bookmarkStart w:id="702" w:name="_Toc312678039"/>
      <w:bookmarkStart w:id="703" w:name="_Toc297048387"/>
      <w:bookmarkStart w:id="704" w:name="_Toc296944540"/>
      <w:bookmarkStart w:id="705" w:name="_Toc296891241"/>
      <w:bookmarkStart w:id="706" w:name="_Toc296891029"/>
      <w:bookmarkStart w:id="707" w:name="_Toc297216209"/>
      <w:bookmarkStart w:id="708" w:name="_Toc297120501"/>
      <w:bookmarkStart w:id="709" w:name="_Toc296346702"/>
      <w:bookmarkStart w:id="710" w:name="_Toc296347200"/>
      <w:bookmarkStart w:id="711" w:name="_Toc300935000"/>
      <w:bookmarkStart w:id="712" w:name="_Toc292559406"/>
      <w:bookmarkStart w:id="713" w:name="_Toc303539157"/>
      <w:bookmarkStart w:id="714" w:name="_Toc296503201"/>
      <w:r>
        <w:rPr>
          <w:rFonts w:hint="eastAsia"/>
          <w:color w:val="000000"/>
          <w:sz w:val="21"/>
          <w:szCs w:val="21"/>
          <w:highlight w:val="none"/>
        </w:rPr>
        <w:t>11.1 市场价格波动引起的调整</w:t>
      </w:r>
      <w:bookmarkEnd w:id="697"/>
      <w:bookmarkEnd w:id="698"/>
    </w:p>
    <w:bookmarkEnd w:id="576"/>
    <w:bookmarkEnd w:id="577"/>
    <w:bookmarkEnd w:id="578"/>
    <w:bookmarkEnd w:id="579"/>
    <w:bookmarkEnd w:id="580"/>
    <w:bookmarkEnd w:id="581"/>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14:paraId="43F5B7BE">
      <w:pPr>
        <w:spacing w:line="360" w:lineRule="auto"/>
        <w:ind w:firstLine="560" w:firstLineChars="200"/>
        <w:jc w:val="left"/>
        <w:rPr>
          <w:rFonts w:hint="eastAsia" w:ascii="宋体" w:hAnsi="宋体" w:cs="宋体"/>
          <w:color w:val="000000"/>
          <w:szCs w:val="21"/>
          <w:highlight w:val="none"/>
          <w:u w:val="single"/>
        </w:rPr>
      </w:pPr>
      <w:bookmarkStart w:id="715" w:name="_Toc466913513"/>
      <w:bookmarkStart w:id="716" w:name="_Toc467689641"/>
      <w:bookmarkStart w:id="717" w:name="_Toc466913963"/>
      <w:bookmarkStart w:id="718" w:name="_Toc466911545"/>
      <w:bookmarkStart w:id="719" w:name="_Hlk528928232"/>
      <w:bookmarkStart w:id="720" w:name="_Toc532375644"/>
      <w:bookmarkStart w:id="721" w:name="_Toc532377380"/>
      <w:bookmarkStart w:id="722" w:name="_Toc296891245"/>
      <w:bookmarkStart w:id="723" w:name="_Toc297120505"/>
      <w:bookmarkStart w:id="724" w:name="_Toc296347204"/>
      <w:bookmarkStart w:id="725" w:name="_Toc296944544"/>
      <w:bookmarkStart w:id="726" w:name="_Toc297048391"/>
      <w:bookmarkStart w:id="727" w:name="_Toc296503205"/>
      <w:bookmarkStart w:id="728" w:name="_Toc292559410"/>
      <w:bookmarkStart w:id="729" w:name="_Toc296891033"/>
      <w:bookmarkStart w:id="730" w:name="_Toc292559915"/>
      <w:bookmarkStart w:id="731" w:name="_Toc296346706"/>
      <w:bookmarkStart w:id="732" w:name="_Toc351203644"/>
      <w:bookmarkStart w:id="733" w:name="_Toc303539159"/>
      <w:bookmarkStart w:id="734" w:name="_Toc297123552"/>
      <w:bookmarkStart w:id="735" w:name="_Toc312678040"/>
      <w:bookmarkStart w:id="736" w:name="_Toc300935002"/>
      <w:bookmarkStart w:id="737" w:name="_Toc297216211"/>
      <w:bookmarkStart w:id="738" w:name="_Toc304295579"/>
      <w:r>
        <w:rPr>
          <w:rFonts w:hint="eastAsia" w:ascii="宋体" w:hAnsi="宋体" w:cs="宋体"/>
          <w:color w:val="000000"/>
          <w:szCs w:val="21"/>
          <w:highlight w:val="none"/>
        </w:rPr>
        <w:t>市场价格波动是否调整合同价格的约定：</w:t>
      </w:r>
      <w:bookmarkEnd w:id="715"/>
      <w:bookmarkEnd w:id="716"/>
      <w:bookmarkEnd w:id="717"/>
      <w:bookmarkEnd w:id="718"/>
      <w:r>
        <w:rPr>
          <w:rFonts w:hint="eastAsia" w:ascii="宋体" w:hAnsi="宋体" w:cs="宋体"/>
          <w:color w:val="000000"/>
          <w:szCs w:val="21"/>
          <w:highlight w:val="none"/>
          <w:u w:val="single"/>
        </w:rPr>
        <w:t>不可调整 。</w:t>
      </w:r>
    </w:p>
    <w:bookmarkEnd w:id="719"/>
    <w:bookmarkEnd w:id="720"/>
    <w:bookmarkEnd w:id="721"/>
    <w:p w14:paraId="16D68979">
      <w:pPr>
        <w:pStyle w:val="6"/>
        <w:keepNext/>
        <w:keepLines/>
        <w:spacing w:before="221" w:beforeLines="50" w:beforeAutospacing="0" w:after="221" w:afterLines="50" w:afterAutospacing="0" w:line="360" w:lineRule="auto"/>
        <w:rPr>
          <w:rFonts w:hint="eastAsia"/>
          <w:bCs w:val="0"/>
          <w:color w:val="000000"/>
          <w:kern w:val="2"/>
          <w:sz w:val="21"/>
          <w:szCs w:val="21"/>
          <w:highlight w:val="none"/>
        </w:rPr>
      </w:pPr>
      <w:bookmarkStart w:id="739" w:name="_Toc532377382"/>
      <w:bookmarkStart w:id="740" w:name="_Toc30627"/>
      <w:bookmarkStart w:id="741" w:name="_Toc532375646"/>
      <w:r>
        <w:rPr>
          <w:rFonts w:hint="eastAsia"/>
          <w:color w:val="000000"/>
          <w:kern w:val="2"/>
          <w:sz w:val="21"/>
          <w:szCs w:val="21"/>
          <w:highlight w:val="none"/>
        </w:rPr>
        <w:t xml:space="preserve">12. </w:t>
      </w:r>
      <w:bookmarkEnd w:id="722"/>
      <w:bookmarkEnd w:id="723"/>
      <w:bookmarkEnd w:id="724"/>
      <w:bookmarkEnd w:id="725"/>
      <w:bookmarkEnd w:id="726"/>
      <w:bookmarkEnd w:id="727"/>
      <w:bookmarkEnd w:id="728"/>
      <w:bookmarkEnd w:id="729"/>
      <w:bookmarkEnd w:id="730"/>
      <w:bookmarkEnd w:id="731"/>
      <w:r>
        <w:rPr>
          <w:rFonts w:hint="eastAsia"/>
          <w:color w:val="000000"/>
          <w:kern w:val="2"/>
          <w:sz w:val="21"/>
          <w:szCs w:val="21"/>
          <w:highlight w:val="none"/>
        </w:rPr>
        <w:t>合同价格、计量与支付</w:t>
      </w:r>
      <w:bookmarkEnd w:id="732"/>
      <w:bookmarkEnd w:id="739"/>
      <w:bookmarkEnd w:id="740"/>
      <w:bookmarkEnd w:id="741"/>
    </w:p>
    <w:bookmarkEnd w:id="733"/>
    <w:bookmarkEnd w:id="734"/>
    <w:bookmarkEnd w:id="735"/>
    <w:bookmarkEnd w:id="736"/>
    <w:bookmarkEnd w:id="737"/>
    <w:bookmarkEnd w:id="738"/>
    <w:p w14:paraId="0B96DA4F">
      <w:pPr>
        <w:pStyle w:val="7"/>
        <w:spacing w:before="0" w:beforeAutospacing="0" w:after="0" w:afterAutospacing="0" w:line="360" w:lineRule="auto"/>
        <w:ind w:left="0" w:leftChars="0" w:firstLine="0" w:firstLineChars="0"/>
        <w:rPr>
          <w:rFonts w:hint="eastAsia"/>
          <w:color w:val="000000"/>
          <w:sz w:val="21"/>
          <w:szCs w:val="21"/>
          <w:highlight w:val="none"/>
        </w:rPr>
      </w:pPr>
      <w:bookmarkStart w:id="742" w:name="_Toc292559411"/>
      <w:bookmarkStart w:id="743" w:name="_Toc292559916"/>
      <w:bookmarkStart w:id="744" w:name="_Toc267251461"/>
      <w:bookmarkStart w:id="745" w:name="_Toc296944545"/>
      <w:bookmarkStart w:id="746" w:name="_Toc296347205"/>
      <w:bookmarkStart w:id="747" w:name="_Toc296346707"/>
      <w:bookmarkStart w:id="748" w:name="_Toc297048392"/>
      <w:bookmarkStart w:id="749" w:name="_Toc297120506"/>
      <w:bookmarkStart w:id="750" w:name="_Toc296891034"/>
      <w:bookmarkStart w:id="751" w:name="_Toc296503206"/>
      <w:bookmarkStart w:id="752" w:name="_Toc296891246"/>
      <w:bookmarkStart w:id="753" w:name="_Toc532375647"/>
      <w:bookmarkStart w:id="754" w:name="_Toc532377383"/>
      <w:bookmarkStart w:id="755" w:name="_Toc300935003"/>
      <w:bookmarkStart w:id="756" w:name="_Toc297123553"/>
      <w:bookmarkStart w:id="757" w:name="_Toc297216212"/>
      <w:bookmarkStart w:id="758" w:name="_Toc303539160"/>
      <w:bookmarkStart w:id="759" w:name="_Toc304295580"/>
      <w:bookmarkStart w:id="760" w:name="_Toc312678041"/>
      <w:r>
        <w:rPr>
          <w:rFonts w:hint="eastAsia"/>
          <w:color w:val="000000"/>
          <w:sz w:val="21"/>
          <w:szCs w:val="21"/>
          <w:highlight w:val="none"/>
        </w:rPr>
        <w:t>12.1 合</w:t>
      </w:r>
      <w:bookmarkEnd w:id="742"/>
      <w:bookmarkEnd w:id="743"/>
      <w:bookmarkEnd w:id="744"/>
      <w:r>
        <w:rPr>
          <w:rFonts w:hint="eastAsia"/>
          <w:color w:val="000000"/>
          <w:sz w:val="21"/>
          <w:szCs w:val="21"/>
          <w:highlight w:val="none"/>
        </w:rPr>
        <w:t>同价</w:t>
      </w:r>
      <w:bookmarkEnd w:id="745"/>
      <w:bookmarkEnd w:id="746"/>
      <w:bookmarkEnd w:id="747"/>
      <w:bookmarkEnd w:id="748"/>
      <w:bookmarkEnd w:id="749"/>
      <w:bookmarkEnd w:id="750"/>
      <w:bookmarkEnd w:id="751"/>
      <w:bookmarkEnd w:id="752"/>
      <w:r>
        <w:rPr>
          <w:rFonts w:hint="eastAsia"/>
          <w:color w:val="000000"/>
          <w:sz w:val="21"/>
          <w:szCs w:val="21"/>
          <w:highlight w:val="none"/>
        </w:rPr>
        <w:t>格形式</w:t>
      </w:r>
      <w:bookmarkEnd w:id="753"/>
      <w:bookmarkEnd w:id="754"/>
    </w:p>
    <w:bookmarkEnd w:id="755"/>
    <w:bookmarkEnd w:id="756"/>
    <w:bookmarkEnd w:id="757"/>
    <w:bookmarkEnd w:id="758"/>
    <w:bookmarkEnd w:id="759"/>
    <w:bookmarkEnd w:id="760"/>
    <w:p w14:paraId="695EFA6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1、单价合同。</w:t>
      </w:r>
    </w:p>
    <w:p w14:paraId="2007CFC6">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综合单价包含的风险范围：</w:t>
      </w:r>
      <w:r>
        <w:rPr>
          <w:rFonts w:hint="eastAsia" w:ascii="宋体" w:hAnsi="宋体" w:cs="宋体"/>
          <w:color w:val="000000"/>
          <w:szCs w:val="21"/>
          <w:highlight w:val="none"/>
          <w:u w:val="single"/>
        </w:rPr>
        <w:t>包括但不限于为实施和完成合同工程所需的人工费、材料费、施工机具使用费、企业管理费、利润、风险费、施工技术措施项目费、施工组织措施项目费及缺陷修复等费用，以及</w:t>
      </w:r>
      <w:bookmarkStart w:id="761" w:name="_Hlk528508096"/>
      <w:r>
        <w:rPr>
          <w:rFonts w:hint="eastAsia" w:ascii="宋体" w:hAnsi="宋体" w:cs="宋体"/>
          <w:color w:val="000000"/>
          <w:szCs w:val="21"/>
          <w:highlight w:val="none"/>
          <w:u w:val="single"/>
        </w:rPr>
        <w:t>第11.1款〔市场价格波动引起的调整〕约定范围内的市场价格波动风险、政策性文件规定的各项应有费用、</w:t>
      </w:r>
      <w:bookmarkEnd w:id="761"/>
      <w:r>
        <w:rPr>
          <w:rFonts w:hint="eastAsia" w:ascii="宋体" w:hAnsi="宋体" w:cs="宋体"/>
          <w:color w:val="000000"/>
          <w:szCs w:val="21"/>
          <w:highlight w:val="none"/>
          <w:u w:val="single"/>
        </w:rPr>
        <w:t>比选文件和合同明示或暗示的应由承包人承担的所有责任、义务和风险等所需的费用</w:t>
      </w:r>
      <w:r>
        <w:rPr>
          <w:rFonts w:hint="eastAsia" w:ascii="宋体" w:hAnsi="宋体" w:cs="宋体"/>
          <w:color w:val="000000"/>
          <w:szCs w:val="21"/>
          <w:highlight w:val="none"/>
        </w:rPr>
        <w:t>。</w:t>
      </w:r>
    </w:p>
    <w:p w14:paraId="61679301">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风险费用的计算方法：</w:t>
      </w:r>
      <w:r>
        <w:rPr>
          <w:rFonts w:hint="eastAsia" w:ascii="宋体" w:hAnsi="宋体" w:cs="宋体"/>
          <w:color w:val="000000"/>
          <w:szCs w:val="21"/>
          <w:highlight w:val="none"/>
          <w:u w:val="single"/>
        </w:rPr>
        <w:t>由承包人自行考虑并计入签约合同价格中，包干使用</w:t>
      </w:r>
      <w:r>
        <w:rPr>
          <w:rFonts w:hint="eastAsia" w:ascii="宋体" w:hAnsi="宋体" w:cs="宋体"/>
          <w:color w:val="000000"/>
          <w:szCs w:val="21"/>
          <w:highlight w:val="none"/>
        </w:rPr>
        <w:t>。</w:t>
      </w:r>
    </w:p>
    <w:p w14:paraId="271DB428">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风险范围以外合同价格的调整方法：</w:t>
      </w:r>
      <w:r>
        <w:rPr>
          <w:rFonts w:hint="eastAsia" w:ascii="宋体" w:hAnsi="宋体" w:cs="宋体"/>
          <w:color w:val="000000"/>
          <w:szCs w:val="21"/>
          <w:highlight w:val="none"/>
          <w:u w:val="single"/>
        </w:rPr>
        <w:t>按照合同相关条款约定执行</w:t>
      </w:r>
      <w:r>
        <w:rPr>
          <w:rFonts w:hint="eastAsia" w:ascii="宋体" w:hAnsi="宋体" w:cs="宋体"/>
          <w:color w:val="000000"/>
          <w:szCs w:val="21"/>
          <w:highlight w:val="none"/>
        </w:rPr>
        <w:t>。</w:t>
      </w:r>
    </w:p>
    <w:p w14:paraId="7B1D249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2、总价合同。</w:t>
      </w:r>
    </w:p>
    <w:p w14:paraId="43E7DC0D">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总价包含的风险范围：</w:t>
      </w:r>
      <w:r>
        <w:rPr>
          <w:rFonts w:hint="eastAsia" w:ascii="宋体" w:hAnsi="宋体" w:cs="宋体"/>
          <w:color w:val="000000"/>
          <w:szCs w:val="21"/>
          <w:highlight w:val="none"/>
          <w:u w:val="single"/>
        </w:rPr>
        <w:t>包括但不限于为实施和完成合同工程所需的人工费、材料费、施工机具使用费、企业管理费、利润、风险费、施工技术措施项目费、施工组织措施项目费、总承包服务费、规费和税金及缺陷修复等费用，以及第11.1款〔市场价格波动引起的调整〕约定范围内的市场价格波动风险、政策性文件规定的各项应有费用、比选文件和合同明示或暗示的应由承包人承担的所有责任、义务和风险等所需的费用</w:t>
      </w:r>
      <w:r>
        <w:rPr>
          <w:rFonts w:hint="eastAsia" w:ascii="宋体" w:hAnsi="宋体" w:cs="宋体"/>
          <w:color w:val="000000"/>
          <w:szCs w:val="21"/>
          <w:highlight w:val="none"/>
        </w:rPr>
        <w:t>。</w:t>
      </w:r>
    </w:p>
    <w:p w14:paraId="77C43AA6">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风险费用的计算方法：</w:t>
      </w:r>
      <w:r>
        <w:rPr>
          <w:rFonts w:hint="eastAsia" w:ascii="宋体" w:hAnsi="宋体" w:cs="宋体"/>
          <w:color w:val="000000"/>
          <w:szCs w:val="21"/>
          <w:highlight w:val="none"/>
          <w:u w:val="single"/>
        </w:rPr>
        <w:t>由承包人自行考虑并计入签约合同价格中，包干使用</w:t>
      </w:r>
      <w:r>
        <w:rPr>
          <w:rFonts w:hint="eastAsia" w:ascii="宋体" w:hAnsi="宋体" w:cs="宋体"/>
          <w:color w:val="000000"/>
          <w:szCs w:val="21"/>
          <w:highlight w:val="none"/>
        </w:rPr>
        <w:t>。</w:t>
      </w:r>
    </w:p>
    <w:p w14:paraId="52AC12C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风险范围以外合同价格的调整方法：</w:t>
      </w:r>
      <w:r>
        <w:rPr>
          <w:rFonts w:hint="eastAsia" w:ascii="宋体" w:hAnsi="宋体" w:cs="宋体"/>
          <w:color w:val="000000"/>
          <w:szCs w:val="21"/>
          <w:highlight w:val="none"/>
          <w:u w:val="single"/>
        </w:rPr>
        <w:t>按照合同相关条款约定执行</w:t>
      </w:r>
      <w:r>
        <w:rPr>
          <w:rFonts w:hint="eastAsia" w:ascii="宋体" w:hAnsi="宋体" w:cs="宋体"/>
          <w:color w:val="000000"/>
          <w:szCs w:val="21"/>
          <w:highlight w:val="none"/>
        </w:rPr>
        <w:t>。</w:t>
      </w:r>
    </w:p>
    <w:p w14:paraId="2B4BE75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3、其他价格方式：</w:t>
      </w:r>
      <w:r>
        <w:rPr>
          <w:rFonts w:hint="eastAsia" w:ascii="宋体" w:hAnsi="宋体" w:cs="宋体"/>
          <w:color w:val="000000"/>
          <w:szCs w:val="21"/>
          <w:highlight w:val="none"/>
          <w:u w:val="single"/>
        </w:rPr>
        <w:t>不采用</w:t>
      </w:r>
      <w:r>
        <w:rPr>
          <w:rFonts w:hint="eastAsia" w:ascii="宋体" w:hAnsi="宋体" w:cs="宋体"/>
          <w:color w:val="000000"/>
          <w:szCs w:val="21"/>
          <w:highlight w:val="none"/>
        </w:rPr>
        <w:t>。</w:t>
      </w:r>
    </w:p>
    <w:p w14:paraId="2EB03AFA">
      <w:pPr>
        <w:pStyle w:val="7"/>
        <w:spacing w:before="0" w:beforeAutospacing="0" w:after="0" w:afterAutospacing="0" w:line="360" w:lineRule="auto"/>
        <w:ind w:left="0" w:leftChars="0" w:firstLine="0" w:firstLineChars="0"/>
        <w:rPr>
          <w:rFonts w:hint="eastAsia"/>
          <w:color w:val="000000"/>
          <w:sz w:val="21"/>
          <w:szCs w:val="21"/>
          <w:highlight w:val="none"/>
        </w:rPr>
      </w:pPr>
      <w:bookmarkStart w:id="762" w:name="_Toc532377384"/>
      <w:bookmarkStart w:id="763" w:name="_Toc532375648"/>
      <w:bookmarkStart w:id="764" w:name="_Toc297216213"/>
      <w:bookmarkStart w:id="765" w:name="_Toc292559412"/>
      <w:bookmarkStart w:id="766" w:name="_Toc297123554"/>
      <w:bookmarkStart w:id="767" w:name="_Toc303539161"/>
      <w:bookmarkStart w:id="768" w:name="_Toc296891035"/>
      <w:bookmarkStart w:id="769" w:name="_Toc312678042"/>
      <w:bookmarkStart w:id="770" w:name="_Toc296891247"/>
      <w:bookmarkStart w:id="771" w:name="_Toc292559917"/>
      <w:bookmarkStart w:id="772" w:name="_Toc296347206"/>
      <w:bookmarkStart w:id="773" w:name="_Toc300935004"/>
      <w:bookmarkStart w:id="774" w:name="_Toc297048393"/>
      <w:bookmarkStart w:id="775" w:name="_Toc296503207"/>
      <w:bookmarkStart w:id="776" w:name="_Toc296346708"/>
      <w:bookmarkStart w:id="777" w:name="_Toc304295581"/>
      <w:bookmarkStart w:id="778" w:name="_Toc296944546"/>
      <w:bookmarkStart w:id="779" w:name="_Toc297120507"/>
      <w:r>
        <w:rPr>
          <w:rFonts w:hint="eastAsia"/>
          <w:color w:val="000000"/>
          <w:sz w:val="21"/>
          <w:szCs w:val="21"/>
          <w:highlight w:val="none"/>
        </w:rPr>
        <w:t>12.2 预付款</w:t>
      </w:r>
      <w:bookmarkEnd w:id="762"/>
      <w:bookmarkEnd w:id="763"/>
    </w:p>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14:paraId="38B3F103">
      <w:pPr>
        <w:spacing w:line="360" w:lineRule="auto"/>
        <w:ind w:firstLine="560" w:firstLineChars="200"/>
        <w:jc w:val="left"/>
        <w:rPr>
          <w:rFonts w:hint="eastAsia" w:ascii="宋体" w:hAnsi="宋体" w:cs="宋体"/>
          <w:color w:val="000000"/>
          <w:szCs w:val="21"/>
          <w:highlight w:val="none"/>
        </w:rPr>
      </w:pPr>
      <w:bookmarkStart w:id="780" w:name="_Toc532375649"/>
      <w:bookmarkStart w:id="781" w:name="_Toc532377385"/>
      <w:r>
        <w:rPr>
          <w:rFonts w:hint="eastAsia" w:ascii="宋体" w:hAnsi="宋体" w:cs="宋体"/>
          <w:color w:val="000000"/>
          <w:szCs w:val="21"/>
          <w:highlight w:val="none"/>
        </w:rPr>
        <w:t>12.2.1 预付款的支付</w:t>
      </w:r>
    </w:p>
    <w:p w14:paraId="52176C0A">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预付款支付：</w:t>
      </w:r>
      <w:r>
        <w:rPr>
          <w:rFonts w:hint="eastAsia" w:ascii="宋体" w:hAnsi="宋体" w:cs="宋体"/>
          <w:color w:val="000000"/>
          <w:szCs w:val="21"/>
          <w:highlight w:val="none"/>
          <w:u w:val="single"/>
        </w:rPr>
        <w:t xml:space="preserve"> 无。</w:t>
      </w:r>
    </w:p>
    <w:p w14:paraId="525D852E">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12.3 计量</w:t>
      </w:r>
      <w:bookmarkEnd w:id="780"/>
      <w:bookmarkEnd w:id="781"/>
    </w:p>
    <w:p w14:paraId="4C96310E">
      <w:pPr>
        <w:spacing w:line="360" w:lineRule="auto"/>
        <w:ind w:firstLine="560" w:firstLineChars="200"/>
        <w:jc w:val="left"/>
        <w:rPr>
          <w:rFonts w:hint="eastAsia" w:ascii="宋体" w:hAnsi="宋体" w:cs="宋体"/>
          <w:color w:val="000000"/>
          <w:szCs w:val="21"/>
          <w:highlight w:val="none"/>
        </w:rPr>
      </w:pPr>
      <w:bookmarkStart w:id="782" w:name="_Hlk528928260"/>
      <w:r>
        <w:rPr>
          <w:rFonts w:hint="eastAsia" w:ascii="宋体" w:hAnsi="宋体" w:cs="宋体"/>
          <w:color w:val="000000"/>
          <w:szCs w:val="21"/>
          <w:highlight w:val="none"/>
        </w:rPr>
        <w:t>12.3.1 计量原则</w:t>
      </w:r>
    </w:p>
    <w:p w14:paraId="409EAE80">
      <w:pPr>
        <w:tabs>
          <w:tab w:val="left" w:pos="1134"/>
        </w:tabs>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工程量按《房屋建筑与装饰工程工程量计算规范》（GB50854-2013）、《仿古建筑工程工程量计算规范》（GB50855-2013）、《通用安装工程工程量计算规范》（GB50856-2013）、《市政工程工程量计算规范》（GB50857-2013）、《园林绿化工程工程量计算规范》（GB50858-2013）、《矿山工程工程量计算规范》（GB50859-2013）、《构筑物工程工程量计算规范》（GB50860-2013）、《城市轨道交通工程工程量计算规范》（GB50861-2013）和《爆破工程工程量计算规范》（GB50862-2013）《重庆市建设工程工程量清单计价规则》（CQJJGZ-2013）、《重庆市建设工程工程量计算规则》（CQJLGZ-2013）等规定的计算规则及已标价工程量清单规定的工程量计算规则计量。</w:t>
      </w:r>
    </w:p>
    <w:bookmarkEnd w:id="782"/>
    <w:p w14:paraId="7F3C912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12.3.2 计量周期</w:t>
      </w:r>
    </w:p>
    <w:p w14:paraId="38D6FBD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关于计量周期的约定：</w:t>
      </w:r>
      <w:r>
        <w:rPr>
          <w:rFonts w:hint="eastAsia" w:ascii="宋体" w:hAnsi="宋体" w:cs="宋体"/>
          <w:color w:val="000000"/>
          <w:szCs w:val="21"/>
          <w:highlight w:val="none"/>
          <w:u w:val="single"/>
        </w:rPr>
        <w:t>按月计量根据具体项目实际情况可以按月、按进度、按节点等形式计量，按进度、按节点计量的参考按月计量原则执行）</w:t>
      </w:r>
      <w:r>
        <w:rPr>
          <w:rFonts w:hint="eastAsia" w:ascii="宋体" w:hAnsi="宋体" w:cs="宋体"/>
          <w:color w:val="000000"/>
          <w:szCs w:val="21"/>
          <w:highlight w:val="none"/>
        </w:rPr>
        <w:t>。</w:t>
      </w:r>
    </w:p>
    <w:p w14:paraId="1B74B79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12.3.3 单价合同的计量</w:t>
      </w:r>
    </w:p>
    <w:p w14:paraId="727B6B5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关于单价合同计量的约定：</w:t>
      </w:r>
    </w:p>
    <w:p w14:paraId="757A2676">
      <w:pPr>
        <w:spacing w:line="360" w:lineRule="auto"/>
        <w:ind w:firstLine="560" w:firstLineChars="200"/>
        <w:jc w:val="left"/>
        <w:rPr>
          <w:rFonts w:hint="eastAsia" w:ascii="宋体" w:hAnsi="宋体" w:cs="宋体"/>
          <w:color w:val="000000"/>
          <w:szCs w:val="21"/>
          <w:highlight w:val="none"/>
          <w:u w:val="single"/>
        </w:rPr>
      </w:pPr>
      <w:bookmarkStart w:id="783" w:name="_Hlk528926162"/>
      <w:r>
        <w:rPr>
          <w:rFonts w:hint="eastAsia" w:ascii="宋体" w:hAnsi="宋体" w:cs="宋体"/>
          <w:color w:val="000000"/>
          <w:szCs w:val="21"/>
          <w:highlight w:val="none"/>
          <w:u w:val="single"/>
        </w:rPr>
        <w:t>（1）承包人应于当月  日前向监理人报送上月已完成的工程量，并附进度付款申请单、已完成工程量报表和其他有关资料</w:t>
      </w:r>
      <w:r>
        <w:rPr>
          <w:rFonts w:hint="eastAsia" w:ascii="宋体" w:hAnsi="宋体" w:cs="宋体"/>
          <w:color w:val="000000"/>
          <w:szCs w:val="21"/>
          <w:highlight w:val="none"/>
        </w:rPr>
        <w:t>。</w:t>
      </w:r>
    </w:p>
    <w:bookmarkEnd w:id="783"/>
    <w:p w14:paraId="031ABC9D">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（2）承包人未在已标价的工程量清单中填入单价和（或）总价的子目，视为该子目的费用已包含合同工程的其他子目的单价或总价中，不再另行计量支付</w:t>
      </w:r>
      <w:r>
        <w:rPr>
          <w:rFonts w:hint="eastAsia" w:ascii="宋体" w:hAnsi="宋体" w:cs="宋体"/>
          <w:color w:val="000000"/>
          <w:szCs w:val="21"/>
          <w:highlight w:val="none"/>
        </w:rPr>
        <w:t>。</w:t>
      </w:r>
    </w:p>
    <w:p w14:paraId="63EAE489">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3）监理人应在收到承包人提交的工程量报表后7天内完成对承包人提交的工程量报表的审核并报送发包人；发包人收到监理人报送资料后7天内完成审批，以确定当月实际完成的工程量。监理人、跟审单位、发包人任一方对工程量有异议的，均有权要求承包人进行共同复核或抽样复测。承包人应协助监理人、跟审单位进行复核或抽样复测，并按监理人要求提供补充计量资料。承包人未按监理人要求参加复核或抽样复测的，监理人复核或修正的工程量视为承包人实际完成的工程量</w:t>
      </w:r>
      <w:r>
        <w:rPr>
          <w:rFonts w:hint="eastAsia" w:ascii="宋体" w:hAnsi="宋体" w:cs="宋体"/>
          <w:color w:val="000000"/>
          <w:szCs w:val="21"/>
          <w:highlight w:val="none"/>
        </w:rPr>
        <w:t>。</w:t>
      </w:r>
    </w:p>
    <w:p w14:paraId="682E889A">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（4）工程量的计量仅作为进度付款和工程施工进度控制的依据，不应认为是承包人履行合同义务完成工程的实际和准确的工程量，实际和准确工程量按竣工图和第12.3.1项〔计量原则〕约定确认的工程量为准</w:t>
      </w:r>
      <w:r>
        <w:rPr>
          <w:rFonts w:hint="eastAsia" w:ascii="宋体" w:hAnsi="宋体" w:cs="宋体"/>
          <w:color w:val="000000"/>
          <w:szCs w:val="21"/>
          <w:highlight w:val="none"/>
        </w:rPr>
        <w:t>。</w:t>
      </w:r>
    </w:p>
    <w:p w14:paraId="516E6DA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12.3.4 总价合同的计量</w:t>
      </w:r>
    </w:p>
    <w:p w14:paraId="405C116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关于总价合同计量的约定：</w:t>
      </w:r>
      <w:r>
        <w:rPr>
          <w:rFonts w:hint="eastAsia" w:ascii="宋体" w:hAnsi="宋体" w:cs="宋体"/>
          <w:color w:val="000000"/>
          <w:szCs w:val="21"/>
          <w:highlight w:val="none"/>
          <w:u w:val="single"/>
        </w:rPr>
        <w:t>按形象进度比例支付</w:t>
      </w:r>
      <w:r>
        <w:rPr>
          <w:rFonts w:hint="eastAsia" w:ascii="宋体" w:hAnsi="宋体" w:cs="宋体"/>
          <w:color w:val="000000"/>
          <w:szCs w:val="21"/>
          <w:highlight w:val="none"/>
        </w:rPr>
        <w:t>。</w:t>
      </w:r>
    </w:p>
    <w:p w14:paraId="50387A6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12.3.5总价合同采用支付分解表计量支付的，是否适用第12.3.4项〔总价合同的计量〕约定进行计量：</w:t>
      </w:r>
      <w:r>
        <w:rPr>
          <w:rFonts w:hint="eastAsia" w:ascii="宋体" w:hAnsi="宋体" w:cs="宋体"/>
          <w:color w:val="000000"/>
          <w:szCs w:val="21"/>
          <w:highlight w:val="none"/>
          <w:u w:val="single"/>
        </w:rPr>
        <w:t>适用</w:t>
      </w:r>
      <w:r>
        <w:rPr>
          <w:rFonts w:hint="eastAsia" w:ascii="宋体" w:hAnsi="宋体" w:cs="宋体"/>
          <w:color w:val="000000"/>
          <w:szCs w:val="21"/>
          <w:highlight w:val="none"/>
        </w:rPr>
        <w:t>。</w:t>
      </w:r>
    </w:p>
    <w:p w14:paraId="427B661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12.3.6 其他价格形式合同的计量</w:t>
      </w:r>
    </w:p>
    <w:p w14:paraId="19EDDC9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其他价格形式的计量方式和程序：</w:t>
      </w:r>
      <w:r>
        <w:rPr>
          <w:rFonts w:hint="eastAsia" w:ascii="宋体" w:hAnsi="宋体" w:cs="宋体"/>
          <w:color w:val="000000"/>
          <w:szCs w:val="21"/>
          <w:highlight w:val="none"/>
          <w:u w:val="single"/>
        </w:rPr>
        <w:t>不采用</w:t>
      </w:r>
      <w:r>
        <w:rPr>
          <w:rFonts w:hint="eastAsia" w:ascii="宋体" w:hAnsi="宋体" w:cs="宋体"/>
          <w:color w:val="000000"/>
          <w:szCs w:val="21"/>
          <w:highlight w:val="none"/>
        </w:rPr>
        <w:t>。</w:t>
      </w:r>
    </w:p>
    <w:p w14:paraId="21681419">
      <w:pPr>
        <w:pStyle w:val="7"/>
        <w:spacing w:before="0" w:beforeAutospacing="0" w:after="0" w:afterAutospacing="0" w:line="360" w:lineRule="auto"/>
        <w:ind w:left="0" w:leftChars="0" w:firstLine="0" w:firstLineChars="0"/>
        <w:rPr>
          <w:rFonts w:hint="eastAsia"/>
          <w:color w:val="000000"/>
          <w:sz w:val="21"/>
          <w:szCs w:val="21"/>
          <w:highlight w:val="none"/>
        </w:rPr>
      </w:pPr>
      <w:bookmarkStart w:id="784" w:name="_Toc532375650"/>
      <w:bookmarkStart w:id="785" w:name="_Toc532377386"/>
      <w:bookmarkStart w:id="786" w:name="_Hlk528928289"/>
      <w:r>
        <w:rPr>
          <w:rFonts w:hint="eastAsia"/>
          <w:color w:val="000000"/>
          <w:sz w:val="21"/>
          <w:szCs w:val="21"/>
          <w:highlight w:val="none"/>
        </w:rPr>
        <w:t>12.4 工程进度款支付</w:t>
      </w:r>
      <w:bookmarkEnd w:id="784"/>
      <w:bookmarkEnd w:id="785"/>
    </w:p>
    <w:bookmarkEnd w:id="786"/>
    <w:p w14:paraId="37ABE8B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12.4.1 付款周期</w:t>
      </w:r>
    </w:p>
    <w:p w14:paraId="3AC1329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关于付款周期的约定：</w:t>
      </w:r>
      <w:r>
        <w:rPr>
          <w:rFonts w:hint="eastAsia" w:ascii="宋体" w:hAnsi="宋体" w:cs="宋体"/>
          <w:color w:val="000000"/>
          <w:szCs w:val="21"/>
          <w:highlight w:val="none"/>
          <w:u w:val="single"/>
        </w:rPr>
        <w:t>按月计量支付进度款（按进度、按节点计量支付进度款的参考按月计量支付进度款原则执行）</w:t>
      </w:r>
      <w:r>
        <w:rPr>
          <w:rFonts w:hint="eastAsia" w:ascii="宋体" w:hAnsi="宋体" w:cs="宋体"/>
          <w:color w:val="000000"/>
          <w:szCs w:val="21"/>
          <w:highlight w:val="none"/>
        </w:rPr>
        <w:t>。</w:t>
      </w:r>
    </w:p>
    <w:p w14:paraId="61BCA78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12.4.2 进度付款申请单的编制</w:t>
      </w:r>
    </w:p>
    <w:p w14:paraId="3C04376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进度付款申请单应包括下列内容：</w:t>
      </w:r>
    </w:p>
    <w:p w14:paraId="31F19EA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（1）截至本次付款周期已完成工作对应的金额</w:t>
      </w:r>
      <w:r>
        <w:rPr>
          <w:rFonts w:hint="eastAsia" w:ascii="宋体" w:hAnsi="宋体" w:cs="宋体"/>
          <w:color w:val="000000"/>
          <w:szCs w:val="21"/>
          <w:highlight w:val="none"/>
        </w:rPr>
        <w:t>；</w:t>
      </w:r>
    </w:p>
    <w:p w14:paraId="56812E3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（2）根据第10条〔变更〕应增加和扣减的已审定变更金额</w:t>
      </w:r>
      <w:r>
        <w:rPr>
          <w:rFonts w:hint="eastAsia" w:ascii="宋体" w:hAnsi="宋体" w:cs="宋体"/>
          <w:color w:val="000000"/>
          <w:szCs w:val="21"/>
          <w:highlight w:val="none"/>
        </w:rPr>
        <w:t>；</w:t>
      </w:r>
    </w:p>
    <w:p w14:paraId="2596211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（3）根据第12.2款〔预付款〕约定应支付的预付款和扣减的返还预付款</w:t>
      </w:r>
      <w:r>
        <w:rPr>
          <w:rFonts w:hint="eastAsia" w:ascii="宋体" w:hAnsi="宋体" w:cs="宋体"/>
          <w:color w:val="000000"/>
          <w:szCs w:val="21"/>
          <w:highlight w:val="none"/>
        </w:rPr>
        <w:t>；</w:t>
      </w:r>
    </w:p>
    <w:p w14:paraId="62880AB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（4）根据第15.3款〔质量保证金〕约定应扣减的质量保证金</w:t>
      </w:r>
      <w:r>
        <w:rPr>
          <w:rFonts w:hint="eastAsia" w:ascii="宋体" w:hAnsi="宋体" w:cs="宋体"/>
          <w:color w:val="000000"/>
          <w:szCs w:val="21"/>
          <w:highlight w:val="none"/>
        </w:rPr>
        <w:t>；</w:t>
      </w:r>
    </w:p>
    <w:p w14:paraId="2724082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（5）根据第19条〔索赔〕应增加和扣减的已审定索赔金额</w:t>
      </w:r>
      <w:r>
        <w:rPr>
          <w:rFonts w:hint="eastAsia" w:ascii="宋体" w:hAnsi="宋体" w:cs="宋体"/>
          <w:color w:val="000000"/>
          <w:szCs w:val="21"/>
          <w:highlight w:val="none"/>
        </w:rPr>
        <w:t>；</w:t>
      </w:r>
    </w:p>
    <w:p w14:paraId="7DFA3F0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（6）根据第11条〔价格调整〕应增加和扣减的价格调整金额</w:t>
      </w:r>
      <w:r>
        <w:rPr>
          <w:rFonts w:hint="eastAsia" w:ascii="宋体" w:hAnsi="宋体" w:cs="宋体"/>
          <w:color w:val="000000"/>
          <w:szCs w:val="21"/>
          <w:highlight w:val="none"/>
        </w:rPr>
        <w:t>；</w:t>
      </w:r>
    </w:p>
    <w:p w14:paraId="1E7B246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（7）对已签发的进度款支付证书中出现错误的修正，应在本次进度付款中支付或扣除的金额</w:t>
      </w:r>
      <w:r>
        <w:rPr>
          <w:rFonts w:hint="eastAsia" w:ascii="宋体" w:hAnsi="宋体" w:cs="宋体"/>
          <w:color w:val="000000"/>
          <w:szCs w:val="21"/>
          <w:highlight w:val="none"/>
        </w:rPr>
        <w:t>；</w:t>
      </w:r>
    </w:p>
    <w:p w14:paraId="18F0A83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（8）根据合同约定承包人应向发包人支付的违约金</w:t>
      </w:r>
      <w:r>
        <w:rPr>
          <w:rFonts w:hint="eastAsia" w:ascii="宋体" w:hAnsi="宋体" w:cs="宋体"/>
          <w:color w:val="000000"/>
          <w:szCs w:val="21"/>
          <w:highlight w:val="none"/>
        </w:rPr>
        <w:t>；</w:t>
      </w:r>
    </w:p>
    <w:p w14:paraId="40A5AC7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（9）根据合同约定发包人应向承包人支付的违约金和（或）奖励</w:t>
      </w:r>
      <w:r>
        <w:rPr>
          <w:rFonts w:hint="eastAsia" w:ascii="宋体" w:hAnsi="宋体" w:cs="宋体"/>
          <w:color w:val="000000"/>
          <w:szCs w:val="21"/>
          <w:highlight w:val="none"/>
        </w:rPr>
        <w:t>；</w:t>
      </w:r>
    </w:p>
    <w:p w14:paraId="1D28AB9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（10）根据合同约定应增加和扣减的其他金额</w:t>
      </w:r>
      <w:r>
        <w:rPr>
          <w:rFonts w:hint="eastAsia" w:ascii="宋体" w:hAnsi="宋体" w:cs="宋体"/>
          <w:color w:val="000000"/>
          <w:szCs w:val="21"/>
          <w:highlight w:val="none"/>
        </w:rPr>
        <w:t>；</w:t>
      </w:r>
    </w:p>
    <w:p w14:paraId="72692544">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（11）当月应支付的人工费（工资款）金额</w:t>
      </w:r>
      <w:r>
        <w:rPr>
          <w:rFonts w:hint="eastAsia" w:ascii="宋体" w:hAnsi="宋体" w:cs="宋体"/>
          <w:color w:val="000000"/>
          <w:szCs w:val="21"/>
          <w:highlight w:val="none"/>
        </w:rPr>
        <w:t>。</w:t>
      </w:r>
    </w:p>
    <w:p w14:paraId="498EF1A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12.4.3 进度付款申请单的提交</w:t>
      </w:r>
    </w:p>
    <w:p w14:paraId="3B41DF8B">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（1）单价合同进度付款申请单提交的约定：</w:t>
      </w:r>
      <w:r>
        <w:rPr>
          <w:rFonts w:hint="eastAsia" w:ascii="宋体" w:hAnsi="宋体" w:cs="宋体"/>
          <w:color w:val="000000"/>
          <w:szCs w:val="21"/>
          <w:highlight w:val="none"/>
          <w:u w:val="single"/>
        </w:rPr>
        <w:t>按照第12.3.3项〔单价合同的计量〕约定的时间按月向监理人提交，并附上已完成工程量报表、经审核的农民工工资发放的情况说明及有关资料。单价合同中的总价子目按工程形象进度分月计量后汇总列入当期进度付款申请单</w:t>
      </w:r>
      <w:r>
        <w:rPr>
          <w:rFonts w:hint="eastAsia" w:ascii="宋体" w:hAnsi="宋体" w:cs="宋体"/>
          <w:color w:val="000000"/>
          <w:szCs w:val="21"/>
          <w:highlight w:val="none"/>
        </w:rPr>
        <w:t>。</w:t>
      </w:r>
    </w:p>
    <w:p w14:paraId="18EA1CDD">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（2）总价合同进度付款申请单提交的约定：</w:t>
      </w:r>
      <w:r>
        <w:rPr>
          <w:rFonts w:hint="eastAsia" w:ascii="宋体" w:hAnsi="宋体" w:cs="宋体"/>
          <w:color w:val="000000"/>
          <w:szCs w:val="21"/>
          <w:highlight w:val="none"/>
          <w:u w:val="single"/>
        </w:rPr>
        <w:t>按照合同约定的形象进度的计量约定的时间向监理人提交，并附上已完成工程量报表、经审核的农民工工资发放的情况说明及有关资料</w:t>
      </w:r>
      <w:r>
        <w:rPr>
          <w:rFonts w:hint="eastAsia" w:ascii="宋体" w:hAnsi="宋体" w:cs="宋体"/>
          <w:color w:val="000000"/>
          <w:szCs w:val="21"/>
          <w:highlight w:val="none"/>
        </w:rPr>
        <w:t>。</w:t>
      </w:r>
    </w:p>
    <w:p w14:paraId="3DB033F0">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（3）其他价格形式合同进度付款申请单提交的约定：</w:t>
      </w:r>
      <w:r>
        <w:rPr>
          <w:rFonts w:hint="eastAsia" w:ascii="宋体" w:hAnsi="宋体" w:cs="宋体"/>
          <w:color w:val="000000"/>
          <w:szCs w:val="21"/>
          <w:highlight w:val="none"/>
          <w:u w:val="single"/>
        </w:rPr>
        <w:t>不采用</w:t>
      </w:r>
      <w:r>
        <w:rPr>
          <w:rFonts w:hint="eastAsia" w:ascii="宋体" w:hAnsi="宋体" w:cs="宋体"/>
          <w:color w:val="000000"/>
          <w:szCs w:val="21"/>
          <w:highlight w:val="none"/>
        </w:rPr>
        <w:t>。</w:t>
      </w:r>
    </w:p>
    <w:p w14:paraId="53A1693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12.4.4 进度款审核和支付</w:t>
      </w:r>
    </w:p>
    <w:p w14:paraId="023561D1">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（1）监理人审查并报送发包人的期限：</w:t>
      </w:r>
      <w:r>
        <w:rPr>
          <w:rFonts w:hint="eastAsia" w:ascii="宋体" w:hAnsi="宋体" w:cs="宋体"/>
          <w:color w:val="000000"/>
          <w:szCs w:val="21"/>
          <w:highlight w:val="none"/>
          <w:u w:val="single"/>
        </w:rPr>
        <w:t>收到完整资料后7天内</w:t>
      </w:r>
      <w:r>
        <w:rPr>
          <w:rFonts w:hint="eastAsia" w:ascii="宋体" w:hAnsi="宋体" w:cs="宋体"/>
          <w:color w:val="000000"/>
          <w:szCs w:val="21"/>
          <w:highlight w:val="none"/>
        </w:rPr>
        <w:t>。</w:t>
      </w:r>
    </w:p>
    <w:p w14:paraId="75383B4A">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发包人完成审批并签发进度款支付证书的期限：</w:t>
      </w:r>
      <w:r>
        <w:rPr>
          <w:rFonts w:hint="eastAsia" w:ascii="宋体" w:hAnsi="宋体" w:cs="宋体"/>
          <w:color w:val="000000"/>
          <w:szCs w:val="21"/>
          <w:highlight w:val="none"/>
          <w:u w:val="single"/>
        </w:rPr>
        <w:t>发包人收到监理人报送资料后7天内完成审批并签发进度款支付证书</w:t>
      </w:r>
      <w:r>
        <w:rPr>
          <w:rFonts w:hint="eastAsia" w:ascii="宋体" w:hAnsi="宋体" w:cs="宋体"/>
          <w:color w:val="000000"/>
          <w:szCs w:val="21"/>
          <w:highlight w:val="none"/>
        </w:rPr>
        <w:t>。</w:t>
      </w:r>
    </w:p>
    <w:p w14:paraId="5DF6097D">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监理人、跟审单位和发包人中任一方对承包人的进度付款申请单有异议的，均有权要求承包人修正和提供补充资料，承包人应提交修正后的进度付款申请单。监理人应在收到承包人修正后的进度付款申请单及相关资料后7天内完成审查并报送发包人，发包人收到监理人报送资料后7天内完成审批并向承包人签发无异议部分的临时进度款支付证书。存在争议的部分，按照合同约定的争议解决的约定处理。</w:t>
      </w:r>
    </w:p>
    <w:p w14:paraId="440554D9">
      <w:pPr>
        <w:spacing w:line="360" w:lineRule="auto"/>
        <w:ind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发包人签发进度款支付证书或临时进度款支付证书，不表明发包人已同意、批准或接受了承包人完成的相应部分的工作。</w:t>
      </w:r>
    </w:p>
    <w:p w14:paraId="2038712D">
      <w:pPr>
        <w:numPr>
          <w:ilvl w:val="0"/>
          <w:numId w:val="17"/>
        </w:num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进度款支付：</w:t>
      </w:r>
    </w:p>
    <w:p w14:paraId="28609918">
      <w:pPr>
        <w:spacing w:line="360" w:lineRule="auto"/>
        <w:rPr>
          <w:rFonts w:hint="eastAsia" w:ascii="宋体" w:hAnsi="宋体" w:cs="宋体"/>
          <w:b w:val="0"/>
          <w:bCs w:val="0"/>
          <w:color w:val="000000"/>
          <w:highlight w:val="none"/>
        </w:rPr>
      </w:pPr>
      <w:bookmarkStart w:id="787" w:name="_Toc532377387"/>
      <w:bookmarkStart w:id="788" w:name="_Toc351203585"/>
      <w:r>
        <w:rPr>
          <w:rFonts w:hint="eastAsia" w:ascii="宋体" w:hAnsi="宋体" w:cs="宋体"/>
          <w:b w:val="0"/>
          <w:bCs w:val="0"/>
          <w:color w:val="000000"/>
          <w:highlight w:val="none"/>
        </w:rPr>
        <w:t>本工程款支付方式：</w:t>
      </w:r>
    </w:p>
    <w:p w14:paraId="52D902B1">
      <w:pPr>
        <w:pStyle w:val="2"/>
        <w:ind w:firstLine="640" w:firstLineChars="20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工程完工经验收合格后支付至审定总金额的97%，剩余3%留作工程质保金，在工程质保期满后且缺陷责任得到处理后一次性支付（不计息）。</w:t>
      </w:r>
    </w:p>
    <w:p w14:paraId="4658A9E5">
      <w:pPr>
        <w:pStyle w:val="2"/>
        <w:ind w:firstLine="640" w:firstLineChars="200"/>
        <w:rPr>
          <w:rFonts w:hint="eastAsia"/>
          <w:color w:val="000000"/>
          <w:highlight w:val="none"/>
        </w:rPr>
      </w:pPr>
      <w:r>
        <w:rPr>
          <w:rFonts w:hint="eastAsia" w:ascii="宋体" w:hAnsi="宋体" w:eastAsia="宋体" w:cs="宋体"/>
          <w:color w:val="000000"/>
          <w:highlight w:val="none"/>
        </w:rPr>
        <w:t>发包人每次拨款，承包人须开具相应金额的建安增值税</w:t>
      </w:r>
      <w:r>
        <w:rPr>
          <w:rFonts w:hint="eastAsia" w:ascii="宋体" w:hAnsi="宋体" w:eastAsia="宋体" w:cs="宋体"/>
          <w:color w:val="000000"/>
          <w:highlight w:val="none"/>
          <w:lang w:val="en-US" w:eastAsia="zh-CN"/>
        </w:rPr>
        <w:t>专票</w:t>
      </w:r>
      <w:r>
        <w:rPr>
          <w:rFonts w:hint="eastAsia" w:ascii="宋体" w:hAnsi="宋体" w:eastAsia="宋体" w:cs="宋体"/>
          <w:color w:val="000000"/>
          <w:highlight w:val="none"/>
        </w:rPr>
        <w:t>。</w:t>
      </w:r>
    </w:p>
    <w:p w14:paraId="5F2A12BE">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12.5支付账户</w:t>
      </w:r>
      <w:bookmarkEnd w:id="787"/>
      <w:bookmarkEnd w:id="788"/>
    </w:p>
    <w:p w14:paraId="1BBBC39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发包人应将合同价款支付至如下承包人指定的开户银行及银行账户：</w:t>
      </w:r>
    </w:p>
    <w:p w14:paraId="08C743DA">
      <w:pPr>
        <w:spacing w:line="360" w:lineRule="auto"/>
        <w:ind w:firstLine="560" w:firstLineChars="200"/>
        <w:jc w:val="left"/>
        <w:rPr>
          <w:rFonts w:hint="eastAsia" w:ascii="宋体" w:hAnsi="宋体" w:cs="宋体"/>
          <w:color w:val="000000"/>
          <w:kern w:val="0"/>
          <w:szCs w:val="21"/>
          <w:highlight w:val="none"/>
          <w:u w:val="single"/>
        </w:rPr>
      </w:pPr>
      <w:r>
        <w:rPr>
          <w:rFonts w:hint="eastAsia" w:ascii="宋体" w:hAnsi="宋体" w:cs="宋体"/>
          <w:color w:val="000000"/>
          <w:kern w:val="0"/>
          <w:szCs w:val="21"/>
          <w:highlight w:val="none"/>
        </w:rPr>
        <w:t>收款单位名称：</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61A9749C">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收款账号：</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5169365F">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收款开户银行：</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6198567E">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发包人应按行业主管部门的相关规定将人工费（工资款）支付至承包人指定的农民工工资专用账户。</w:t>
      </w:r>
    </w:p>
    <w:p w14:paraId="2C12757F">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789" w:name="_Toc8034"/>
      <w:bookmarkStart w:id="790" w:name="_Toc532377388"/>
      <w:bookmarkStart w:id="791" w:name="_Toc351203645"/>
      <w:bookmarkStart w:id="792" w:name="_Toc532375651"/>
      <w:bookmarkStart w:id="793" w:name="_Toc303539172"/>
      <w:bookmarkStart w:id="794" w:name="_Toc296503219"/>
      <w:bookmarkStart w:id="795" w:name="_Toc297120519"/>
      <w:bookmarkStart w:id="796" w:name="_Toc292559424"/>
      <w:bookmarkStart w:id="797" w:name="_Toc297048405"/>
      <w:bookmarkStart w:id="798" w:name="_Toc296944558"/>
      <w:bookmarkStart w:id="799" w:name="_Toc292559929"/>
      <w:bookmarkStart w:id="800" w:name="_Toc297216223"/>
      <w:bookmarkStart w:id="801" w:name="_Toc296891259"/>
      <w:bookmarkStart w:id="802" w:name="_Toc304295593"/>
      <w:bookmarkStart w:id="803" w:name="_Toc296347218"/>
      <w:bookmarkStart w:id="804" w:name="_Toc296891047"/>
      <w:bookmarkStart w:id="805" w:name="_Toc296346720"/>
      <w:bookmarkStart w:id="806" w:name="_Toc300935015"/>
      <w:bookmarkStart w:id="807" w:name="_Toc297123564"/>
      <w:bookmarkStart w:id="808" w:name="_Toc312678053"/>
      <w:r>
        <w:rPr>
          <w:rFonts w:hint="eastAsia"/>
          <w:color w:val="000000"/>
          <w:kern w:val="2"/>
          <w:sz w:val="21"/>
          <w:szCs w:val="21"/>
          <w:highlight w:val="none"/>
        </w:rPr>
        <w:t>13. 验收和工程试车</w:t>
      </w:r>
      <w:bookmarkEnd w:id="789"/>
      <w:bookmarkEnd w:id="790"/>
      <w:bookmarkEnd w:id="791"/>
      <w:bookmarkEnd w:id="792"/>
    </w:p>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14:paraId="1CAB6C90">
      <w:pPr>
        <w:pStyle w:val="7"/>
        <w:spacing w:before="0" w:beforeAutospacing="0" w:after="0" w:afterAutospacing="0" w:line="360" w:lineRule="auto"/>
        <w:ind w:left="0" w:leftChars="0" w:firstLine="0" w:firstLineChars="0"/>
        <w:rPr>
          <w:rFonts w:hint="eastAsia"/>
          <w:color w:val="000000"/>
          <w:sz w:val="21"/>
          <w:szCs w:val="21"/>
          <w:highlight w:val="none"/>
        </w:rPr>
      </w:pPr>
      <w:bookmarkStart w:id="809" w:name="_Toc532377389"/>
      <w:bookmarkStart w:id="810" w:name="_Toc532375652"/>
      <w:bookmarkStart w:id="811" w:name="_Toc280868704"/>
      <w:bookmarkStart w:id="812" w:name="_Toc280868705"/>
      <w:bookmarkStart w:id="813" w:name="_Toc280868706"/>
      <w:bookmarkStart w:id="814" w:name="_Toc280868707"/>
      <w:bookmarkStart w:id="815" w:name="_Toc280868708"/>
      <w:bookmarkStart w:id="816" w:name="_Toc280868709"/>
      <w:bookmarkStart w:id="817" w:name="_Toc267251476"/>
      <w:bookmarkStart w:id="818" w:name="_Toc267251471"/>
      <w:bookmarkStart w:id="819" w:name="_Toc267251472"/>
      <w:bookmarkStart w:id="820" w:name="_Toc267251474"/>
      <w:bookmarkStart w:id="821" w:name="_Toc267251475"/>
      <w:bookmarkStart w:id="822" w:name="_Toc267251473"/>
      <w:bookmarkStart w:id="823" w:name="_Toc267251470"/>
      <w:r>
        <w:rPr>
          <w:rFonts w:hint="eastAsia"/>
          <w:color w:val="000000"/>
          <w:sz w:val="21"/>
          <w:szCs w:val="21"/>
          <w:highlight w:val="none"/>
        </w:rPr>
        <w:t>13.1 分部分项工程验收</w:t>
      </w:r>
      <w:bookmarkEnd w:id="809"/>
      <w:bookmarkEnd w:id="810"/>
    </w:p>
    <w:p w14:paraId="7796DF7E">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13.1.2 监理人不能按时进行验收时，应提前</w:t>
      </w:r>
      <w:r>
        <w:rPr>
          <w:rFonts w:hint="eastAsia" w:ascii="宋体" w:hAnsi="宋体" w:cs="宋体"/>
          <w:color w:val="000000"/>
          <w:szCs w:val="21"/>
          <w:highlight w:val="none"/>
          <w:u w:val="single"/>
        </w:rPr>
        <w:t>24</w:t>
      </w:r>
      <w:r>
        <w:rPr>
          <w:rFonts w:hint="eastAsia" w:ascii="宋体" w:hAnsi="宋体" w:cs="宋体"/>
          <w:color w:val="000000"/>
          <w:szCs w:val="21"/>
          <w:highlight w:val="none"/>
        </w:rPr>
        <w:t>小时提交书面延期要求。</w:t>
      </w:r>
    </w:p>
    <w:p w14:paraId="6D295779">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关于延期最长不得超过：</w:t>
      </w:r>
      <w:r>
        <w:rPr>
          <w:rFonts w:hint="eastAsia" w:ascii="宋体" w:hAnsi="宋体" w:cs="宋体"/>
          <w:color w:val="000000"/>
          <w:szCs w:val="21"/>
          <w:highlight w:val="none"/>
          <w:u w:val="single"/>
        </w:rPr>
        <w:t>48</w:t>
      </w:r>
      <w:r>
        <w:rPr>
          <w:rFonts w:hint="eastAsia" w:ascii="宋体" w:hAnsi="宋体" w:cs="宋体"/>
          <w:color w:val="000000"/>
          <w:szCs w:val="21"/>
          <w:highlight w:val="none"/>
        </w:rPr>
        <w:t>小时。</w:t>
      </w:r>
    </w:p>
    <w:p w14:paraId="22B675D1">
      <w:pPr>
        <w:pStyle w:val="7"/>
        <w:spacing w:before="0" w:beforeAutospacing="0" w:after="0" w:afterAutospacing="0" w:line="360" w:lineRule="auto"/>
        <w:ind w:left="0" w:leftChars="0" w:firstLine="0" w:firstLineChars="0"/>
        <w:rPr>
          <w:rFonts w:hint="eastAsia"/>
          <w:color w:val="000000"/>
          <w:sz w:val="21"/>
          <w:szCs w:val="21"/>
          <w:highlight w:val="none"/>
        </w:rPr>
      </w:pPr>
      <w:bookmarkStart w:id="824" w:name="_Toc532375653"/>
      <w:bookmarkStart w:id="825" w:name="_Toc532377390"/>
      <w:bookmarkStart w:id="826" w:name="_Toc297048409"/>
      <w:bookmarkStart w:id="827" w:name="_Toc304295596"/>
      <w:bookmarkStart w:id="828" w:name="_Toc303539173"/>
      <w:bookmarkStart w:id="829" w:name="_Toc292559428"/>
      <w:bookmarkStart w:id="830" w:name="_Toc297216224"/>
      <w:bookmarkStart w:id="831" w:name="_Toc296503223"/>
      <w:bookmarkStart w:id="832" w:name="_Toc296944562"/>
      <w:bookmarkStart w:id="833" w:name="_Toc292559933"/>
      <w:bookmarkStart w:id="834" w:name="_Toc296346724"/>
      <w:bookmarkStart w:id="835" w:name="_Toc300935016"/>
      <w:bookmarkStart w:id="836" w:name="_Toc312678056"/>
      <w:bookmarkStart w:id="837" w:name="_Toc296891263"/>
      <w:bookmarkStart w:id="838" w:name="_Toc297123565"/>
      <w:bookmarkStart w:id="839" w:name="_Toc296347222"/>
      <w:bookmarkStart w:id="840" w:name="_Toc297120523"/>
      <w:bookmarkStart w:id="841" w:name="_Toc296891051"/>
      <w:r>
        <w:rPr>
          <w:rFonts w:hint="eastAsia"/>
          <w:color w:val="000000"/>
          <w:sz w:val="21"/>
          <w:szCs w:val="21"/>
          <w:highlight w:val="none"/>
        </w:rPr>
        <w:t>13.2 竣工验收</w:t>
      </w:r>
      <w:bookmarkEnd w:id="824"/>
      <w:bookmarkEnd w:id="825"/>
    </w:p>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14:paraId="38372E4E">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13.2.2竣工验收程序</w:t>
      </w:r>
    </w:p>
    <w:bookmarkEnd w:id="811"/>
    <w:p w14:paraId="32FB9EA0">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关于竣工验收程序的约定：工程完工且符合下列条件时，承包人可向发包人提供竣工报告，并要求验收：</w:t>
      </w:r>
    </w:p>
    <w:p w14:paraId="2549FC0D">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（1）除发包人同意的甩项工作和缺陷修补工作外，合同范围内的全部工程以及有关工作，包括合同要求的试验、试运行以及检验均已完成，并符合合同要求；</w:t>
      </w:r>
    </w:p>
    <w:p w14:paraId="218BF754">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（2）已按合同约定编制了甩项工作和缺陷修补工作清单以及相应的施工计划；</w:t>
      </w:r>
    </w:p>
    <w:p w14:paraId="5A42311E">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（3）已按合同约定的内容和份数备齐竣工资料。</w:t>
      </w:r>
    </w:p>
    <w:p w14:paraId="5FCEC034">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44F214B0">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工程竣工及竣工资料：</w:t>
      </w:r>
    </w:p>
    <w:p w14:paraId="47361A59">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（1）发包人应在收到承包人竣工报告后14天内组织设计单位、监理单位、质监等其他部门进行验收，竣工日期以最后一次整改后通过竣工验收的时间为准</w:t>
      </w:r>
      <w:r>
        <w:rPr>
          <w:rFonts w:hint="eastAsia" w:ascii="宋体" w:hAnsi="宋体" w:cs="宋体"/>
          <w:color w:val="000000"/>
          <w:szCs w:val="21"/>
          <w:highlight w:val="none"/>
        </w:rPr>
        <w:t>。</w:t>
      </w:r>
    </w:p>
    <w:p w14:paraId="56B213DE">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2）当工程具备竣工验收条件时，承包人应及时向发包人提交竣工报告及竣工资料、办理移交手续。否则发包人有权依据监理人出具的鉴定结论书，自行组织有关部门验收，并提出整改意见。承包人必须按要求整改，并承担整改费用；如承包人拒绝按发包人提出的要求整改，发包人有权请第三方整改，由此发生的整改费用从未付工程款中扣除，不足部分发包人有权向承包人追偿。当验收通过后具备交付使用条件时，承包人不得以任何借口拒绝移交工程，否则，发包人有权强行使用，由此发生的一切后果，由承包人负责</w:t>
      </w:r>
      <w:r>
        <w:rPr>
          <w:rFonts w:hint="eastAsia" w:ascii="宋体" w:hAnsi="宋体" w:cs="宋体"/>
          <w:color w:val="000000"/>
          <w:szCs w:val="21"/>
          <w:highlight w:val="none"/>
        </w:rPr>
        <w:t>。</w:t>
      </w:r>
    </w:p>
    <w:p w14:paraId="4FEAEAAD">
      <w:pPr>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（3）承包人提供竣工资料的约定：</w:t>
      </w:r>
      <w:r>
        <w:rPr>
          <w:rFonts w:hint="eastAsia" w:ascii="宋体" w:hAnsi="宋体" w:cs="宋体"/>
          <w:color w:val="000000"/>
          <w:szCs w:val="21"/>
          <w:highlight w:val="none"/>
          <w:u w:val="single"/>
        </w:rPr>
        <w:t>承包人提供纸质版竣工图三套，电子版竣工图二套（刻光盘）</w:t>
      </w:r>
      <w:r>
        <w:rPr>
          <w:rFonts w:hint="eastAsia" w:ascii="宋体" w:hAnsi="宋体" w:cs="宋体"/>
          <w:color w:val="000000"/>
          <w:szCs w:val="21"/>
          <w:highlight w:val="none"/>
        </w:rPr>
        <w:t>。</w:t>
      </w:r>
    </w:p>
    <w:bookmarkEnd w:id="812"/>
    <w:p w14:paraId="6F2A6E89">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13.2.5 移交、接收全部与部分工程</w:t>
      </w:r>
    </w:p>
    <w:bookmarkEnd w:id="813"/>
    <w:p w14:paraId="511F9744">
      <w:pPr>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承包人向发包人移交工程的期限：</w:t>
      </w:r>
      <w:r>
        <w:rPr>
          <w:rFonts w:hint="eastAsia" w:ascii="宋体" w:hAnsi="宋体" w:cs="宋体"/>
          <w:color w:val="000000"/>
          <w:szCs w:val="21"/>
          <w:highlight w:val="none"/>
          <w:u w:val="single"/>
        </w:rPr>
        <w:t>颁发工程接收证书后7天内完成工程的移交</w:t>
      </w:r>
      <w:r>
        <w:rPr>
          <w:rFonts w:hint="eastAsia" w:ascii="宋体" w:hAnsi="宋体" w:cs="宋体"/>
          <w:color w:val="000000"/>
          <w:szCs w:val="21"/>
          <w:highlight w:val="none"/>
        </w:rPr>
        <w:t>。</w:t>
      </w:r>
    </w:p>
    <w:p w14:paraId="2DF4FBB1">
      <w:pPr>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发包人未按合同约定接收全部或部分工程的，违约金的计算方法为：发包人自应当接收工程之日起承担工程照管、成品保护、保管等与工程有关的各项费用。</w:t>
      </w:r>
    </w:p>
    <w:bookmarkEnd w:id="814"/>
    <w:p w14:paraId="2FA2C476">
      <w:pPr>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因承包人自身原因未按时移交工程的，违约金的计算方法为：</w:t>
      </w:r>
      <w:r>
        <w:rPr>
          <w:rFonts w:hint="eastAsia" w:ascii="宋体" w:hAnsi="宋体" w:cs="宋体"/>
          <w:color w:val="000000"/>
          <w:szCs w:val="21"/>
          <w:highlight w:val="none"/>
          <w:u w:val="single"/>
        </w:rPr>
        <w:t>承包人应承担工程照管、成品保护、保管等与工程有关的各项费用，并按经审定结算金额的0.5‰/天支付违约金</w:t>
      </w:r>
      <w:r>
        <w:rPr>
          <w:rFonts w:hint="eastAsia" w:ascii="宋体" w:hAnsi="宋体" w:cs="宋体"/>
          <w:color w:val="000000"/>
          <w:szCs w:val="21"/>
          <w:highlight w:val="none"/>
        </w:rPr>
        <w:t>。</w:t>
      </w:r>
    </w:p>
    <w:p w14:paraId="685148C6">
      <w:pPr>
        <w:pStyle w:val="7"/>
        <w:spacing w:before="0" w:beforeAutospacing="0" w:after="0" w:afterAutospacing="0" w:line="360" w:lineRule="auto"/>
        <w:ind w:left="0" w:leftChars="0" w:firstLine="0" w:firstLineChars="0"/>
        <w:rPr>
          <w:rFonts w:hint="eastAsia"/>
          <w:color w:val="000000"/>
          <w:sz w:val="21"/>
          <w:szCs w:val="21"/>
          <w:highlight w:val="none"/>
        </w:rPr>
      </w:pPr>
      <w:bookmarkStart w:id="842" w:name="_Toc532375654"/>
      <w:bookmarkStart w:id="843" w:name="_Toc532377391"/>
      <w:r>
        <w:rPr>
          <w:rFonts w:hint="eastAsia"/>
          <w:color w:val="000000"/>
          <w:sz w:val="21"/>
          <w:szCs w:val="21"/>
          <w:highlight w:val="none"/>
        </w:rPr>
        <w:t>13.3 工程试车</w:t>
      </w:r>
      <w:bookmarkEnd w:id="842"/>
      <w:bookmarkEnd w:id="843"/>
    </w:p>
    <w:p w14:paraId="1529DE2B">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13.3.1 试车程序</w:t>
      </w:r>
    </w:p>
    <w:p w14:paraId="46E0C08F">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工程试车内容：</w:t>
      </w:r>
      <w:r>
        <w:rPr>
          <w:rFonts w:hint="eastAsia" w:ascii="宋体" w:hAnsi="宋体" w:cs="宋体"/>
          <w:color w:val="000000"/>
          <w:szCs w:val="21"/>
          <w:highlight w:val="none"/>
          <w:u w:val="single"/>
        </w:rPr>
        <w:t>按通用合同条款执行</w:t>
      </w:r>
      <w:r>
        <w:rPr>
          <w:rFonts w:hint="eastAsia" w:ascii="宋体" w:hAnsi="宋体" w:cs="宋体"/>
          <w:color w:val="000000"/>
          <w:szCs w:val="21"/>
          <w:highlight w:val="none"/>
        </w:rPr>
        <w:t>。</w:t>
      </w:r>
    </w:p>
    <w:p w14:paraId="4C5AD79A">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（1）单机无负荷试车费用由</w:t>
      </w:r>
      <w:r>
        <w:rPr>
          <w:rFonts w:hint="eastAsia" w:ascii="宋体" w:hAnsi="宋体" w:cs="宋体"/>
          <w:color w:val="000000"/>
          <w:szCs w:val="21"/>
          <w:highlight w:val="none"/>
          <w:u w:val="single"/>
        </w:rPr>
        <w:t>承包人</w:t>
      </w:r>
      <w:r>
        <w:rPr>
          <w:rFonts w:hint="eastAsia" w:ascii="宋体" w:hAnsi="宋体" w:cs="宋体"/>
          <w:color w:val="000000"/>
          <w:szCs w:val="21"/>
          <w:highlight w:val="none"/>
        </w:rPr>
        <w:t>承担；</w:t>
      </w:r>
    </w:p>
    <w:p w14:paraId="0D33ACC3">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（2）无负荷联动试车费用由</w:t>
      </w:r>
      <w:r>
        <w:rPr>
          <w:rFonts w:hint="eastAsia" w:ascii="宋体" w:hAnsi="宋体" w:cs="宋体"/>
          <w:color w:val="000000"/>
          <w:szCs w:val="21"/>
          <w:highlight w:val="none"/>
          <w:u w:val="single"/>
        </w:rPr>
        <w:t>承包人</w:t>
      </w:r>
      <w:r>
        <w:rPr>
          <w:rFonts w:hint="eastAsia" w:ascii="宋体" w:hAnsi="宋体" w:cs="宋体"/>
          <w:color w:val="000000"/>
          <w:szCs w:val="21"/>
          <w:highlight w:val="none"/>
        </w:rPr>
        <w:t>承担。</w:t>
      </w:r>
    </w:p>
    <w:p w14:paraId="702F6C19">
      <w:pPr>
        <w:pStyle w:val="7"/>
        <w:spacing w:before="0" w:beforeAutospacing="0" w:after="0" w:afterAutospacing="0" w:line="360" w:lineRule="auto"/>
        <w:ind w:left="0" w:leftChars="0" w:firstLine="0" w:firstLineChars="0"/>
        <w:rPr>
          <w:rFonts w:hint="eastAsia"/>
          <w:color w:val="000000"/>
          <w:sz w:val="21"/>
          <w:szCs w:val="21"/>
          <w:highlight w:val="none"/>
        </w:rPr>
      </w:pPr>
      <w:bookmarkStart w:id="844" w:name="_Toc532377392"/>
      <w:bookmarkStart w:id="845" w:name="_Toc532375655"/>
      <w:r>
        <w:rPr>
          <w:rFonts w:hint="eastAsia"/>
          <w:color w:val="000000"/>
          <w:sz w:val="21"/>
          <w:szCs w:val="21"/>
          <w:highlight w:val="none"/>
        </w:rPr>
        <w:t>13.6 竣工退场</w:t>
      </w:r>
      <w:bookmarkEnd w:id="844"/>
      <w:bookmarkEnd w:id="845"/>
    </w:p>
    <w:p w14:paraId="315E1FF8">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13.6.1 竣工退场</w:t>
      </w:r>
    </w:p>
    <w:p w14:paraId="0A33E752">
      <w:pPr>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承包人完成竣工退场的期限：</w:t>
      </w:r>
      <w:r>
        <w:rPr>
          <w:rFonts w:hint="eastAsia" w:ascii="宋体" w:hAnsi="宋体" w:cs="宋体"/>
          <w:color w:val="000000"/>
          <w:szCs w:val="21"/>
          <w:highlight w:val="none"/>
          <w:u w:val="single"/>
        </w:rPr>
        <w:t>工程接收证书颁发后28天内，承包人的施工人员、剩余材料、施工设备和临时工程应完全撤离施工场地并对施工场地进行清理、平整、复原，直至监理人检验合格为止，由此发生的费用已包含在签约合同价内。承包人未在限期内拆除的，发包人可委托其他单位代为拆除，由此发生的费用（发包人可从应付承包人的款项中扣除）由承包人承担，承包人还应按审定结算金额的0.5‰/天的标准向发包人支付违约金。因工程维修需要部分人员必须留在施工现场的，需征得发包人同意</w:t>
      </w:r>
      <w:r>
        <w:rPr>
          <w:rFonts w:hint="eastAsia" w:ascii="宋体" w:hAnsi="宋体" w:cs="宋体"/>
          <w:color w:val="000000"/>
          <w:szCs w:val="21"/>
          <w:highlight w:val="none"/>
        </w:rPr>
        <w:t>。</w:t>
      </w:r>
    </w:p>
    <w:bookmarkEnd w:id="815"/>
    <w:p w14:paraId="2F831B62">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846" w:name="_Toc5862"/>
      <w:bookmarkStart w:id="847" w:name="_Toc532375656"/>
      <w:bookmarkStart w:id="848" w:name="_Toc532377393"/>
      <w:bookmarkStart w:id="849" w:name="_Toc351203646"/>
      <w:r>
        <w:rPr>
          <w:rFonts w:hint="eastAsia"/>
          <w:color w:val="000000"/>
          <w:kern w:val="2"/>
          <w:sz w:val="21"/>
          <w:szCs w:val="21"/>
          <w:highlight w:val="none"/>
        </w:rPr>
        <w:t>14. 竣工结算</w:t>
      </w:r>
      <w:bookmarkEnd w:id="846"/>
      <w:bookmarkEnd w:id="847"/>
      <w:bookmarkEnd w:id="848"/>
      <w:bookmarkEnd w:id="849"/>
    </w:p>
    <w:p w14:paraId="3979797C">
      <w:pPr>
        <w:pStyle w:val="7"/>
        <w:spacing w:before="0" w:beforeAutospacing="0" w:after="0" w:afterAutospacing="0" w:line="360" w:lineRule="auto"/>
        <w:ind w:left="0" w:leftChars="0" w:firstLine="0" w:firstLineChars="0"/>
        <w:rPr>
          <w:rFonts w:hint="eastAsia"/>
          <w:color w:val="000000"/>
          <w:sz w:val="21"/>
          <w:szCs w:val="21"/>
          <w:highlight w:val="none"/>
        </w:rPr>
      </w:pPr>
      <w:bookmarkStart w:id="850" w:name="_Toc532375657"/>
      <w:bookmarkStart w:id="851" w:name="_Toc532377394"/>
      <w:r>
        <w:rPr>
          <w:rFonts w:hint="eastAsia"/>
          <w:color w:val="000000"/>
          <w:sz w:val="21"/>
          <w:szCs w:val="21"/>
          <w:highlight w:val="none"/>
        </w:rPr>
        <w:t>14.1 竣工结算申请</w:t>
      </w:r>
      <w:bookmarkEnd w:id="850"/>
      <w:bookmarkEnd w:id="851"/>
    </w:p>
    <w:p w14:paraId="743555B2">
      <w:pPr>
        <w:spacing w:line="360" w:lineRule="auto"/>
        <w:ind w:right="140" w:rightChars="50" w:firstLine="560" w:firstLineChars="200"/>
        <w:jc w:val="left"/>
        <w:rPr>
          <w:rFonts w:ascii="宋体" w:hAnsi="宋体" w:cs="宋体"/>
          <w:color w:val="000000"/>
          <w:szCs w:val="21"/>
          <w:highlight w:val="none"/>
          <w:u w:val="single"/>
        </w:rPr>
      </w:pPr>
      <w:r>
        <w:rPr>
          <w:rFonts w:hint="eastAsia" w:ascii="宋体" w:hAnsi="宋体" w:cs="宋体"/>
          <w:color w:val="000000"/>
          <w:szCs w:val="21"/>
          <w:highlight w:val="none"/>
        </w:rPr>
        <w:t>承包人提交竣工结算申请单的期限：</w:t>
      </w:r>
      <w:r>
        <w:rPr>
          <w:rFonts w:hint="eastAsia" w:ascii="宋体" w:hAnsi="宋体" w:cs="宋体"/>
          <w:color w:val="000000"/>
          <w:szCs w:val="21"/>
          <w:highlight w:val="none"/>
          <w:u w:val="single"/>
        </w:rPr>
        <w:t>承包人应在工程竣工验收合格且报送完整工程竣工资料之日起28天内向监理人、发包人提交竣工结算申请单，并向发包人报送完整的工程竣工资料及经监理人初审确认的完整的竣工结算资料</w:t>
      </w:r>
      <w:bookmarkStart w:id="852" w:name="_Hlk524297994"/>
      <w:r>
        <w:rPr>
          <w:rFonts w:hint="eastAsia" w:ascii="宋体" w:hAnsi="宋体" w:cs="宋体"/>
          <w:color w:val="000000"/>
          <w:szCs w:val="21"/>
          <w:highlight w:val="none"/>
          <w:u w:val="single"/>
        </w:rPr>
        <w:t>。监理人或跟审</w:t>
      </w:r>
      <w:r>
        <w:rPr>
          <w:rFonts w:ascii="宋体" w:hAnsi="宋体" w:cs="宋体"/>
          <w:color w:val="000000"/>
          <w:szCs w:val="21"/>
          <w:highlight w:val="none"/>
          <w:u w:val="single"/>
        </w:rPr>
        <w:t>单位或</w:t>
      </w:r>
      <w:r>
        <w:rPr>
          <w:rFonts w:hint="eastAsia" w:ascii="宋体" w:hAnsi="宋体" w:cs="宋体"/>
          <w:color w:val="000000"/>
          <w:szCs w:val="21"/>
          <w:highlight w:val="none"/>
          <w:u w:val="single"/>
        </w:rPr>
        <w:t>发包人对竣工结算申请单有异议的，应在接到竣工结算申请单后14天内要求承包人进行修正和提供补充资料，承包人在接到监理人或跟审</w:t>
      </w:r>
      <w:r>
        <w:rPr>
          <w:rFonts w:ascii="宋体" w:hAnsi="宋体" w:cs="宋体"/>
          <w:color w:val="000000"/>
          <w:szCs w:val="21"/>
          <w:highlight w:val="none"/>
          <w:u w:val="single"/>
        </w:rPr>
        <w:t>单位或</w:t>
      </w:r>
      <w:r>
        <w:rPr>
          <w:rFonts w:hint="eastAsia" w:ascii="宋体" w:hAnsi="宋体" w:cs="宋体"/>
          <w:color w:val="000000"/>
          <w:szCs w:val="21"/>
          <w:highlight w:val="none"/>
          <w:u w:val="single"/>
        </w:rPr>
        <w:t>发包人提出的审核意见后，应在28天内按监理人或发包人提出的合理要求补充资料、修改竣工结算资料，并再次提交监理人或发包人审核。承包人未在规定时间内补充资料</w:t>
      </w:r>
      <w:r>
        <w:rPr>
          <w:rFonts w:ascii="宋体" w:hAnsi="宋体" w:cs="宋体"/>
          <w:color w:val="000000"/>
          <w:szCs w:val="21"/>
          <w:highlight w:val="none"/>
          <w:u w:val="single"/>
        </w:rPr>
        <w:t>给承包人造成经济损失的由承包人自行承担</w:t>
      </w:r>
      <w:r>
        <w:rPr>
          <w:rFonts w:hint="eastAsia" w:ascii="宋体" w:hAnsi="宋体" w:cs="宋体"/>
          <w:color w:val="000000"/>
          <w:szCs w:val="21"/>
          <w:highlight w:val="none"/>
          <w:u w:val="single"/>
        </w:rPr>
        <w:t>，承包人未在规定时间内报送竣工结算资料给发包人造成经济损失的，承包人应承担赔偿责任。</w:t>
      </w:r>
    </w:p>
    <w:p w14:paraId="6C3B2ED0">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竣工结算申请单包括但不限于以下内容：</w:t>
      </w:r>
    </w:p>
    <w:p w14:paraId="562E59A6">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（1）竣工结算合同价格；</w:t>
      </w:r>
    </w:p>
    <w:p w14:paraId="29107BDC">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（2）变更增减金额；</w:t>
      </w:r>
    </w:p>
    <w:p w14:paraId="6072B56B">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（3）现场签证增减金额；</w:t>
      </w:r>
    </w:p>
    <w:p w14:paraId="410C2249">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（4）索赔增减金额；</w:t>
      </w:r>
    </w:p>
    <w:p w14:paraId="4CABD496">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（5）奖励、罚金及违约金；</w:t>
      </w:r>
    </w:p>
    <w:p w14:paraId="367CB7AA">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（6）发包人已支付承包人的款项；</w:t>
      </w:r>
    </w:p>
    <w:p w14:paraId="7E023173">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（7）应扣留的质量保证金；</w:t>
      </w:r>
    </w:p>
    <w:p w14:paraId="14612438">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（8）发包人应支付承包人的合同价款。</w:t>
      </w:r>
      <w:bookmarkEnd w:id="852"/>
    </w:p>
    <w:p w14:paraId="791010DD">
      <w:pPr>
        <w:spacing w:line="360" w:lineRule="auto"/>
        <w:ind w:right="140" w:rightChars="50" w:firstLine="560" w:firstLineChars="200"/>
        <w:jc w:val="left"/>
        <w:rPr>
          <w:rFonts w:ascii="宋体" w:hAnsi="宋体"/>
          <w:color w:val="000000"/>
          <w:szCs w:val="21"/>
          <w:highlight w:val="none"/>
        </w:rPr>
      </w:pPr>
      <w:bookmarkStart w:id="853" w:name="_Toc532377395"/>
      <w:bookmarkStart w:id="854" w:name="_Toc532375658"/>
      <w:r>
        <w:rPr>
          <w:rFonts w:hint="eastAsia" w:ascii="宋体" w:hAnsi="宋体"/>
          <w:color w:val="000000"/>
          <w:szCs w:val="21"/>
          <w:highlight w:val="none"/>
        </w:rPr>
        <w:t>（9）</w:t>
      </w:r>
      <w:r>
        <w:rPr>
          <w:rFonts w:hint="eastAsia" w:ascii="宋体" w:hAnsi="宋体"/>
          <w:color w:val="000000"/>
          <w:szCs w:val="21"/>
          <w:highlight w:val="none"/>
          <w:u w:val="single"/>
        </w:rPr>
        <w:t xml:space="preserve">   符合</w:t>
      </w:r>
      <w:r>
        <w:rPr>
          <w:rFonts w:hint="eastAsia" w:ascii="宋体" w:hAnsi="宋体"/>
          <w:color w:val="000000"/>
          <w:szCs w:val="21"/>
          <w:highlight w:val="none"/>
          <w:u w:val="single"/>
          <w:lang w:val="en-US" w:eastAsia="zh-CN"/>
        </w:rPr>
        <w:t>审核</w:t>
      </w:r>
      <w:r>
        <w:rPr>
          <w:rFonts w:hint="eastAsia" w:ascii="宋体" w:hAnsi="宋体"/>
          <w:color w:val="000000"/>
          <w:szCs w:val="21"/>
          <w:highlight w:val="none"/>
          <w:u w:val="single"/>
        </w:rPr>
        <w:t xml:space="preserve">要求的全套的结算资料      </w:t>
      </w:r>
      <w:r>
        <w:rPr>
          <w:rFonts w:hint="eastAsia" w:ascii="宋体" w:hAnsi="宋体"/>
          <w:color w:val="000000"/>
          <w:szCs w:val="21"/>
          <w:highlight w:val="none"/>
        </w:rPr>
        <w:t>。</w:t>
      </w:r>
    </w:p>
    <w:p w14:paraId="5954BC87">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14.2 竣工结算审核</w:t>
      </w:r>
      <w:bookmarkEnd w:id="853"/>
      <w:bookmarkEnd w:id="854"/>
    </w:p>
    <w:p w14:paraId="226015B0">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14.2.1 竣工结算办法</w:t>
      </w:r>
    </w:p>
    <w:p w14:paraId="42D1D714">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14.2.1.1计量原则</w:t>
      </w:r>
    </w:p>
    <w:p w14:paraId="04A3A793">
      <w:pPr>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按照第12.3.1项〔计量原则〕约定执行。</w:t>
      </w:r>
    </w:p>
    <w:p w14:paraId="64BFEC10">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14.2.1.2计价原则</w:t>
      </w:r>
    </w:p>
    <w:p w14:paraId="79DF70F9">
      <w:pPr>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合同竣工结算价=Σ分部分项工程结算价+Σ措施项目结算价+Σ其他项目结算价±Σ价格调整（如有）±Σ变更、索赔与现场签证结算价±Σ奖励、罚金、违约金及其他费用+Σ规费+Σ税金</w:t>
      </w:r>
      <w:r>
        <w:rPr>
          <w:rFonts w:hint="eastAsia" w:ascii="宋体" w:hAnsi="宋体" w:cs="宋体"/>
          <w:color w:val="000000"/>
          <w:szCs w:val="21"/>
          <w:highlight w:val="none"/>
        </w:rPr>
        <w:t>。</w:t>
      </w:r>
    </w:p>
    <w:p w14:paraId="7A249018">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具体结算办法如下：</w:t>
      </w:r>
    </w:p>
    <w:p w14:paraId="15CD63A8">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（1）分部分项工程：</w:t>
      </w:r>
    </w:p>
    <w:p w14:paraId="62A94257">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u w:val="single"/>
        </w:rPr>
        <w:t>①已标价工程量清单子目综合单价按合同约定无需调整的，以按照竣工图和第12.3.1项〔计量原则〕约定确定的工程量乘以相应的已标价工程量清单子目综合单价确定该部分分部分项工程结算价</w:t>
      </w:r>
      <w:r>
        <w:rPr>
          <w:rFonts w:hint="eastAsia" w:ascii="宋体" w:hAnsi="宋体" w:cs="宋体"/>
          <w:color w:val="000000"/>
          <w:szCs w:val="21"/>
          <w:highlight w:val="none"/>
        </w:rPr>
        <w:t>；</w:t>
      </w:r>
    </w:p>
    <w:p w14:paraId="7E20B718">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u w:val="single"/>
        </w:rPr>
        <w:t>②需要对没有填入综合单价或总额价的子目项目进行扣减的，第12.3.1项〔计量原则〕约定确定的工程量乘以按照10.4.1〔变更估价原则〕（3）目约定的综合单价进行扣减</w:t>
      </w:r>
      <w:r>
        <w:rPr>
          <w:rFonts w:hint="eastAsia" w:ascii="宋体" w:hAnsi="宋体" w:cs="宋体"/>
          <w:color w:val="000000"/>
          <w:szCs w:val="21"/>
          <w:highlight w:val="none"/>
        </w:rPr>
        <w:t>；</w:t>
      </w:r>
    </w:p>
    <w:p w14:paraId="3BF31680">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u w:val="single"/>
        </w:rPr>
        <w:t>③合同、已标价工程量清单和比选文件另有约定的，按照其约定执行</w:t>
      </w:r>
      <w:r>
        <w:rPr>
          <w:rFonts w:hint="eastAsia" w:ascii="宋体" w:hAnsi="宋体" w:cs="宋体"/>
          <w:color w:val="000000"/>
          <w:szCs w:val="21"/>
          <w:highlight w:val="none"/>
        </w:rPr>
        <w:t>。</w:t>
      </w:r>
    </w:p>
    <w:p w14:paraId="02F7178D">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（2）措施项目：</w:t>
      </w:r>
    </w:p>
    <w:p w14:paraId="0AC91549">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u w:val="single"/>
        </w:rPr>
        <w:t>①已标价工程量清单范围内以项为计量单位的措施项目费（安全文明施工费除外）包干使用；不以项为计量单位的措施项目费按第14.2.1项〔竣工结算办理办法〕分部分项约定执行</w:t>
      </w:r>
      <w:r>
        <w:rPr>
          <w:rFonts w:hint="eastAsia" w:ascii="宋体" w:hAnsi="宋体" w:cs="宋体"/>
          <w:color w:val="000000"/>
          <w:szCs w:val="21"/>
          <w:highlight w:val="none"/>
        </w:rPr>
        <w:t>。</w:t>
      </w:r>
    </w:p>
    <w:p w14:paraId="18A94DBE">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u w:val="single"/>
        </w:rPr>
        <w:t>②工程变更引起施工方案改变使措施项目发生变化的，经监理人、发包人确定后可对按第10.4.3项约定执行</w:t>
      </w:r>
      <w:r>
        <w:rPr>
          <w:rFonts w:hint="eastAsia" w:ascii="宋体" w:hAnsi="宋体" w:cs="宋体"/>
          <w:color w:val="000000"/>
          <w:szCs w:val="21"/>
          <w:highlight w:val="none"/>
        </w:rPr>
        <w:t>。</w:t>
      </w:r>
    </w:p>
    <w:p w14:paraId="6BA1467D">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u w:val="single"/>
        </w:rPr>
        <w:t>③安全文明施工费按照《重庆市建设工程安全文明施工费计取及使用管理规定》（渝建发〔2014〕25号）、《重庆市住房和城乡建设委员会关于调整建设施工现场形象品质提升安全文明施工费计取的通知》（渝建管〔2020〕97号）、《重庆市建设工程费用定额》（CQFYDE-2018）、《重庆市城乡建设委员会关于适用增值税新税率调整建设工程计价依据的通知》（渝建〔2019〕143号）的规定进行结算</w:t>
      </w:r>
      <w:r>
        <w:rPr>
          <w:rFonts w:hint="eastAsia" w:ascii="宋体" w:hAnsi="宋体" w:cs="宋体"/>
          <w:color w:val="000000"/>
          <w:szCs w:val="21"/>
          <w:highlight w:val="none"/>
        </w:rPr>
        <w:t>。</w:t>
      </w:r>
    </w:p>
    <w:p w14:paraId="5F99891F">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（3）其他项目：</w:t>
      </w:r>
    </w:p>
    <w:p w14:paraId="10E618CD">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①材料（工程设备）暂估价：</w:t>
      </w:r>
      <w:r>
        <w:rPr>
          <w:rFonts w:hint="eastAsia" w:ascii="宋体" w:hAnsi="宋体" w:cs="宋体"/>
          <w:color w:val="000000"/>
          <w:szCs w:val="21"/>
          <w:highlight w:val="none"/>
          <w:u w:val="single"/>
        </w:rPr>
        <w:t>按照第12.3.1项〔计量原则〕约定及对应定额消耗量确定的数量乘以监理人、跟审单位、发包人根据市场行情认质核价确定的价格进行结算</w:t>
      </w:r>
      <w:r>
        <w:rPr>
          <w:rFonts w:hint="eastAsia" w:ascii="宋体" w:hAnsi="宋体" w:cs="宋体"/>
          <w:color w:val="000000"/>
          <w:szCs w:val="21"/>
          <w:highlight w:val="none"/>
        </w:rPr>
        <w:t>。</w:t>
      </w:r>
    </w:p>
    <w:p w14:paraId="4F606959">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②专业工程暂估价：</w:t>
      </w:r>
    </w:p>
    <w:p w14:paraId="5F79E20D">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1）对于不属于依法必须招标的暂估价项目：按发包人审定的价格进行结算</w:t>
      </w:r>
      <w:r>
        <w:rPr>
          <w:rFonts w:hint="eastAsia" w:ascii="宋体" w:hAnsi="宋体" w:cs="宋体"/>
          <w:color w:val="000000"/>
          <w:szCs w:val="21"/>
          <w:highlight w:val="none"/>
        </w:rPr>
        <w:t>。</w:t>
      </w:r>
    </w:p>
    <w:p w14:paraId="08617320">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2）对于依法必须招标的暂估价项目：达到招标规模标准的暂估价内容，包括专业工程暂估价和材料设备暂估价均应招标确定，并按暂估价比选文件约定结算</w:t>
      </w:r>
      <w:r>
        <w:rPr>
          <w:rFonts w:hint="eastAsia" w:ascii="宋体" w:hAnsi="宋体" w:cs="宋体"/>
          <w:color w:val="000000"/>
          <w:szCs w:val="21"/>
          <w:highlight w:val="none"/>
        </w:rPr>
        <w:t>。</w:t>
      </w:r>
    </w:p>
    <w:p w14:paraId="2F011466">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3）总承包服务费：总承包服务费包干使用，结算时不作调整</w:t>
      </w:r>
      <w:r>
        <w:rPr>
          <w:rFonts w:hint="eastAsia" w:ascii="宋体" w:hAnsi="宋体" w:cs="宋体"/>
          <w:color w:val="000000"/>
          <w:szCs w:val="21"/>
          <w:highlight w:val="none"/>
        </w:rPr>
        <w:t>。</w:t>
      </w:r>
    </w:p>
    <w:p w14:paraId="1327A311">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rPr>
      </w:pPr>
      <w:r>
        <w:rPr>
          <w:rFonts w:hint="eastAsia" w:ascii="宋体" w:hAnsi="宋体" w:cs="宋体"/>
          <w:color w:val="000000"/>
          <w:szCs w:val="21"/>
          <w:highlight w:val="none"/>
        </w:rPr>
        <w:t>（4）价格调整：</w:t>
      </w:r>
      <w:r>
        <w:rPr>
          <w:rFonts w:hint="eastAsia" w:ascii="宋体" w:hAnsi="宋体" w:cs="宋体"/>
          <w:color w:val="000000"/>
          <w:szCs w:val="21"/>
          <w:highlight w:val="none"/>
          <w:u w:val="single"/>
        </w:rPr>
        <w:t>按照第11条〔价格调整〕约定执行</w:t>
      </w:r>
      <w:r>
        <w:rPr>
          <w:rFonts w:hint="eastAsia" w:ascii="宋体" w:hAnsi="宋体" w:cs="宋体"/>
          <w:color w:val="000000"/>
          <w:szCs w:val="21"/>
          <w:highlight w:val="none"/>
        </w:rPr>
        <w:t>。</w:t>
      </w:r>
    </w:p>
    <w:p w14:paraId="6E485134">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rPr>
        <w:t>（5）工程变更、索赔与现场签证：</w:t>
      </w:r>
    </w:p>
    <w:p w14:paraId="328FF97E">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rPr>
        <w:t>1）工程变更：按照第10.4.1项〔变更估价原则〕约定确定为总价包干的，按审定包干总价计入结算；其余项目按照有效的竣工结算资料和第12.3.1项〔计量原则〕约定确定的工程量乘以相应的按照第10.4.1项〔变更估价原则〕约定确定综合单价来确定该部分结算价。</w:t>
      </w:r>
    </w:p>
    <w:p w14:paraId="50C447F7">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rPr>
        <w:t>2）索赔：按照第10.4.1项〔变更估价原则〕和第14.2.1项〔竣工结算办法〕约定执行。</w:t>
      </w:r>
    </w:p>
    <w:p w14:paraId="2FE1EC9C">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rPr>
        <w:t>3）现场签证：按照第10.4.1项〔变更估价原则〕和第14.2.1项〔竣工结算办法〕约定执行。</w:t>
      </w:r>
    </w:p>
    <w:p w14:paraId="535F31DE">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rPr>
        <w:t>（6）奖励、罚金、违约金及其他费用：</w:t>
      </w:r>
      <w:r>
        <w:rPr>
          <w:rFonts w:hint="eastAsia" w:ascii="宋体" w:hAnsi="宋体" w:cs="宋体"/>
          <w:color w:val="000000"/>
          <w:szCs w:val="21"/>
          <w:highlight w:val="none"/>
          <w:u w:val="single"/>
        </w:rPr>
        <w:t>按实进行结算</w:t>
      </w:r>
      <w:r>
        <w:rPr>
          <w:rFonts w:hint="eastAsia" w:ascii="宋体" w:hAnsi="宋体" w:cs="宋体"/>
          <w:color w:val="000000"/>
          <w:szCs w:val="21"/>
          <w:highlight w:val="none"/>
        </w:rPr>
        <w:t>。</w:t>
      </w:r>
    </w:p>
    <w:p w14:paraId="12DAE4BC">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rPr>
        <w:t>（7）规费：已标价工程量清单中规费费用按《重庆市建设工程费用定额》（CQFYDE-2018）执行。</w:t>
      </w:r>
    </w:p>
    <w:p w14:paraId="6FCF653E">
      <w:pPr>
        <w:tabs>
          <w:tab w:val="left" w:pos="711"/>
          <w:tab w:val="left" w:pos="2580"/>
        </w:tabs>
        <w:spacing w:line="360" w:lineRule="auto"/>
        <w:ind w:right="140" w:rightChars="50" w:firstLine="560" w:firstLineChars="200"/>
        <w:jc w:val="left"/>
        <w:textAlignment w:val="baseline"/>
        <w:rPr>
          <w:rFonts w:hint="eastAsia" w:ascii="宋体" w:hAnsi="宋体" w:cs="宋体"/>
          <w:color w:val="000000"/>
          <w:szCs w:val="21"/>
          <w:highlight w:val="none"/>
          <w:u w:val="single"/>
        </w:rPr>
      </w:pPr>
      <w:r>
        <w:rPr>
          <w:rFonts w:hint="eastAsia" w:ascii="宋体" w:hAnsi="宋体" w:cs="宋体"/>
          <w:color w:val="000000"/>
          <w:szCs w:val="21"/>
          <w:highlight w:val="none"/>
        </w:rPr>
        <w:t>（8）税金：包含增值税、城市维护建设税、教育费附加、地方教育附加以及环境保护税。其中增值税按《重庆市建设工程费用定额》（CQFYDE-2018）、《重庆市城乡建设委员会关于适用增值税新税率调整建设工程计价依据的通知》（渝建〔2019〕143号）规定执行，环境保护税按实结算。</w:t>
      </w:r>
    </w:p>
    <w:p w14:paraId="3AA4E9F1">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14.2.1.3竣工结算价</w:t>
      </w:r>
    </w:p>
    <w:p w14:paraId="6ADED501">
      <w:pPr>
        <w:spacing w:line="360" w:lineRule="auto"/>
        <w:ind w:firstLine="560" w:firstLineChars="200"/>
        <w:jc w:val="left"/>
        <w:rPr>
          <w:rFonts w:hint="eastAsia" w:ascii="宋体" w:hAnsi="宋体" w:cs="宋体"/>
          <w:color w:val="000000"/>
          <w:szCs w:val="21"/>
          <w:highlight w:val="none"/>
          <w:u w:val="single"/>
        </w:rPr>
      </w:pPr>
      <w:bookmarkStart w:id="855" w:name="_Hlk528660512"/>
      <w:r>
        <w:rPr>
          <w:rFonts w:hint="eastAsia" w:ascii="宋体" w:hAnsi="宋体" w:cs="宋体"/>
          <w:color w:val="000000"/>
          <w:szCs w:val="21"/>
          <w:highlight w:val="none"/>
          <w:u w:val="single"/>
        </w:rPr>
        <w:t>以发包人会同跟审单位、监理人、承包人根据有效资料共同确定竣工结算金额作为合同竣工结算价</w:t>
      </w:r>
      <w:r>
        <w:rPr>
          <w:rFonts w:hint="eastAsia" w:ascii="宋体" w:hAnsi="宋体" w:cs="宋体"/>
          <w:color w:val="000000"/>
          <w:szCs w:val="21"/>
          <w:highlight w:val="none"/>
        </w:rPr>
        <w:t>。（</w:t>
      </w:r>
      <w:r>
        <w:rPr>
          <w:rFonts w:hint="eastAsia" w:ascii="宋体" w:hAnsi="宋体"/>
          <w:b/>
          <w:bCs/>
          <w:color w:val="000000"/>
          <w:szCs w:val="21"/>
          <w:highlight w:val="none"/>
          <w:u w:val="none"/>
          <w:lang w:val="en-US" w:eastAsia="zh-CN"/>
        </w:rPr>
        <w:t>注：施工单位提供的工程结算价款，审减率超过5%以上的，超过部分的审减效益费用由施工单位承担，并由建设单位从工程结算价中扣除。</w:t>
      </w:r>
      <w:r>
        <w:rPr>
          <w:rFonts w:hint="eastAsia" w:ascii="宋体" w:hAnsi="宋体" w:cs="宋体"/>
          <w:color w:val="000000"/>
          <w:szCs w:val="21"/>
          <w:highlight w:val="none"/>
        </w:rPr>
        <w:t>）</w:t>
      </w:r>
    </w:p>
    <w:bookmarkEnd w:id="855"/>
    <w:p w14:paraId="7F572AEF">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14.2.2 竣工结算审核期限</w:t>
      </w:r>
    </w:p>
    <w:p w14:paraId="2BEFECA9">
      <w:pPr>
        <w:spacing w:line="360" w:lineRule="auto"/>
        <w:ind w:right="140" w:rightChars="50" w:firstLine="560" w:firstLineChars="200"/>
        <w:jc w:val="left"/>
        <w:rPr>
          <w:rFonts w:ascii="宋体" w:hAnsi="宋体"/>
          <w:color w:val="000000"/>
          <w:szCs w:val="21"/>
          <w:highlight w:val="none"/>
        </w:rPr>
      </w:pPr>
      <w:bookmarkStart w:id="856" w:name="_Toc532377396"/>
      <w:bookmarkStart w:id="857" w:name="_Toc532375659"/>
      <w:r>
        <w:rPr>
          <w:rFonts w:hint="eastAsia" w:ascii="宋体" w:hAnsi="宋体"/>
          <w:color w:val="000000"/>
          <w:szCs w:val="21"/>
          <w:highlight w:val="none"/>
        </w:rPr>
        <w:t>监理人审核竣工付款申请单的期限：</w:t>
      </w:r>
      <w:r>
        <w:rPr>
          <w:rFonts w:hint="eastAsia" w:ascii="宋体" w:hAnsi="宋体"/>
          <w:color w:val="000000"/>
          <w:szCs w:val="21"/>
          <w:highlight w:val="none"/>
          <w:u w:val="single"/>
        </w:rPr>
        <w:t>不超过 28 日</w:t>
      </w:r>
      <w:r>
        <w:rPr>
          <w:rFonts w:hint="eastAsia" w:ascii="宋体" w:hAnsi="宋体"/>
          <w:color w:val="000000"/>
          <w:szCs w:val="21"/>
          <w:highlight w:val="none"/>
        </w:rPr>
        <w:t>。</w:t>
      </w:r>
    </w:p>
    <w:p w14:paraId="642BC680">
      <w:pPr>
        <w:spacing w:line="360" w:lineRule="auto"/>
        <w:ind w:right="140" w:rightChars="50" w:firstLine="560" w:firstLineChars="200"/>
        <w:jc w:val="left"/>
        <w:rPr>
          <w:rFonts w:ascii="宋体" w:hAnsi="宋体"/>
          <w:color w:val="000000"/>
          <w:szCs w:val="21"/>
          <w:highlight w:val="none"/>
        </w:rPr>
      </w:pPr>
      <w:r>
        <w:rPr>
          <w:rFonts w:hint="eastAsia" w:ascii="宋体" w:hAnsi="宋体"/>
          <w:color w:val="000000"/>
          <w:szCs w:val="21"/>
          <w:highlight w:val="none"/>
        </w:rPr>
        <w:t>发包人审核竣工付款申请单的期限：</w:t>
      </w:r>
      <w:r>
        <w:rPr>
          <w:rFonts w:hint="eastAsia" w:ascii="宋体" w:hAnsi="宋体"/>
          <w:color w:val="000000"/>
          <w:szCs w:val="21"/>
          <w:highlight w:val="none"/>
          <w:u w:val="single"/>
        </w:rPr>
        <w:t>不超过28  日</w:t>
      </w:r>
      <w:r>
        <w:rPr>
          <w:rFonts w:hint="eastAsia" w:ascii="宋体" w:hAnsi="宋体"/>
          <w:color w:val="000000"/>
          <w:szCs w:val="21"/>
          <w:highlight w:val="none"/>
        </w:rPr>
        <w:t>。</w:t>
      </w:r>
    </w:p>
    <w:p w14:paraId="2D1EF2F7">
      <w:pPr>
        <w:spacing w:line="360" w:lineRule="auto"/>
        <w:ind w:right="140" w:rightChars="50" w:firstLine="560" w:firstLineChars="200"/>
        <w:jc w:val="left"/>
        <w:rPr>
          <w:rFonts w:ascii="宋体" w:hAnsi="宋体"/>
          <w:color w:val="000000"/>
          <w:szCs w:val="21"/>
          <w:highlight w:val="none"/>
        </w:rPr>
      </w:pPr>
      <w:r>
        <w:rPr>
          <w:rFonts w:hint="eastAsia" w:ascii="宋体" w:hAnsi="宋体"/>
          <w:color w:val="000000"/>
          <w:szCs w:val="21"/>
          <w:highlight w:val="none"/>
        </w:rPr>
        <w:t>发包人完成竣工付款的期限：</w:t>
      </w:r>
      <w:r>
        <w:rPr>
          <w:rFonts w:hint="eastAsia" w:ascii="宋体" w:hAnsi="宋体"/>
          <w:color w:val="000000"/>
          <w:szCs w:val="21"/>
          <w:highlight w:val="none"/>
          <w:u w:val="single"/>
        </w:rPr>
        <w:t>完成竣工付款申请单审核后 28 天内</w:t>
      </w:r>
      <w:r>
        <w:rPr>
          <w:rFonts w:hint="eastAsia" w:ascii="宋体" w:hAnsi="宋体"/>
          <w:color w:val="000000"/>
          <w:szCs w:val="21"/>
          <w:highlight w:val="none"/>
        </w:rPr>
        <w:t>。</w:t>
      </w:r>
    </w:p>
    <w:p w14:paraId="2754CBCB">
      <w:pPr>
        <w:spacing w:line="360" w:lineRule="auto"/>
        <w:ind w:right="140" w:rightChars="50" w:firstLine="560" w:firstLineChars="200"/>
        <w:jc w:val="left"/>
        <w:rPr>
          <w:rFonts w:ascii="宋体" w:hAnsi="宋体"/>
          <w:color w:val="000000"/>
          <w:szCs w:val="21"/>
          <w:highlight w:val="none"/>
        </w:rPr>
      </w:pPr>
      <w:r>
        <w:rPr>
          <w:rFonts w:hint="eastAsia" w:ascii="宋体" w:hAnsi="宋体"/>
          <w:color w:val="000000"/>
          <w:szCs w:val="21"/>
          <w:highlight w:val="none"/>
        </w:rPr>
        <w:t>关于竣工付款证书异议部分复核的方式和程序： 按照第20条〔争议解决〕约定处理。</w:t>
      </w:r>
    </w:p>
    <w:p w14:paraId="32CA6EAB">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14.4 最终结清</w:t>
      </w:r>
      <w:bookmarkEnd w:id="856"/>
      <w:bookmarkEnd w:id="857"/>
    </w:p>
    <w:p w14:paraId="1952DD31">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14.4.1 最终结清申请单</w:t>
      </w:r>
    </w:p>
    <w:p w14:paraId="1DA1D32F">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承包人提交最终结清申请单的份数：</w:t>
      </w:r>
      <w:r>
        <w:rPr>
          <w:rFonts w:hint="eastAsia" w:ascii="宋体" w:hAnsi="宋体" w:cs="宋体"/>
          <w:color w:val="000000"/>
          <w:szCs w:val="21"/>
          <w:highlight w:val="none"/>
          <w:u w:val="single"/>
        </w:rPr>
        <w:t>3份</w:t>
      </w:r>
      <w:r>
        <w:rPr>
          <w:rFonts w:hint="eastAsia" w:ascii="宋体" w:hAnsi="宋体" w:cs="宋体"/>
          <w:color w:val="000000"/>
          <w:szCs w:val="21"/>
          <w:highlight w:val="none"/>
        </w:rPr>
        <w:t>。</w:t>
      </w:r>
    </w:p>
    <w:p w14:paraId="4D80007B">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承包人提交最终结算申请单的期限：</w:t>
      </w:r>
      <w:r>
        <w:rPr>
          <w:rFonts w:hint="eastAsia" w:ascii="宋体" w:hAnsi="宋体" w:cs="宋体"/>
          <w:color w:val="000000"/>
          <w:szCs w:val="21"/>
          <w:highlight w:val="none"/>
          <w:u w:val="single"/>
        </w:rPr>
        <w:t>缺陷责任期终止证书颁发后14天内</w:t>
      </w:r>
      <w:r>
        <w:rPr>
          <w:rFonts w:hint="eastAsia" w:ascii="宋体" w:hAnsi="宋体" w:cs="宋体"/>
          <w:color w:val="000000"/>
          <w:szCs w:val="21"/>
          <w:highlight w:val="none"/>
        </w:rPr>
        <w:t>。</w:t>
      </w:r>
    </w:p>
    <w:p w14:paraId="36508C80">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14.4.2 最终结清证书和支付</w:t>
      </w:r>
    </w:p>
    <w:p w14:paraId="0CE508AF">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（1）发包人完成最终结清申请单的审批并颁发最终结清证书的期限：</w:t>
      </w:r>
      <w:r>
        <w:rPr>
          <w:rFonts w:hint="eastAsia" w:ascii="宋体" w:hAnsi="宋体" w:cs="宋体"/>
          <w:color w:val="000000"/>
          <w:szCs w:val="21"/>
          <w:highlight w:val="none"/>
          <w:u w:val="single"/>
        </w:rPr>
        <w:t>发包人收到完整资料后14天内完成审批并颁发最终结清证书</w:t>
      </w:r>
      <w:r>
        <w:rPr>
          <w:rFonts w:hint="eastAsia" w:ascii="宋体" w:hAnsi="宋体" w:cs="宋体"/>
          <w:color w:val="000000"/>
          <w:szCs w:val="21"/>
          <w:highlight w:val="none"/>
        </w:rPr>
        <w:t>。</w:t>
      </w:r>
    </w:p>
    <w:p w14:paraId="22481F73">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（2）发包人完成支付的期限：</w:t>
      </w:r>
      <w:r>
        <w:rPr>
          <w:rFonts w:hint="eastAsia" w:ascii="宋体" w:hAnsi="宋体" w:cs="宋体"/>
          <w:color w:val="000000"/>
          <w:szCs w:val="21"/>
          <w:highlight w:val="none"/>
          <w:u w:val="single"/>
        </w:rPr>
        <w:t>颁发最终结清证书的14天内</w:t>
      </w:r>
      <w:r>
        <w:rPr>
          <w:rFonts w:hint="eastAsia" w:ascii="宋体" w:hAnsi="宋体" w:cs="宋体"/>
          <w:color w:val="000000"/>
          <w:szCs w:val="21"/>
          <w:highlight w:val="none"/>
        </w:rPr>
        <w:t>。</w:t>
      </w:r>
    </w:p>
    <w:p w14:paraId="418644CA">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本条补充14.5款：</w:t>
      </w:r>
    </w:p>
    <w:bookmarkEnd w:id="816"/>
    <w:bookmarkEnd w:id="817"/>
    <w:bookmarkEnd w:id="818"/>
    <w:bookmarkEnd w:id="819"/>
    <w:bookmarkEnd w:id="820"/>
    <w:bookmarkEnd w:id="821"/>
    <w:bookmarkEnd w:id="822"/>
    <w:bookmarkEnd w:id="823"/>
    <w:p w14:paraId="74E38286">
      <w:pPr>
        <w:pStyle w:val="7"/>
        <w:spacing w:before="0" w:beforeAutospacing="0" w:after="0" w:afterAutospacing="0" w:line="360" w:lineRule="auto"/>
        <w:ind w:left="0" w:leftChars="0" w:firstLine="0" w:firstLineChars="0"/>
        <w:rPr>
          <w:rFonts w:hint="eastAsia"/>
          <w:color w:val="000000"/>
          <w:sz w:val="21"/>
          <w:szCs w:val="21"/>
          <w:highlight w:val="none"/>
        </w:rPr>
      </w:pPr>
      <w:bookmarkStart w:id="858" w:name="_Toc532375660"/>
      <w:bookmarkStart w:id="859" w:name="_Toc532377397"/>
      <w:r>
        <w:rPr>
          <w:rFonts w:hint="eastAsia"/>
          <w:color w:val="000000"/>
          <w:sz w:val="21"/>
          <w:szCs w:val="21"/>
          <w:highlight w:val="none"/>
        </w:rPr>
        <w:t>14.5 逾期办理或不配合办理竣工结算的处理</w:t>
      </w:r>
      <w:bookmarkEnd w:id="858"/>
      <w:bookmarkEnd w:id="859"/>
    </w:p>
    <w:p w14:paraId="3EBE07C9">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有下列情形之一的，视为承包人放弃与发包人共同办理竣工结算的权利，发包人有权会同跟审单位、监理人根据有效资料共同确定竣工结算金额。</w:t>
      </w:r>
    </w:p>
    <w:p w14:paraId="44BCFE09">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（1）承包人逾期未报送竣工结算资料，亦未获得发包人批准延期报送，经发包人两</w:t>
      </w:r>
      <w:bookmarkStart w:id="860" w:name="_Hlk529133622"/>
      <w:r>
        <w:rPr>
          <w:rFonts w:hint="eastAsia" w:ascii="宋体" w:hAnsi="宋体" w:cs="宋体"/>
          <w:color w:val="000000"/>
          <w:szCs w:val="21"/>
          <w:highlight w:val="none"/>
        </w:rPr>
        <w:t>次书面催告仍未在限期内报送的</w:t>
      </w:r>
      <w:bookmarkEnd w:id="860"/>
      <w:r>
        <w:rPr>
          <w:rFonts w:hint="eastAsia" w:ascii="宋体" w:hAnsi="宋体" w:cs="宋体"/>
          <w:color w:val="000000"/>
          <w:szCs w:val="21"/>
          <w:highlight w:val="none"/>
        </w:rPr>
        <w:t>；</w:t>
      </w:r>
    </w:p>
    <w:p w14:paraId="60FAA071">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在接到监理人或发包人对竣工结算申请单提出的审核意见后，未在限期内按监理人或发包人提出的合理要求补充资料和（或）修改竣工结算资料，亦未获得发包人批准延期报送，经发包人两次书面催告仍未在限期内报送的；</w:t>
      </w:r>
    </w:p>
    <w:p w14:paraId="2B19A405">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（3）承包人不配合发包人、跟审单位、监理人、发包人委托的工程造价咨询服务单位办理竣工结算的，经发包人两次书面函告仍未改正的。</w:t>
      </w:r>
    </w:p>
    <w:p w14:paraId="76B929B2">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41D92C56">
      <w:pPr>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发包人应在竣工结算定案表确定后28天内，以书面函件形式将竣工结算定案表函告承包人，该定案表自送达之日起生效。该书面函件应采用直接送达方式送达，双方应办理书面签收手续，承包人实际签收日期为送达之日；若承包人拒绝签收的，视为已经送达，以该书面函件载明的签发日期为送达之日</w:t>
      </w:r>
      <w:r>
        <w:rPr>
          <w:rFonts w:hint="eastAsia" w:ascii="宋体" w:hAnsi="宋体" w:cs="宋体"/>
          <w:color w:val="000000"/>
          <w:szCs w:val="21"/>
          <w:highlight w:val="none"/>
        </w:rPr>
        <w:t>。</w:t>
      </w:r>
    </w:p>
    <w:bookmarkEnd w:id="529"/>
    <w:bookmarkEnd w:id="530"/>
    <w:bookmarkEnd w:id="531"/>
    <w:bookmarkEnd w:id="532"/>
    <w:bookmarkEnd w:id="533"/>
    <w:bookmarkEnd w:id="534"/>
    <w:bookmarkEnd w:id="535"/>
    <w:bookmarkEnd w:id="536"/>
    <w:p w14:paraId="213816C0">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861" w:name="_Toc532375661"/>
      <w:bookmarkStart w:id="862" w:name="_Toc10946"/>
      <w:bookmarkStart w:id="863" w:name="_Toc351203647"/>
      <w:bookmarkStart w:id="864" w:name="_Toc532377398"/>
      <w:bookmarkStart w:id="865" w:name="_Toc267251483"/>
      <w:bookmarkStart w:id="866" w:name="_Toc280868718"/>
      <w:bookmarkStart w:id="867" w:name="_Toc280868717"/>
      <w:r>
        <w:rPr>
          <w:rFonts w:hint="eastAsia"/>
          <w:color w:val="000000"/>
          <w:kern w:val="2"/>
          <w:sz w:val="21"/>
          <w:szCs w:val="21"/>
          <w:highlight w:val="none"/>
        </w:rPr>
        <w:t>15. 缺陷责任期与保修</w:t>
      </w:r>
      <w:bookmarkEnd w:id="861"/>
      <w:bookmarkEnd w:id="862"/>
      <w:bookmarkEnd w:id="863"/>
      <w:bookmarkEnd w:id="864"/>
    </w:p>
    <w:bookmarkEnd w:id="865"/>
    <w:p w14:paraId="59CC9B9F">
      <w:pPr>
        <w:pStyle w:val="7"/>
        <w:spacing w:before="0" w:beforeAutospacing="0" w:after="0" w:afterAutospacing="0" w:line="360" w:lineRule="auto"/>
        <w:ind w:left="0" w:leftChars="0" w:firstLine="0" w:firstLineChars="0"/>
        <w:rPr>
          <w:rFonts w:hint="eastAsia"/>
          <w:color w:val="000000"/>
          <w:sz w:val="21"/>
          <w:szCs w:val="21"/>
          <w:highlight w:val="none"/>
        </w:rPr>
      </w:pPr>
      <w:bookmarkStart w:id="868" w:name="_Toc532377399"/>
      <w:bookmarkStart w:id="869" w:name="_Toc532375662"/>
      <w:r>
        <w:rPr>
          <w:rFonts w:hint="eastAsia"/>
          <w:color w:val="000000"/>
          <w:sz w:val="21"/>
          <w:szCs w:val="21"/>
          <w:highlight w:val="none"/>
        </w:rPr>
        <w:t>15.3 质量保证金</w:t>
      </w:r>
      <w:bookmarkEnd w:id="868"/>
      <w:bookmarkEnd w:id="869"/>
    </w:p>
    <w:p w14:paraId="77AE8783">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15.3.1 承包人提供质量保证金的方式</w:t>
      </w:r>
    </w:p>
    <w:p w14:paraId="2A18CB60">
      <w:pPr>
        <w:spacing w:line="360" w:lineRule="auto"/>
        <w:ind w:right="140" w:rightChars="50" w:firstLine="560" w:firstLineChars="200"/>
        <w:jc w:val="left"/>
        <w:rPr>
          <w:rFonts w:ascii="宋体" w:hAnsi="宋体"/>
          <w:color w:val="000000"/>
          <w:szCs w:val="21"/>
          <w:highlight w:val="none"/>
        </w:rPr>
      </w:pPr>
      <w:r>
        <w:rPr>
          <w:rFonts w:hint="eastAsia" w:ascii="宋体" w:hAnsi="宋体"/>
          <w:color w:val="000000"/>
          <w:szCs w:val="21"/>
          <w:highlight w:val="none"/>
        </w:rPr>
        <w:t>质量保证金采用以下第</w:t>
      </w:r>
      <w:r>
        <w:rPr>
          <w:rFonts w:hint="eastAsia" w:ascii="宋体" w:hAnsi="宋体"/>
          <w:color w:val="000000"/>
          <w:szCs w:val="21"/>
          <w:highlight w:val="none"/>
          <w:u w:val="single"/>
        </w:rPr>
        <w:t xml:space="preserve">  （2）  </w:t>
      </w:r>
      <w:r>
        <w:rPr>
          <w:rFonts w:hint="eastAsia" w:ascii="宋体" w:hAnsi="宋体"/>
          <w:color w:val="000000"/>
          <w:szCs w:val="21"/>
          <w:highlight w:val="none"/>
        </w:rPr>
        <w:t>种方式：</w:t>
      </w:r>
    </w:p>
    <w:p w14:paraId="2769F58C">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（1）质量保证金保函</w:t>
      </w:r>
    </w:p>
    <w:p w14:paraId="07327F11">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1）缴纳形式：质量保证金保函包括银行保函、保证保险和担保保函，其示范文本详见合同附件。承包人提交的质量保证金保函应严格执行其示范文本，不得对示范文本中的实质性内容进行修改。</w:t>
      </w:r>
    </w:p>
    <w:p w14:paraId="66DEFEB1">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具体要求：质量保证金保函的开立人应当是具有相应资格的银行、保险机构、融资担保公司，其信用资质、履约能力、担保能力、赔付流程、安全保密等应符合工程保函业务条件。质量保证金保函应合法合规，符合招投标行政监督部门、行业主管部门和金融监管部门的相关规定，满足比选文件约定要求。承包人应选择在渝依法设立总部或者设有分支机构的金融机构开具质量保证金保函（包括纸质保函或电子保函）。质量保证金保函为纸质保函的，纸质保函应注明在重庆市辖区范围内的核验地址和核验方式，并确保该纸质保函能在开立人在渝的总部或者分支机构进行核验。承包人对所提交的质量保证金保函的真实性、合法性、有效性负责。</w:t>
      </w:r>
    </w:p>
    <w:p w14:paraId="34AA965E">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3）保函金额为：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0645149F">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4）提交时间：工程竣工验收合格后14天内。</w:t>
      </w:r>
    </w:p>
    <w:p w14:paraId="667CE5E0">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（2）竣工结算价的</w:t>
      </w:r>
      <w:r>
        <w:rPr>
          <w:rFonts w:hint="eastAsia" w:ascii="宋体" w:hAnsi="宋体" w:cs="宋体"/>
          <w:color w:val="000000"/>
          <w:szCs w:val="21"/>
          <w:highlight w:val="none"/>
          <w:u w:val="single"/>
        </w:rPr>
        <w:t xml:space="preserve"> 3% </w:t>
      </w:r>
      <w:r>
        <w:rPr>
          <w:rFonts w:hint="eastAsia" w:ascii="宋体" w:hAnsi="宋体" w:cs="宋体"/>
          <w:color w:val="000000"/>
          <w:szCs w:val="21"/>
          <w:highlight w:val="none"/>
        </w:rPr>
        <w:t>；</w:t>
      </w:r>
    </w:p>
    <w:p w14:paraId="34CE4C15">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（3）其他方式：</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w:t>
      </w:r>
    </w:p>
    <w:p w14:paraId="7708F346">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15.3.2 质量保证金的扣留</w:t>
      </w:r>
    </w:p>
    <w:p w14:paraId="41D8FB15">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质量保证金的扣留采取以下第</w:t>
      </w:r>
      <w:r>
        <w:rPr>
          <w:rFonts w:hint="eastAsia" w:ascii="宋体" w:hAnsi="宋体" w:cs="宋体"/>
          <w:color w:val="000000"/>
          <w:szCs w:val="21"/>
          <w:highlight w:val="none"/>
          <w:u w:val="single"/>
        </w:rPr>
        <w:t xml:space="preserve">  （2）  </w:t>
      </w:r>
      <w:r>
        <w:rPr>
          <w:rFonts w:hint="eastAsia" w:ascii="宋体" w:hAnsi="宋体" w:cs="宋体"/>
          <w:color w:val="000000"/>
          <w:szCs w:val="21"/>
          <w:highlight w:val="none"/>
        </w:rPr>
        <w:t>种方式：</w:t>
      </w:r>
    </w:p>
    <w:p w14:paraId="117CE8F7">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（1）在支付工程进度款时逐次扣留，在此情形下，质量保证金的计算基数不包括预付款的支付、扣回以及价格调整的金额；</w:t>
      </w:r>
    </w:p>
    <w:p w14:paraId="7CEB7BF4">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（2）工程竣工结算时一次性扣留质量保证金；</w:t>
      </w:r>
    </w:p>
    <w:p w14:paraId="10977302">
      <w:pPr>
        <w:autoSpaceDE w:val="0"/>
        <w:autoSpaceDN w:val="0"/>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（3）</w:t>
      </w:r>
      <w:r>
        <w:rPr>
          <w:rFonts w:hint="eastAsia" w:ascii="宋体" w:hAnsi="宋体" w:cs="宋体"/>
          <w:color w:val="000000"/>
          <w:szCs w:val="21"/>
          <w:highlight w:val="none"/>
          <w:u w:val="single"/>
        </w:rPr>
        <w:t xml:space="preserve">其他扣留方式：        </w:t>
      </w:r>
      <w:r>
        <w:rPr>
          <w:rFonts w:hint="eastAsia" w:ascii="宋体" w:hAnsi="宋体" w:cs="宋体"/>
          <w:color w:val="000000"/>
          <w:szCs w:val="21"/>
          <w:highlight w:val="none"/>
        </w:rPr>
        <w:t>。</w:t>
      </w:r>
    </w:p>
    <w:p w14:paraId="7D037094">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15.3.3质量保证金的退还</w:t>
      </w:r>
    </w:p>
    <w:p w14:paraId="66AB0EC7">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（1）在发包人颁发缺陷责任期终止证书之日起14天内退还。</w:t>
      </w:r>
    </w:p>
    <w:p w14:paraId="57CA8AC7">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（2）缺陷责任期内，承包人认真履行合同约定的责任，到期后，承包人可向发包人申请返还质量保证金。</w:t>
      </w:r>
    </w:p>
    <w:p w14:paraId="7FE51F8C">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（3）质量保证金是否支付利息采取以下</w:t>
      </w:r>
      <w:r>
        <w:rPr>
          <w:rFonts w:hint="eastAsia" w:ascii="宋体" w:hAnsi="宋体" w:cs="宋体"/>
          <w:color w:val="000000"/>
          <w:szCs w:val="21"/>
          <w:highlight w:val="none"/>
          <w:u w:val="single"/>
        </w:rPr>
        <w:t>第②种</w:t>
      </w:r>
      <w:r>
        <w:rPr>
          <w:rFonts w:hint="eastAsia" w:ascii="宋体" w:hAnsi="宋体" w:cs="宋体"/>
          <w:color w:val="000000"/>
          <w:szCs w:val="21"/>
          <w:highlight w:val="none"/>
        </w:rPr>
        <w:t>方式：</w:t>
      </w:r>
    </w:p>
    <w:p w14:paraId="734A3930">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①按照中国人民银行  年  月公布的5年期贷款市场报价利率支付利息</w:t>
      </w:r>
      <w:r>
        <w:rPr>
          <w:rFonts w:hint="eastAsia" w:ascii="宋体" w:hAnsi="宋体" w:cs="宋体"/>
          <w:color w:val="000000"/>
          <w:szCs w:val="21"/>
          <w:highlight w:val="none"/>
        </w:rPr>
        <w:t>。</w:t>
      </w:r>
    </w:p>
    <w:p w14:paraId="59DBCFB0">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u w:val="single"/>
        </w:rPr>
        <w:t>②不采用</w:t>
      </w:r>
      <w:r>
        <w:rPr>
          <w:rFonts w:hint="eastAsia" w:ascii="宋体" w:hAnsi="宋体" w:cs="宋体"/>
          <w:color w:val="000000"/>
          <w:szCs w:val="21"/>
          <w:highlight w:val="none"/>
        </w:rPr>
        <w:t>。</w:t>
      </w:r>
    </w:p>
    <w:p w14:paraId="3EB2BADD">
      <w:pPr>
        <w:pStyle w:val="7"/>
        <w:spacing w:before="0" w:beforeAutospacing="0" w:after="0" w:afterAutospacing="0" w:line="360" w:lineRule="auto"/>
        <w:ind w:left="0" w:leftChars="0" w:firstLine="0" w:firstLineChars="0"/>
        <w:rPr>
          <w:rFonts w:hint="eastAsia"/>
          <w:color w:val="000000"/>
          <w:sz w:val="21"/>
          <w:szCs w:val="21"/>
          <w:highlight w:val="none"/>
        </w:rPr>
      </w:pPr>
      <w:bookmarkStart w:id="870" w:name="_Toc532377400"/>
      <w:bookmarkStart w:id="871" w:name="_Toc532375663"/>
      <w:r>
        <w:rPr>
          <w:rFonts w:hint="eastAsia"/>
          <w:color w:val="000000"/>
          <w:sz w:val="21"/>
          <w:szCs w:val="21"/>
          <w:highlight w:val="none"/>
        </w:rPr>
        <w:t>15.4 保修</w:t>
      </w:r>
      <w:bookmarkEnd w:id="870"/>
      <w:bookmarkEnd w:id="871"/>
    </w:p>
    <w:p w14:paraId="7D9D6ED3">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15.4.1 保修责任</w:t>
      </w:r>
    </w:p>
    <w:p w14:paraId="1F039437">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工程保修期为：</w:t>
      </w:r>
      <w:bookmarkStart w:id="872" w:name="_Hlk524381274"/>
      <w:r>
        <w:rPr>
          <w:rFonts w:hint="eastAsia" w:ascii="宋体" w:hAnsi="宋体" w:cs="宋体"/>
          <w:color w:val="000000"/>
          <w:szCs w:val="21"/>
          <w:highlight w:val="none"/>
        </w:rPr>
        <w:t>按照附件1《工程质量保修书》的规定执行。</w:t>
      </w:r>
      <w:bookmarkEnd w:id="872"/>
    </w:p>
    <w:p w14:paraId="0232C73F">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15.4.3 修复通知</w:t>
      </w:r>
    </w:p>
    <w:p w14:paraId="368CA225">
      <w:pPr>
        <w:spacing w:line="360" w:lineRule="auto"/>
        <w:ind w:right="140" w:rightChars="50" w:firstLine="560" w:firstLineChars="200"/>
        <w:jc w:val="left"/>
        <w:rPr>
          <w:rFonts w:ascii="宋体" w:hAnsi="宋体"/>
          <w:color w:val="000000"/>
          <w:szCs w:val="21"/>
          <w:highlight w:val="none"/>
        </w:rPr>
      </w:pPr>
      <w:bookmarkStart w:id="873" w:name="_Toc532377401"/>
      <w:bookmarkStart w:id="874" w:name="_Toc532375664"/>
      <w:bookmarkStart w:id="875" w:name="_Toc27616"/>
      <w:bookmarkStart w:id="876" w:name="_Toc351203648"/>
      <w:r>
        <w:rPr>
          <w:rFonts w:hint="eastAsia" w:ascii="宋体" w:hAnsi="宋体"/>
          <w:color w:val="000000"/>
          <w:szCs w:val="21"/>
          <w:highlight w:val="none"/>
        </w:rPr>
        <w:t>承包人收到保修通知并到达工程现场的合理时间：</w:t>
      </w:r>
      <w:r>
        <w:rPr>
          <w:rFonts w:hint="eastAsia" w:ascii="宋体" w:hAnsi="宋体"/>
          <w:color w:val="000000"/>
          <w:szCs w:val="21"/>
          <w:highlight w:val="none"/>
          <w:u w:val="single"/>
        </w:rPr>
        <w:t xml:space="preserve">  12小时内，最长不能超过 24小时</w:t>
      </w:r>
      <w:r>
        <w:rPr>
          <w:rFonts w:hint="eastAsia" w:ascii="宋体" w:hAnsi="宋体"/>
          <w:color w:val="000000"/>
          <w:szCs w:val="21"/>
          <w:highlight w:val="none"/>
        </w:rPr>
        <w:t>。</w:t>
      </w:r>
    </w:p>
    <w:p w14:paraId="2278A965">
      <w:pPr>
        <w:pStyle w:val="6"/>
        <w:keepNext/>
        <w:keepLines/>
        <w:spacing w:before="221" w:beforeLines="50" w:beforeAutospacing="0" w:after="221" w:afterLines="50" w:afterAutospacing="0" w:line="360" w:lineRule="auto"/>
        <w:rPr>
          <w:rFonts w:hint="eastAsia"/>
          <w:bCs w:val="0"/>
          <w:color w:val="000000"/>
          <w:kern w:val="2"/>
          <w:sz w:val="21"/>
          <w:szCs w:val="21"/>
          <w:highlight w:val="none"/>
        </w:rPr>
      </w:pPr>
      <w:r>
        <w:rPr>
          <w:rFonts w:hint="eastAsia"/>
          <w:color w:val="000000"/>
          <w:kern w:val="2"/>
          <w:sz w:val="21"/>
          <w:szCs w:val="21"/>
          <w:highlight w:val="none"/>
        </w:rPr>
        <w:t>16. 违约</w:t>
      </w:r>
      <w:bookmarkEnd w:id="873"/>
      <w:bookmarkEnd w:id="874"/>
      <w:bookmarkEnd w:id="875"/>
      <w:bookmarkEnd w:id="876"/>
    </w:p>
    <w:p w14:paraId="679CEDD9">
      <w:pPr>
        <w:pStyle w:val="7"/>
        <w:spacing w:before="0" w:beforeAutospacing="0" w:after="0" w:afterAutospacing="0" w:line="360" w:lineRule="auto"/>
        <w:ind w:left="0" w:leftChars="0" w:firstLine="0" w:firstLineChars="0"/>
        <w:rPr>
          <w:rFonts w:hint="eastAsia"/>
          <w:color w:val="000000"/>
          <w:sz w:val="21"/>
          <w:szCs w:val="21"/>
          <w:highlight w:val="none"/>
        </w:rPr>
      </w:pPr>
      <w:bookmarkStart w:id="877" w:name="_Toc532377402"/>
      <w:r>
        <w:rPr>
          <w:rFonts w:hint="eastAsia"/>
          <w:color w:val="000000"/>
          <w:sz w:val="21"/>
          <w:szCs w:val="21"/>
          <w:highlight w:val="none"/>
        </w:rPr>
        <w:t>16.1 发包人违约</w:t>
      </w:r>
      <w:bookmarkEnd w:id="877"/>
    </w:p>
    <w:p w14:paraId="4CA55CDA">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16.1.1 发包人违约的情形</w:t>
      </w:r>
    </w:p>
    <w:p w14:paraId="58782406">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kern w:val="0"/>
          <w:szCs w:val="21"/>
          <w:highlight w:val="none"/>
        </w:rPr>
        <w:t>除通用合同条款约定外，发包人违约的其他情形：</w:t>
      </w:r>
    </w:p>
    <w:p w14:paraId="761CD88D">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kern w:val="0"/>
          <w:szCs w:val="21"/>
          <w:highlight w:val="none"/>
        </w:rPr>
        <w:t>（1）根据专用合同条款7.5.1项因发包人原因导致工期延误的；</w:t>
      </w:r>
    </w:p>
    <w:p w14:paraId="24E49363">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（2）因发包人原因未能及时办理完毕合同约定的许可、批准或备案的；</w:t>
      </w:r>
    </w:p>
    <w:p w14:paraId="4F942248">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（3）因监理人未能按合同约定发出指示、指示延误或发出了错误指示而导致承包人费用增加和（或）工期延误的；</w:t>
      </w:r>
    </w:p>
    <w:p w14:paraId="669EBA9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（4）根据5.3.3发包人或监理人要求重新检查的，经检查证明工程质量符合合同要求的，并由此产生增加的费用和（或）延误的工期的；</w:t>
      </w:r>
    </w:p>
    <w:p w14:paraId="310440AC">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（5）因发包人原因造成工程质量未达到合同约定标准的；</w:t>
      </w:r>
    </w:p>
    <w:p w14:paraId="4156C9F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（6）由于发包人原因对承包人造成的人员人身伤亡和财产损失的；</w:t>
      </w:r>
    </w:p>
    <w:p w14:paraId="0CBF2A01">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（7）因发包人原因导致工程无法按期办理竣工验收或竣工结算的；</w:t>
      </w:r>
    </w:p>
    <w:p w14:paraId="665F40A9">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（8）发包人无正当理由未按约定退还履约担保、低价风险担保、预付款担保或质量保证金的；</w:t>
      </w:r>
    </w:p>
    <w:p w14:paraId="61E2AE6C">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（9）发包人不当提取履约担保、低价风险担保或质量保证金的；</w:t>
      </w:r>
    </w:p>
    <w:p w14:paraId="0DDEC457">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（10）发包人未按合同约定接收全部或部分工作的；</w:t>
      </w:r>
    </w:p>
    <w:p w14:paraId="0D910CC2">
      <w:pPr>
        <w:pStyle w:val="289"/>
        <w:spacing w:line="360" w:lineRule="auto"/>
        <w:jc w:val="left"/>
        <w:rPr>
          <w:rFonts w:hint="eastAsia" w:ascii="宋体" w:hAnsi="宋体" w:cs="宋体"/>
          <w:color w:val="000000"/>
          <w:kern w:val="0"/>
          <w:sz w:val="21"/>
          <w:szCs w:val="21"/>
          <w:highlight w:val="none"/>
          <w:u w:val="single"/>
        </w:rPr>
      </w:pPr>
      <w:r>
        <w:rPr>
          <w:rFonts w:hint="eastAsia" w:ascii="宋体" w:hAnsi="宋体" w:cs="宋体"/>
          <w:color w:val="000000"/>
          <w:kern w:val="0"/>
          <w:sz w:val="21"/>
          <w:szCs w:val="21"/>
          <w:highlight w:val="none"/>
        </w:rPr>
        <w:t>（11）发包人未按合同约定办理保险的；</w:t>
      </w:r>
    </w:p>
    <w:p w14:paraId="207A86C7">
      <w:pPr>
        <w:snapToGrid w:val="0"/>
        <w:spacing w:line="360" w:lineRule="auto"/>
        <w:ind w:firstLine="560" w:firstLineChars="200"/>
        <w:jc w:val="left"/>
        <w:rPr>
          <w:rFonts w:hint="eastAsia" w:ascii="宋体" w:hAnsi="宋体" w:cs="宋体"/>
          <w:color w:val="000000"/>
          <w:kern w:val="0"/>
          <w:szCs w:val="21"/>
          <w:highlight w:val="none"/>
          <w:u w:val="single"/>
        </w:rPr>
      </w:pPr>
      <w:r>
        <w:rPr>
          <w:rFonts w:hint="eastAsia" w:ascii="宋体" w:hAnsi="宋体" w:cs="宋体"/>
          <w:color w:val="000000"/>
          <w:kern w:val="0"/>
          <w:szCs w:val="21"/>
          <w:highlight w:val="none"/>
          <w:u w:val="single"/>
        </w:rPr>
        <w:t xml:space="preserve">（12）其他：        </w:t>
      </w:r>
      <w:r>
        <w:rPr>
          <w:rFonts w:hint="eastAsia" w:ascii="宋体" w:hAnsi="宋体" w:cs="宋体"/>
          <w:color w:val="000000"/>
          <w:kern w:val="0"/>
          <w:szCs w:val="21"/>
          <w:highlight w:val="none"/>
        </w:rPr>
        <w:t>。</w:t>
      </w:r>
    </w:p>
    <w:p w14:paraId="125CC13B">
      <w:pPr>
        <w:pStyle w:val="289"/>
        <w:spacing w:line="360" w:lineRule="auto"/>
        <w:rPr>
          <w:rFonts w:hint="eastAsia" w:ascii="宋体" w:hAnsi="宋体" w:cs="宋体"/>
          <w:color w:val="000000"/>
          <w:sz w:val="21"/>
          <w:szCs w:val="21"/>
          <w:highlight w:val="none"/>
        </w:rPr>
      </w:pPr>
      <w:r>
        <w:rPr>
          <w:rFonts w:hint="eastAsia" w:ascii="宋体" w:hAnsi="宋体" w:cs="宋体"/>
          <w:color w:val="000000"/>
          <w:sz w:val="21"/>
          <w:szCs w:val="21"/>
          <w:highlight w:val="none"/>
        </w:rPr>
        <w:t>16.1.2发包人违约的责任</w:t>
      </w:r>
    </w:p>
    <w:p w14:paraId="0C6AF1A0">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（1）因发包人原因未能及时办理完毕前述许可、批准或备案的违约责任：由发包人承担由此增加的费用和（或）顺延工期，并支付合理利润，具体索赔程序按照第19条〔索赔〕约定执行。</w:t>
      </w:r>
    </w:p>
    <w:p w14:paraId="510A4977">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因监理人未能按合同约定发出指示、指示延误或发出了错误指示而导致承包人费用增加和（或）工期延误的，由发包人承担由此增加的费用和（或）顺延工期，并支付合理利润，具体索赔程序按照第19条〔索赔〕约定执行。</w:t>
      </w:r>
    </w:p>
    <w:p w14:paraId="21073D7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（3）因发包人原因导致工期延误的违约责任：由发包人承担由此增加的费用和（或）顺延工期，并支付合理利润，具体索赔程序按照第19条〔索赔〕约定执行。</w:t>
      </w:r>
    </w:p>
    <w:p w14:paraId="1AD30AFE">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（4）因发包人原因未能在计划开工日期前7天内下达开工通知的违约责任：由发包人承担由此增加的费用和（或）顺延工期，并支付合理利润，具体索赔程序按照第19条〔索赔〕约定执行。</w:t>
      </w:r>
    </w:p>
    <w:p w14:paraId="27AC9A54">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（5）根据5.3.3项发包人或监理人要求重新检查的，经检查证明工程质量符合合同要求的，由发包人承担由此增加的费用和（或）顺延工期，并支付合理利润，具体索赔程序按照第19条〔索赔〕约定执行。</w:t>
      </w:r>
    </w:p>
    <w:p w14:paraId="697D46E4">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（6）因发包人原因未按合同约定支付合同价款的违约责任：发包人应向承包人支付违约金，自应当支付之日起28天后开始计算违约金，计算公式：违约金=应付未付金额×中国人民银行 2023 年 11 月公布的1年期贷款市场报价利率/360天×逾期天数（自第29天起计算）；</w:t>
      </w:r>
    </w:p>
    <w:p w14:paraId="1765936C">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（7）发包人违反合同约定，自行实施或转由他人实施被取消的合同工作内容的违约责任：由发包人承担由此给承包人造成的实际损失并支付合理利润。</w:t>
      </w:r>
    </w:p>
    <w:p w14:paraId="7623FBEB">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8）发包人提供的基准资料错误并导致承包人测量放线工作返工或造成工程损失的，以及发包人提供的材料、工程设备的规格、数量或质量不符合合同约定，或因发包人原因导致交货日期延误或交货地点变更等情况的违约责任：由发包人承担由此增加的费用和（或）顺延工期，并支付合理利润，具体索赔程序按照第19条〔索赔〕约定执行。</w:t>
      </w:r>
    </w:p>
    <w:p w14:paraId="1030478E">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（9）因发包人原因造成工程质量未达到合同约定标准的，由发包人承担由此增加的费用和（或）延误的工期，并支付合理利润。</w:t>
      </w:r>
    </w:p>
    <w:p w14:paraId="7A63EA2B">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（10）因发包人违反合同约定造成暂停施工的违约责任：由发包人承担由此增加的费用和（或）顺延工期，并支付合理利润，具体索赔程序按照第19条〔索赔〕约定执行。</w:t>
      </w:r>
    </w:p>
    <w:p w14:paraId="2620262B">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（11）发包人无正当理由没有在约定期限内发出复工指示，导致承包人无法复工的违约责任：由发包人承担由此增加的费用和（或）顺延工期，并支付合理利润，具体索赔程序按照第19条〔索赔〕约定执行。</w:t>
      </w:r>
    </w:p>
    <w:p w14:paraId="4943A4C5">
      <w:pPr>
        <w:spacing w:line="360" w:lineRule="auto"/>
        <w:ind w:firstLine="560" w:firstLineChars="200"/>
        <w:jc w:val="left"/>
        <w:rPr>
          <w:rFonts w:hint="eastAsia" w:ascii="宋体" w:hAnsi="宋体" w:cs="宋体"/>
          <w:color w:val="000000"/>
          <w:kern w:val="0"/>
          <w:szCs w:val="21"/>
          <w:highlight w:val="none"/>
          <w:u w:val="single"/>
        </w:rPr>
      </w:pPr>
      <w:r>
        <w:rPr>
          <w:rFonts w:hint="eastAsia" w:ascii="宋体" w:hAnsi="宋体" w:cs="宋体"/>
          <w:color w:val="000000"/>
          <w:kern w:val="0"/>
          <w:szCs w:val="21"/>
          <w:highlight w:val="none"/>
        </w:rPr>
        <w:t>（12）因发包人原因导致工程无法按期办理竣工验收或竣工结算的违约责任：由发包人承担由此增加的费用和（或）顺延工期，并支付合理利润，具体索赔程序按照第19条〔索赔〕约定执行。</w:t>
      </w:r>
    </w:p>
    <w:p w14:paraId="4771280A">
      <w:pPr>
        <w:spacing w:line="360" w:lineRule="auto"/>
        <w:ind w:firstLine="560" w:firstLineChars="200"/>
        <w:jc w:val="left"/>
        <w:rPr>
          <w:rFonts w:hint="eastAsia" w:ascii="宋体" w:hAnsi="宋体" w:cs="宋体"/>
          <w:color w:val="000000"/>
          <w:kern w:val="0"/>
          <w:szCs w:val="21"/>
          <w:highlight w:val="none"/>
          <w:u w:val="single"/>
        </w:rPr>
      </w:pPr>
      <w:r>
        <w:rPr>
          <w:rFonts w:hint="eastAsia" w:ascii="宋体" w:hAnsi="宋体" w:cs="宋体"/>
          <w:color w:val="000000"/>
          <w:szCs w:val="21"/>
          <w:highlight w:val="none"/>
        </w:rPr>
        <w:t>（13）</w:t>
      </w:r>
      <w:r>
        <w:rPr>
          <w:rFonts w:hint="eastAsia" w:ascii="宋体" w:hAnsi="宋体" w:cs="宋体"/>
          <w:color w:val="000000"/>
          <w:kern w:val="0"/>
          <w:szCs w:val="21"/>
          <w:highlight w:val="none"/>
        </w:rPr>
        <w:t>发包人无正当理由未按约定退还履约担保、低价风险担保、预付款担保或质量保证金的违约责任：发包人应向承包人支付违约金，自应当退还之日起28天后开始计算违约金，</w:t>
      </w:r>
      <w:r>
        <w:rPr>
          <w:rFonts w:hint="eastAsia" w:ascii="宋体" w:hAnsi="宋体" w:cs="宋体"/>
          <w:color w:val="000000"/>
          <w:kern w:val="0"/>
          <w:szCs w:val="21"/>
          <w:highlight w:val="none"/>
          <w:u w:val="single"/>
        </w:rPr>
        <w:t>计算公式：违约金=应退未退担保金额×中国人民银行  年  月公布的5年期贷款市场报价利率/360天×逾期天数</w:t>
      </w:r>
      <w:r>
        <w:rPr>
          <w:rFonts w:hint="eastAsia" w:ascii="宋体" w:hAnsi="宋体" w:cs="宋体"/>
          <w:color w:val="000000"/>
          <w:szCs w:val="21"/>
          <w:highlight w:val="none"/>
          <w:u w:val="single"/>
        </w:rPr>
        <w:t>（自第29天起计算）</w:t>
      </w:r>
      <w:r>
        <w:rPr>
          <w:rFonts w:hint="eastAsia" w:ascii="宋体" w:hAnsi="宋体" w:cs="宋体"/>
          <w:color w:val="000000"/>
          <w:kern w:val="0"/>
          <w:szCs w:val="21"/>
          <w:highlight w:val="none"/>
        </w:rPr>
        <w:t>。</w:t>
      </w:r>
    </w:p>
    <w:p w14:paraId="6105B04C">
      <w:pPr>
        <w:pStyle w:val="2"/>
        <w:spacing w:after="0" w:line="360" w:lineRule="auto"/>
        <w:ind w:firstLine="64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（14）</w:t>
      </w:r>
      <w:r>
        <w:rPr>
          <w:rFonts w:hint="eastAsia" w:ascii="宋体" w:hAnsi="宋体" w:cs="宋体"/>
          <w:color w:val="000000"/>
          <w:szCs w:val="21"/>
          <w:highlight w:val="none"/>
        </w:rPr>
        <w:t>发包人不当提取履约担保、低价风险担保、预付款担保或质量保证金的，应及时予以退还，若不当提取超过28天的，应承担违约责任：发包人应向承包人支付违约金，</w:t>
      </w:r>
      <w:r>
        <w:rPr>
          <w:rFonts w:hint="eastAsia" w:ascii="宋体" w:hAnsi="宋体" w:cs="宋体"/>
          <w:color w:val="000000"/>
          <w:szCs w:val="21"/>
          <w:highlight w:val="none"/>
          <w:u w:val="single"/>
        </w:rPr>
        <w:t>计算公式：违约金=不当提取的担保金额×中国人民银行  年  月公布的5年期贷款市场报价利率/360天×逾期天数（自第29天起计算）</w:t>
      </w:r>
      <w:r>
        <w:rPr>
          <w:rFonts w:hint="eastAsia" w:ascii="宋体" w:hAnsi="宋体" w:cs="宋体"/>
          <w:color w:val="000000"/>
          <w:szCs w:val="21"/>
          <w:highlight w:val="none"/>
        </w:rPr>
        <w:t>。</w:t>
      </w:r>
    </w:p>
    <w:p w14:paraId="6CF22E01">
      <w:pPr>
        <w:pStyle w:val="2"/>
        <w:spacing w:after="0" w:line="360" w:lineRule="auto"/>
        <w:ind w:firstLine="640" w:firstLineChars="200"/>
        <w:rPr>
          <w:rFonts w:hint="eastAsia" w:ascii="宋体" w:hAnsi="宋体" w:cs="宋体"/>
          <w:color w:val="000000"/>
          <w:szCs w:val="21"/>
          <w:highlight w:val="none"/>
        </w:rPr>
      </w:pPr>
      <w:r>
        <w:rPr>
          <w:rFonts w:hint="eastAsia" w:ascii="宋体" w:hAnsi="宋体" w:cs="宋体"/>
          <w:color w:val="000000"/>
          <w:kern w:val="0"/>
          <w:szCs w:val="21"/>
          <w:highlight w:val="none"/>
        </w:rPr>
        <w:t>（15）发包人未按合同约定接收全部或部分工作的违约责任：由发包人承担自应当接收工程之日起的工程照管、成品保护、保管等与工程有关的各项费用。</w:t>
      </w:r>
    </w:p>
    <w:p w14:paraId="531CAFD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（16）由于发包人原因对承包人造成的人员人身伤亡和财产损失的，由发包人负责赔偿，并承担由此增加的费用和（或）延误的工期，并支付合理利润。</w:t>
      </w:r>
    </w:p>
    <w:p w14:paraId="6DFE314C">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（17）发包人未按合同约定办理保险的违约责任：除按18.6.1项约定执行外，每延迟1天，按</w:t>
      </w:r>
      <w:r>
        <w:rPr>
          <w:rFonts w:hint="eastAsia" w:ascii="宋体" w:hAnsi="宋体" w:cs="宋体"/>
          <w:color w:val="000000"/>
          <w:kern w:val="0"/>
          <w:szCs w:val="21"/>
          <w:highlight w:val="none"/>
          <w:u w:val="single"/>
        </w:rPr>
        <w:t>500元/天</w:t>
      </w:r>
      <w:r>
        <w:rPr>
          <w:rFonts w:hint="eastAsia" w:ascii="宋体" w:hAnsi="宋体" w:cs="宋体"/>
          <w:color w:val="000000"/>
          <w:kern w:val="0"/>
          <w:szCs w:val="21"/>
          <w:highlight w:val="none"/>
        </w:rPr>
        <w:t>支付违约金。</w:t>
      </w:r>
    </w:p>
    <w:p w14:paraId="34ABEEE5">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（18）其他：</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16389E3E">
      <w:pPr>
        <w:autoSpaceDE w:val="0"/>
        <w:autoSpaceDN w:val="0"/>
        <w:adjustRightIn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发包人发生除通用条款第16.1.1项第（7）目以外的违约情况时，承包人可向发包人发出通知，要求发包人采取有效措施纠正违约行为。发包人收到承包人通知后的28天内仍不履行合同义务，承包人有权暂停施工，并通知监理人。</w:t>
      </w:r>
    </w:p>
    <w:p w14:paraId="7AED6319">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16.1.3 因发包人违约解除合同</w:t>
      </w:r>
    </w:p>
    <w:p w14:paraId="29CE47D7">
      <w:pPr>
        <w:autoSpaceDE w:val="0"/>
        <w:autoSpaceDN w:val="0"/>
        <w:adjustRightIn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因发包人违约并致使合同目的不能实现的，承包人有权解除合同：</w:t>
      </w:r>
    </w:p>
    <w:p w14:paraId="55318DCA">
      <w:pPr>
        <w:autoSpaceDE w:val="0"/>
        <w:autoSpaceDN w:val="0"/>
        <w:adjustRightIn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（1）因发包人原因延迟支付合同价款超过180天的；</w:t>
      </w:r>
    </w:p>
    <w:p w14:paraId="08B6D8AC">
      <w:pPr>
        <w:autoSpaceDE w:val="0"/>
        <w:autoSpaceDN w:val="0"/>
        <w:adjustRightIn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（2）因发包人原因导致工期延误超过90天的；</w:t>
      </w:r>
    </w:p>
    <w:p w14:paraId="1711A11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（3）因发包人第16.1.2（5）违约情形导致暂停施工满56天，且发包人仍未纠正其违约行为的；</w:t>
      </w:r>
    </w:p>
    <w:p w14:paraId="7B175B57">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（4）其他未履行合同项下的义务构成对合同的实质性违约，并且在收到承包人要求说明其违约并予以补救的通知后56天内仍未补救该实质性违约的；</w:t>
      </w:r>
    </w:p>
    <w:p w14:paraId="4098E872">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r>
        <w:rPr>
          <w:rFonts w:hint="eastAsia" w:ascii="宋体" w:hAnsi="宋体" w:cs="宋体"/>
          <w:color w:val="000000"/>
          <w:kern w:val="0"/>
          <w:szCs w:val="21"/>
          <w:highlight w:val="none"/>
          <w:u w:val="single"/>
        </w:rPr>
        <w:t>合同约定的承包人有权解除合同的其他情形</w:t>
      </w:r>
      <w:r>
        <w:rPr>
          <w:rFonts w:hint="eastAsia" w:ascii="宋体" w:hAnsi="宋体" w:cs="宋体"/>
          <w:color w:val="000000"/>
          <w:kern w:val="0"/>
          <w:szCs w:val="21"/>
          <w:highlight w:val="none"/>
        </w:rPr>
        <w:t>。</w:t>
      </w:r>
    </w:p>
    <w:p w14:paraId="1686CA7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16.1.4 因发包人违约解除合同后的付款</w:t>
      </w:r>
    </w:p>
    <w:p w14:paraId="2F0C9C19">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承包人按照本款约定解除合同的，发包人应在解除合同后28天内支付下列款项，并解除履约担保、低价风险担保、预付款担保：</w:t>
      </w:r>
    </w:p>
    <w:p w14:paraId="6C7C3CB8">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（1）合同解除前所完成工作的价款；</w:t>
      </w:r>
    </w:p>
    <w:p w14:paraId="7F963099">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（2）承包人为工程施工订购并已付款的材料、工程设备和其他物品的价款；</w:t>
      </w:r>
    </w:p>
    <w:p w14:paraId="18FB9029">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（3）承包人撤离施工现场以及遣散承包人人员的款项；</w:t>
      </w:r>
    </w:p>
    <w:p w14:paraId="16341AC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（4）按照合同约定在合同解除前应支付的违约金；</w:t>
      </w:r>
    </w:p>
    <w:p w14:paraId="2C5B81D2">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（5）按照合同约定应当支付给承包人的其他款项；</w:t>
      </w:r>
    </w:p>
    <w:p w14:paraId="1DCC4E7B">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（6）按照合同约定应退还的质量保证金；</w:t>
      </w:r>
    </w:p>
    <w:p w14:paraId="36AE7D61">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（7）因解除合同给承包人造成的损失；</w:t>
      </w:r>
    </w:p>
    <w:p w14:paraId="64CFB2F1">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（8）</w:t>
      </w:r>
      <w:r>
        <w:rPr>
          <w:rFonts w:hint="eastAsia" w:ascii="宋体" w:hAnsi="宋体" w:cs="宋体"/>
          <w:color w:val="000000"/>
          <w:kern w:val="0"/>
          <w:szCs w:val="21"/>
          <w:highlight w:val="none"/>
          <w:u w:val="single"/>
        </w:rPr>
        <w:t xml:space="preserve">        。</w:t>
      </w:r>
    </w:p>
    <w:p w14:paraId="600EF81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合同当事人未能就解除合同后的结清达成一致的，按照第20条〔争议解决〕的约定处理。</w:t>
      </w:r>
    </w:p>
    <w:p w14:paraId="07AE2ABE">
      <w:pPr>
        <w:snapToGrid w:val="0"/>
        <w:spacing w:line="360" w:lineRule="auto"/>
        <w:ind w:firstLine="560" w:firstLineChars="200"/>
        <w:jc w:val="left"/>
        <w:rPr>
          <w:rFonts w:hint="eastAsia" w:ascii="宋体" w:hAnsi="宋体" w:cs="宋体"/>
          <w:color w:val="000000"/>
          <w:kern w:val="0"/>
          <w:szCs w:val="21"/>
          <w:highlight w:val="none"/>
          <w:u w:val="single"/>
        </w:rPr>
      </w:pPr>
      <w:r>
        <w:rPr>
          <w:rFonts w:hint="eastAsia" w:ascii="宋体" w:hAnsi="宋体" w:cs="宋体"/>
          <w:color w:val="000000"/>
          <w:kern w:val="0"/>
          <w:szCs w:val="21"/>
          <w:highlight w:val="none"/>
        </w:rPr>
        <w:t>承包人应妥善做好已完工程和与工程有关的已购材料、工程设备的保护和移交工作，并将施工设备和人员撤出施工现场，发包人应为承包人撤出提供必要条件。</w:t>
      </w:r>
    </w:p>
    <w:p w14:paraId="41C3767A">
      <w:pPr>
        <w:pStyle w:val="7"/>
        <w:spacing w:before="0" w:beforeAutospacing="0" w:after="0" w:afterAutospacing="0" w:line="360" w:lineRule="auto"/>
        <w:ind w:left="0" w:leftChars="0" w:firstLine="0" w:firstLineChars="0"/>
        <w:rPr>
          <w:rFonts w:hint="eastAsia"/>
          <w:color w:val="000000"/>
          <w:sz w:val="21"/>
          <w:szCs w:val="21"/>
          <w:highlight w:val="none"/>
        </w:rPr>
      </w:pPr>
      <w:bookmarkStart w:id="878" w:name="_Toc532377403"/>
      <w:r>
        <w:rPr>
          <w:rFonts w:hint="eastAsia"/>
          <w:color w:val="000000"/>
          <w:sz w:val="21"/>
          <w:szCs w:val="21"/>
          <w:highlight w:val="none"/>
        </w:rPr>
        <w:t>16.2 承包人违约</w:t>
      </w:r>
      <w:bookmarkEnd w:id="878"/>
    </w:p>
    <w:p w14:paraId="46A24FAE">
      <w:pPr>
        <w:snapToGrid w:val="0"/>
        <w:spacing w:line="360" w:lineRule="auto"/>
        <w:ind w:firstLine="560" w:firstLineChars="200"/>
        <w:jc w:val="left"/>
        <w:rPr>
          <w:rFonts w:hint="eastAsia" w:ascii="宋体" w:hAnsi="宋体" w:cs="宋体"/>
          <w:color w:val="000000"/>
          <w:kern w:val="0"/>
          <w:szCs w:val="21"/>
          <w:highlight w:val="none"/>
        </w:rPr>
      </w:pPr>
      <w:bookmarkStart w:id="879" w:name="_Hlk524380579"/>
      <w:r>
        <w:rPr>
          <w:rFonts w:hint="eastAsia" w:ascii="宋体" w:hAnsi="宋体" w:cs="宋体"/>
          <w:color w:val="000000"/>
          <w:kern w:val="0"/>
          <w:szCs w:val="21"/>
          <w:highlight w:val="none"/>
        </w:rPr>
        <w:t>16.2.1 承包人违约的情形</w:t>
      </w:r>
    </w:p>
    <w:p w14:paraId="5EC3F7E1">
      <w:pPr>
        <w:snapToGrid w:val="0"/>
        <w:spacing w:line="360" w:lineRule="auto"/>
        <w:ind w:firstLine="560" w:firstLineChars="200"/>
        <w:jc w:val="left"/>
        <w:rPr>
          <w:rFonts w:hint="eastAsia" w:ascii="宋体" w:hAnsi="宋体" w:cs="宋体"/>
          <w:color w:val="000000"/>
          <w:kern w:val="0"/>
          <w:szCs w:val="21"/>
          <w:highlight w:val="none"/>
          <w:u w:val="single"/>
        </w:rPr>
      </w:pPr>
      <w:r>
        <w:rPr>
          <w:rFonts w:hint="eastAsia" w:ascii="宋体" w:hAnsi="宋体" w:cs="宋体"/>
          <w:color w:val="000000"/>
          <w:kern w:val="0"/>
          <w:szCs w:val="21"/>
          <w:highlight w:val="none"/>
        </w:rPr>
        <w:t>除通用合同条款约定外，承包人违约的其他情形：</w:t>
      </w:r>
    </w:p>
    <w:p w14:paraId="55D0D743">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（1）承包人未按合同约定提交履约担保或质量保证金的；</w:t>
      </w:r>
    </w:p>
    <w:p w14:paraId="6F306EFD">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（2）承包人未能按期开工的；</w:t>
      </w:r>
    </w:p>
    <w:p w14:paraId="15E6F2C4">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（3）承包人未按比价申请文件或监理人的要求及时配备称职的主要管理人员，或承包人未按经审定的施工组织设计配备或更换关键施工设备的；</w:t>
      </w:r>
    </w:p>
    <w:p w14:paraId="6EF9EF10">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（4）承包人有安全问题或有违反安全管理规章制度情况的；</w:t>
      </w:r>
    </w:p>
    <w:p w14:paraId="53C4275B">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（5）承包人在缺陷责任期及保修期内，未能在合理期限对工程缺陷进行修复，或拒绝按发包人要求进行修复的；</w:t>
      </w:r>
    </w:p>
    <w:p w14:paraId="6219B2D3">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（6）承包人拖欠其工人或所雇人员工资或报酬，导致其工人或所雇人员向有关部门投诉、控告、检举或以聚集等方式讨要工资或报酬的；</w:t>
      </w:r>
    </w:p>
    <w:p w14:paraId="4ECA79A1">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（7）承包人不配合发包人、监理人及发包人委托的工程造价咨询服务单位结算审核或承包人其他原因导致未按期完成工程竣工结算的；</w:t>
      </w:r>
    </w:p>
    <w:p w14:paraId="506BD707">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（8）承包人违反合同约定进行转包或违法分包的；</w:t>
      </w:r>
    </w:p>
    <w:p w14:paraId="38165E24">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（9）承包人未按合同约定移交全部或部分工作的；</w:t>
      </w:r>
    </w:p>
    <w:p w14:paraId="763F3AB9">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（10）承包人未按合同约定购买保险的；</w:t>
      </w:r>
    </w:p>
    <w:p w14:paraId="0FD304A0">
      <w:pPr>
        <w:snapToGrid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kern w:val="0"/>
          <w:szCs w:val="21"/>
          <w:highlight w:val="none"/>
        </w:rPr>
        <w:t>（11）项目经理若有以下情形，属于承包人违约：</w:t>
      </w:r>
    </w:p>
    <w:p w14:paraId="5E18B48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1）项目经理不按承诺到岗的；</w:t>
      </w:r>
    </w:p>
    <w:p w14:paraId="7A6FBD3C">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2）每月在施工现场的天数少于约定天数的；</w:t>
      </w:r>
    </w:p>
    <w:p w14:paraId="06FF23E5">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3）承包人未提交项目经理劳动合同和社会保险证明的；</w:t>
      </w:r>
    </w:p>
    <w:p w14:paraId="4A65E0AF">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4）未经批准，擅自离开施工现场（超过约定时间）的；</w:t>
      </w:r>
    </w:p>
    <w:p w14:paraId="2E87A5F3">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5）未经批准，擅自变更项目经理的；</w:t>
      </w:r>
    </w:p>
    <w:p w14:paraId="5B047114">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6）按照渝建发〔2015〕35号文的要求，施工期间，项目经理因在一个记分周期内累计记分达到12分，被建设行政主管部门依法责令停止执业的；</w:t>
      </w:r>
    </w:p>
    <w:p w14:paraId="02D761E2">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7）发包人有正当理由认为项目经理不称职/不履职，且承包人在约定时间内不予更换的；</w:t>
      </w:r>
    </w:p>
    <w:p w14:paraId="423089B4">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8）其他双方约定的情形：</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4FC1DC60">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（12）技术负责人若有以下情形，属于承包人违约：</w:t>
      </w:r>
    </w:p>
    <w:p w14:paraId="2B6E5B2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1）每月在施工现场的天数少于约定天数的；</w:t>
      </w:r>
    </w:p>
    <w:p w14:paraId="42120AC8">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2）承包人未提交技术负责人劳动合同和社会保险证明的；</w:t>
      </w:r>
    </w:p>
    <w:p w14:paraId="482D0B5D">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3）未经批准，擅自离开施工现场（超过约定时间）的；</w:t>
      </w:r>
    </w:p>
    <w:p w14:paraId="6960D681">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4）未经批准，擅自变更技术负责人的；</w:t>
      </w:r>
    </w:p>
    <w:p w14:paraId="0AAF3865">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5）发包人有正当理由认为技术负责人不称职/不履职，且承包人在约定时间内不予更换的；</w:t>
      </w:r>
    </w:p>
    <w:p w14:paraId="788D3F2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6）其他双方约定的情形：</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4996A503">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（13）主要施工管理人员若有以下情形，属于承包人违约：</w:t>
      </w:r>
    </w:p>
    <w:p w14:paraId="32C26314">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1）承包人未提交主要管理人员劳动合同和社会保险证明的；</w:t>
      </w:r>
    </w:p>
    <w:p w14:paraId="0B1AAA95">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2）未经批准，擅自离开施工现场（超过约定时间）的；</w:t>
      </w:r>
    </w:p>
    <w:p w14:paraId="50E1657E">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3）未经批准，擅自变更主要施工管理人员的；</w:t>
      </w:r>
    </w:p>
    <w:p w14:paraId="357A97C0">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4）发包人有正当理由认为主要施工管理人员不称职/不履职，且承包人在约定时间内不予更换的；</w:t>
      </w:r>
    </w:p>
    <w:p w14:paraId="0A76EE9C">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5）其他双方约定的情形：</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40CAD748">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（14）</w:t>
      </w:r>
      <w:r>
        <w:rPr>
          <w:rFonts w:hint="eastAsia" w:ascii="宋体" w:hAnsi="宋体" w:cs="宋体"/>
          <w:color w:val="000000"/>
          <w:kern w:val="0"/>
          <w:szCs w:val="21"/>
          <w:highlight w:val="none"/>
          <w:u w:val="single"/>
        </w:rPr>
        <w:t xml:space="preserve">        。</w:t>
      </w:r>
    </w:p>
    <w:bookmarkEnd w:id="879"/>
    <w:p w14:paraId="100DA09B">
      <w:pPr>
        <w:adjustRightInd w:val="0"/>
        <w:snapToGrid w:val="0"/>
        <w:spacing w:line="360" w:lineRule="auto"/>
        <w:ind w:firstLine="56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16.2.2 承包人违约的责任</w:t>
      </w:r>
    </w:p>
    <w:p w14:paraId="66AAE014">
      <w:pPr>
        <w:adjustRightInd w:val="0"/>
        <w:snapToGrid w:val="0"/>
        <w:spacing w:line="360" w:lineRule="auto"/>
        <w:ind w:firstLine="56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承包人违约责任的承担方式和计算方法：</w:t>
      </w:r>
    </w:p>
    <w:p w14:paraId="50E5ACBD">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（1）承包人未按合同约定提交履约担保、质量保证金的违约责任：承包人应支付违约金，</w:t>
      </w:r>
      <w:r>
        <w:rPr>
          <w:rFonts w:hint="eastAsia" w:ascii="宋体" w:hAnsi="宋体" w:cs="宋体"/>
          <w:color w:val="000000"/>
          <w:szCs w:val="21"/>
          <w:highlight w:val="none"/>
        </w:rPr>
        <w:t>违约金的计算方法：</w:t>
      </w:r>
      <w:r>
        <w:rPr>
          <w:rFonts w:hint="eastAsia" w:ascii="宋体" w:hAnsi="宋体" w:cs="宋体"/>
          <w:color w:val="000000"/>
          <w:kern w:val="0"/>
          <w:szCs w:val="21"/>
          <w:highlight w:val="none"/>
        </w:rPr>
        <w:t>每延误1天，承包人按</w:t>
      </w:r>
      <w:r>
        <w:rPr>
          <w:rFonts w:hint="eastAsia" w:ascii="宋体" w:hAnsi="宋体" w:cs="宋体"/>
          <w:color w:val="000000"/>
          <w:kern w:val="0"/>
          <w:szCs w:val="21"/>
          <w:highlight w:val="none"/>
          <w:u w:val="single"/>
        </w:rPr>
        <w:t xml:space="preserve">  （500～5000）元/天</w:t>
      </w:r>
      <w:r>
        <w:rPr>
          <w:rFonts w:hint="eastAsia" w:ascii="宋体" w:hAnsi="宋体" w:cs="宋体"/>
          <w:color w:val="000000"/>
          <w:kern w:val="0"/>
          <w:szCs w:val="21"/>
          <w:highlight w:val="none"/>
        </w:rPr>
        <w:t>计算违约金，累计违约金上限：</w:t>
      </w:r>
      <w:r>
        <w:rPr>
          <w:rFonts w:hint="eastAsia" w:ascii="宋体" w:hAnsi="宋体" w:cs="宋体"/>
          <w:color w:val="000000"/>
          <w:kern w:val="0"/>
          <w:szCs w:val="21"/>
          <w:highlight w:val="none"/>
          <w:u w:val="single"/>
        </w:rPr>
        <w:t xml:space="preserve">  万元（不超过签约合同价的3%）</w:t>
      </w:r>
      <w:r>
        <w:rPr>
          <w:rFonts w:hint="eastAsia" w:ascii="宋体" w:hAnsi="宋体" w:cs="宋体"/>
          <w:color w:val="000000"/>
          <w:kern w:val="0"/>
          <w:szCs w:val="21"/>
          <w:highlight w:val="none"/>
          <w:lang w:val="zh-CN"/>
        </w:rPr>
        <w:t>。</w:t>
      </w:r>
    </w:p>
    <w:p w14:paraId="5A40A41F">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（2）承包人违反合同约定进行转包或违法分包的违约责任：按照违反合同约定进行转包和（或）违法分包相应转包和（或）分包合同的合同金额的</w:t>
      </w:r>
      <w:r>
        <w:rPr>
          <w:rFonts w:hint="eastAsia" w:ascii="宋体" w:hAnsi="宋体" w:cs="宋体"/>
          <w:color w:val="000000"/>
          <w:kern w:val="0"/>
          <w:szCs w:val="21"/>
          <w:highlight w:val="none"/>
          <w:u w:val="single"/>
        </w:rPr>
        <w:t xml:space="preserve">  （5～10）%</w:t>
      </w:r>
      <w:r>
        <w:rPr>
          <w:rFonts w:hint="eastAsia" w:ascii="宋体" w:hAnsi="宋体" w:cs="宋体"/>
          <w:color w:val="000000"/>
          <w:kern w:val="0"/>
          <w:szCs w:val="21"/>
          <w:highlight w:val="none"/>
        </w:rPr>
        <w:t>支付违约金，违法转/分包商应在7天内撤离出场。</w:t>
      </w:r>
    </w:p>
    <w:p w14:paraId="368D6B89">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（3）承包人违反合同约定采购和使用不合格的材料和工程设备的违约责任：按照违反合同约定采购和使用不合格的材料和（或）工程设备相应合同金额的</w:t>
      </w:r>
      <w:r>
        <w:rPr>
          <w:rFonts w:hint="eastAsia" w:ascii="宋体" w:hAnsi="宋体" w:cs="宋体"/>
          <w:color w:val="000000"/>
          <w:kern w:val="0"/>
          <w:szCs w:val="21"/>
          <w:highlight w:val="none"/>
          <w:u w:val="single"/>
        </w:rPr>
        <w:t xml:space="preserve">  （5～10）%</w:t>
      </w:r>
      <w:r>
        <w:rPr>
          <w:rFonts w:hint="eastAsia" w:ascii="宋体" w:hAnsi="宋体" w:cs="宋体"/>
          <w:color w:val="000000"/>
          <w:kern w:val="0"/>
          <w:szCs w:val="21"/>
          <w:highlight w:val="none"/>
        </w:rPr>
        <w:t>支付违约金。</w:t>
      </w:r>
    </w:p>
    <w:p w14:paraId="73326AE5">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（4）因承包人原因导致工程质量不符合规定或合同要求的违约责任：承包人退还已支付工程质量不符合合同要求工程的工程款，并按照工程质量不符合合同要求工程相应合同金额的</w:t>
      </w:r>
      <w:r>
        <w:rPr>
          <w:rFonts w:hint="eastAsia" w:ascii="宋体" w:hAnsi="宋体" w:cs="宋体"/>
          <w:color w:val="000000"/>
          <w:kern w:val="0"/>
          <w:szCs w:val="21"/>
          <w:highlight w:val="none"/>
          <w:u w:val="single"/>
        </w:rPr>
        <w:t xml:space="preserve">  （5～10）%</w:t>
      </w:r>
      <w:r>
        <w:rPr>
          <w:rFonts w:hint="eastAsia" w:ascii="宋体" w:hAnsi="宋体" w:cs="宋体"/>
          <w:color w:val="000000"/>
          <w:kern w:val="0"/>
          <w:szCs w:val="21"/>
          <w:highlight w:val="none"/>
        </w:rPr>
        <w:t>支付违约金。</w:t>
      </w:r>
    </w:p>
    <w:p w14:paraId="69B46992">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（5）承包人违反材料与设备的约定，未经批准，擅自将已按照合同约定进入施工现场的材料或设备撤离施工现场的违约责任：按照承包人擅自撤离施工现场材料和（或）设备相应合同金额的</w:t>
      </w:r>
      <w:r>
        <w:rPr>
          <w:rFonts w:hint="eastAsia" w:ascii="宋体" w:hAnsi="宋体" w:cs="宋体"/>
          <w:color w:val="000000"/>
          <w:kern w:val="0"/>
          <w:szCs w:val="21"/>
          <w:highlight w:val="none"/>
          <w:u w:val="single"/>
        </w:rPr>
        <w:t xml:space="preserve">  （1～5）%</w:t>
      </w:r>
      <w:r>
        <w:rPr>
          <w:rFonts w:hint="eastAsia" w:ascii="宋体" w:hAnsi="宋体" w:cs="宋体"/>
          <w:color w:val="000000"/>
          <w:kern w:val="0"/>
          <w:szCs w:val="21"/>
          <w:highlight w:val="none"/>
        </w:rPr>
        <w:t>支付违约金。</w:t>
      </w:r>
    </w:p>
    <w:p w14:paraId="6BCCD902">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（6）因承包人原因造成工期延误的违约承担方式和计算方法：由承包人承担由此增加的费用，</w:t>
      </w:r>
      <w:r>
        <w:rPr>
          <w:rFonts w:hint="eastAsia" w:ascii="宋体" w:hAnsi="宋体" w:cs="宋体"/>
          <w:color w:val="000000"/>
          <w:szCs w:val="21"/>
          <w:highlight w:val="none"/>
        </w:rPr>
        <w:t>由此导致工期延误的，工期不予顺延；逾期竣工违约金的计算方法：</w:t>
      </w:r>
      <w:r>
        <w:rPr>
          <w:rFonts w:hint="eastAsia" w:ascii="宋体" w:hAnsi="宋体" w:cs="宋体"/>
          <w:color w:val="000000"/>
          <w:kern w:val="0"/>
          <w:szCs w:val="21"/>
          <w:highlight w:val="none"/>
        </w:rPr>
        <w:t>每延误1天，承包人按</w:t>
      </w:r>
      <w:r>
        <w:rPr>
          <w:rFonts w:hint="eastAsia" w:ascii="宋体" w:hAnsi="宋体" w:cs="宋体"/>
          <w:color w:val="000000"/>
          <w:kern w:val="0"/>
          <w:szCs w:val="21"/>
          <w:highlight w:val="none"/>
          <w:u w:val="single"/>
        </w:rPr>
        <w:t xml:space="preserve">  （500～5000）元/天</w:t>
      </w:r>
      <w:r>
        <w:rPr>
          <w:rFonts w:hint="eastAsia" w:ascii="宋体" w:hAnsi="宋体" w:cs="宋体"/>
          <w:color w:val="000000"/>
          <w:kern w:val="0"/>
          <w:szCs w:val="21"/>
          <w:highlight w:val="none"/>
        </w:rPr>
        <w:t>计算逾期竣工违约金，累计违约金上限：</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万元（不超过签约合同价的3%）</w:t>
      </w:r>
      <w:r>
        <w:rPr>
          <w:rFonts w:hint="eastAsia" w:ascii="宋体" w:hAnsi="宋体" w:cs="宋体"/>
          <w:color w:val="000000"/>
          <w:kern w:val="0"/>
          <w:szCs w:val="21"/>
          <w:highlight w:val="none"/>
          <w:lang w:val="zh-CN"/>
        </w:rPr>
        <w:t>；</w:t>
      </w:r>
      <w:r>
        <w:rPr>
          <w:rFonts w:hint="eastAsia" w:ascii="宋体" w:hAnsi="宋体" w:cs="宋体"/>
          <w:color w:val="000000"/>
          <w:kern w:val="0"/>
          <w:szCs w:val="21"/>
          <w:highlight w:val="none"/>
        </w:rPr>
        <w:t>承包人支付逾期竣工违约金后，不免除承包人继续完成工程及修补缺陷的义务。</w:t>
      </w:r>
    </w:p>
    <w:p w14:paraId="468309C8">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（7）承包人在缺陷责任期及保修期内，未能在合理期限对工程缺陷进行修复，或拒绝按发包人要求进行修复的违约责任：按照发包人修复缺陷费用的</w:t>
      </w:r>
      <w:r>
        <w:rPr>
          <w:rFonts w:hint="eastAsia" w:ascii="宋体" w:hAnsi="宋体" w:cs="宋体"/>
          <w:color w:val="000000"/>
          <w:kern w:val="0"/>
          <w:szCs w:val="21"/>
          <w:highlight w:val="none"/>
          <w:u w:val="single"/>
        </w:rPr>
        <w:t xml:space="preserve">  （0.5～2）%</w:t>
      </w:r>
      <w:r>
        <w:rPr>
          <w:rFonts w:hint="eastAsia" w:ascii="宋体" w:hAnsi="宋体" w:cs="宋体"/>
          <w:color w:val="000000"/>
          <w:kern w:val="0"/>
          <w:szCs w:val="21"/>
          <w:highlight w:val="none"/>
        </w:rPr>
        <w:t>支付违约金。</w:t>
      </w:r>
    </w:p>
    <w:p w14:paraId="40BBE449">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（8）承包人明确表示或者以其行为表明不履行合同主要义务的违约责任：按签约合同价的</w:t>
      </w:r>
      <w:r>
        <w:rPr>
          <w:rFonts w:hint="eastAsia" w:ascii="宋体" w:hAnsi="宋体" w:cs="宋体"/>
          <w:color w:val="000000"/>
          <w:kern w:val="0"/>
          <w:szCs w:val="21"/>
          <w:highlight w:val="none"/>
          <w:u w:val="single"/>
        </w:rPr>
        <w:t xml:space="preserve">  （5～10）%</w:t>
      </w:r>
      <w:r>
        <w:rPr>
          <w:rFonts w:hint="eastAsia" w:ascii="宋体" w:hAnsi="宋体" w:cs="宋体"/>
          <w:color w:val="000000"/>
          <w:kern w:val="0"/>
          <w:szCs w:val="21"/>
          <w:highlight w:val="none"/>
        </w:rPr>
        <w:t>支付违约金。</w:t>
      </w:r>
    </w:p>
    <w:p w14:paraId="7A5FC2E1">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（9）承包人未能按照合同约定履行其他义务的违约责任：按</w:t>
      </w:r>
      <w:r>
        <w:rPr>
          <w:rFonts w:hint="eastAsia" w:ascii="宋体" w:hAnsi="宋体" w:cs="宋体"/>
          <w:color w:val="000000"/>
          <w:kern w:val="0"/>
          <w:szCs w:val="21"/>
          <w:highlight w:val="none"/>
          <w:u w:val="single"/>
        </w:rPr>
        <w:t>（500～5000）元/次</w:t>
      </w:r>
      <w:r>
        <w:rPr>
          <w:rFonts w:hint="eastAsia" w:ascii="宋体" w:hAnsi="宋体" w:cs="宋体"/>
          <w:color w:val="000000"/>
          <w:kern w:val="0"/>
          <w:szCs w:val="21"/>
          <w:highlight w:val="none"/>
        </w:rPr>
        <w:t>支付违约金。</w:t>
      </w:r>
    </w:p>
    <w:p w14:paraId="4C253F35">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（10）承包人未能按期开工的违约责任：按合同价</w:t>
      </w:r>
      <w:r>
        <w:rPr>
          <w:rFonts w:hint="eastAsia" w:ascii="宋体" w:hAnsi="宋体" w:cs="宋体"/>
          <w:color w:val="000000"/>
          <w:kern w:val="0"/>
          <w:szCs w:val="21"/>
          <w:highlight w:val="none"/>
          <w:u w:val="single"/>
        </w:rPr>
        <w:t>0.2‰/天</w:t>
      </w:r>
      <w:r>
        <w:rPr>
          <w:rFonts w:hint="eastAsia" w:ascii="宋体" w:hAnsi="宋体" w:cs="宋体"/>
          <w:color w:val="000000"/>
          <w:kern w:val="0"/>
          <w:szCs w:val="21"/>
          <w:highlight w:val="none"/>
        </w:rPr>
        <w:t>支付违约金，本项违约金累计限额为签约合同价的</w:t>
      </w:r>
      <w:r>
        <w:rPr>
          <w:rFonts w:hint="eastAsia" w:ascii="宋体" w:hAnsi="宋体" w:cs="宋体"/>
          <w:color w:val="000000"/>
          <w:kern w:val="0"/>
          <w:szCs w:val="21"/>
          <w:highlight w:val="none"/>
          <w:u w:val="single"/>
        </w:rPr>
        <w:t xml:space="preserve"> 1 %</w:t>
      </w:r>
      <w:r>
        <w:rPr>
          <w:rFonts w:hint="eastAsia" w:ascii="宋体" w:hAnsi="宋体" w:cs="宋体"/>
          <w:color w:val="000000"/>
          <w:kern w:val="0"/>
          <w:szCs w:val="21"/>
          <w:highlight w:val="none"/>
        </w:rPr>
        <w:t>。</w:t>
      </w:r>
    </w:p>
    <w:p w14:paraId="7FBF641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（11）承包人未按经审定的施工组织设计配备或更换关键施工设备的违约责任：按</w:t>
      </w:r>
      <w:r>
        <w:rPr>
          <w:rFonts w:hint="eastAsia" w:ascii="宋体" w:hAnsi="宋体" w:cs="宋体"/>
          <w:color w:val="000000"/>
          <w:kern w:val="0"/>
          <w:szCs w:val="21"/>
          <w:highlight w:val="none"/>
          <w:u w:val="single"/>
        </w:rPr>
        <w:t xml:space="preserve">  （500～5000）元/台·次</w:t>
      </w:r>
      <w:r>
        <w:rPr>
          <w:rFonts w:hint="eastAsia" w:ascii="宋体" w:hAnsi="宋体" w:cs="宋体"/>
          <w:color w:val="000000"/>
          <w:kern w:val="0"/>
          <w:szCs w:val="21"/>
          <w:highlight w:val="none"/>
        </w:rPr>
        <w:t>支付违约金。</w:t>
      </w:r>
    </w:p>
    <w:p w14:paraId="0281BC73">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（12）承包人有安全问题或有违反安全管理规章制度情况的违约责任：根据具体情节，按签约合同价的</w:t>
      </w:r>
      <w:r>
        <w:rPr>
          <w:rFonts w:hint="eastAsia" w:ascii="宋体" w:hAnsi="宋体" w:cs="宋体"/>
          <w:color w:val="000000"/>
          <w:kern w:val="0"/>
          <w:szCs w:val="21"/>
          <w:highlight w:val="none"/>
          <w:u w:val="single"/>
        </w:rPr>
        <w:t>0.5‰～4‰/次</w:t>
      </w:r>
      <w:r>
        <w:rPr>
          <w:rFonts w:hint="eastAsia" w:ascii="宋体" w:hAnsi="宋体" w:cs="宋体"/>
          <w:color w:val="000000"/>
          <w:kern w:val="0"/>
          <w:szCs w:val="21"/>
          <w:highlight w:val="none"/>
        </w:rPr>
        <w:t>支付违约金（累计不超过签约合同价的1%，详见附件9安全管理协议）。</w:t>
      </w:r>
    </w:p>
    <w:p w14:paraId="332E31CD">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（13）承包人拖欠其工人或所雇人员工资或报酬，导致其工人或所雇人员向有关部门投诉、控告、检举或以聚集等方式讨要工资或报酬的违约责任：根据具体情节，按违约金额</w:t>
      </w:r>
      <w:r>
        <w:rPr>
          <w:rFonts w:hint="eastAsia" w:ascii="宋体" w:hAnsi="宋体" w:cs="宋体"/>
          <w:color w:val="000000"/>
          <w:kern w:val="0"/>
          <w:szCs w:val="21"/>
          <w:highlight w:val="none"/>
          <w:u w:val="single"/>
        </w:rPr>
        <w:t xml:space="preserve">  （5000～20000）元/次</w:t>
      </w:r>
      <w:r>
        <w:rPr>
          <w:rFonts w:hint="eastAsia" w:ascii="宋体" w:hAnsi="宋体" w:cs="宋体"/>
          <w:color w:val="000000"/>
          <w:kern w:val="0"/>
          <w:szCs w:val="21"/>
          <w:highlight w:val="none"/>
        </w:rPr>
        <w:t>支付违约金。</w:t>
      </w:r>
    </w:p>
    <w:p w14:paraId="1A1B48CE">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（14）承包人不配合发包人、监理人及发包人委托的工程造价咨询服务单位结算审核的违约责任：根据具体情节，按</w:t>
      </w:r>
      <w:r>
        <w:rPr>
          <w:rFonts w:hint="eastAsia" w:ascii="宋体" w:hAnsi="宋体" w:cs="宋体"/>
          <w:color w:val="000000"/>
          <w:kern w:val="0"/>
          <w:szCs w:val="21"/>
          <w:highlight w:val="none"/>
          <w:u w:val="single"/>
        </w:rPr>
        <w:t xml:space="preserve">  （5000～50000）元/次</w:t>
      </w:r>
      <w:r>
        <w:rPr>
          <w:rFonts w:hint="eastAsia" w:ascii="宋体" w:hAnsi="宋体" w:cs="宋体"/>
          <w:color w:val="000000"/>
          <w:kern w:val="0"/>
          <w:szCs w:val="21"/>
          <w:highlight w:val="none"/>
        </w:rPr>
        <w:t>支付违约金。</w:t>
      </w:r>
    </w:p>
    <w:p w14:paraId="79DC4089">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（15）承包人未按合同约定移交全部和部分工程的违约责任：由承包人承担工程照管、成品保护、保管等与工程有关的各种费用，并按结算金额或违约部分结算金额的</w:t>
      </w:r>
      <w:r>
        <w:rPr>
          <w:rFonts w:hint="eastAsia" w:ascii="宋体" w:hAnsi="宋体" w:cs="宋体"/>
          <w:color w:val="000000"/>
          <w:kern w:val="0"/>
          <w:szCs w:val="21"/>
          <w:highlight w:val="none"/>
          <w:u w:val="single"/>
        </w:rPr>
        <w:t>0.5～1‰</w:t>
      </w:r>
      <w:r>
        <w:rPr>
          <w:rFonts w:hint="eastAsia" w:ascii="宋体" w:hAnsi="宋体" w:cs="宋体"/>
          <w:color w:val="000000"/>
          <w:kern w:val="0"/>
          <w:szCs w:val="21"/>
          <w:highlight w:val="none"/>
        </w:rPr>
        <w:t>支付违约金。</w:t>
      </w:r>
    </w:p>
    <w:p w14:paraId="6675162B">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szCs w:val="21"/>
          <w:highlight w:val="none"/>
        </w:rPr>
        <w:t>（16）承包人未按合同约定购买保险的违约责任：除按18.6.2项约定执行外，每延迟1天，按</w:t>
      </w:r>
      <w:r>
        <w:rPr>
          <w:rFonts w:hint="eastAsia" w:ascii="宋体" w:hAnsi="宋体" w:cs="宋体"/>
          <w:color w:val="000000"/>
          <w:szCs w:val="21"/>
          <w:highlight w:val="none"/>
          <w:u w:val="single"/>
        </w:rPr>
        <w:t>500元/天</w:t>
      </w:r>
      <w:r>
        <w:rPr>
          <w:rFonts w:hint="eastAsia" w:ascii="宋体" w:hAnsi="宋体" w:cs="宋体"/>
          <w:color w:val="000000"/>
          <w:szCs w:val="21"/>
          <w:highlight w:val="none"/>
        </w:rPr>
        <w:t>支付违约金。</w:t>
      </w:r>
    </w:p>
    <w:p w14:paraId="4DF091E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（17）发生第16.2.1项（11）目、16.2.1项（12）目、16.2.1项（13）目违约情形的违约责任：除承担由此增加的费用和工期延误的责任，承包人应向发包人支付违约金：</w:t>
      </w:r>
    </w:p>
    <w:p w14:paraId="6C7CAB13">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1）项目经理违约承担方式和计算方法：对于第16.2.1项（11）目的情形，每发现一次，根据具体情节，按</w:t>
      </w:r>
      <w:r>
        <w:rPr>
          <w:rFonts w:hint="eastAsia" w:ascii="宋体" w:hAnsi="宋体" w:cs="宋体"/>
          <w:color w:val="000000"/>
          <w:kern w:val="0"/>
          <w:szCs w:val="21"/>
          <w:highlight w:val="none"/>
          <w:u w:val="single"/>
        </w:rPr>
        <w:t>1000～5000元/天·次</w:t>
      </w:r>
      <w:r>
        <w:rPr>
          <w:rFonts w:hint="eastAsia" w:ascii="宋体" w:hAnsi="宋体" w:cs="宋体"/>
          <w:color w:val="000000"/>
          <w:kern w:val="0"/>
          <w:szCs w:val="21"/>
          <w:highlight w:val="none"/>
        </w:rPr>
        <w:t>计算违约金；项目经理不按承诺到岗的（3.2.3项约定的情形除外），按履约保证金的</w:t>
      </w:r>
      <w:r>
        <w:rPr>
          <w:rFonts w:hint="eastAsia" w:ascii="宋体" w:hAnsi="宋体" w:cs="宋体"/>
          <w:color w:val="000000"/>
          <w:kern w:val="0"/>
          <w:szCs w:val="21"/>
          <w:highlight w:val="none"/>
          <w:u w:val="single"/>
        </w:rPr>
        <w:t>（50～100）%</w:t>
      </w:r>
      <w:r>
        <w:rPr>
          <w:rFonts w:hint="eastAsia" w:ascii="宋体" w:hAnsi="宋体" w:cs="宋体"/>
          <w:color w:val="000000"/>
          <w:kern w:val="0"/>
          <w:szCs w:val="21"/>
          <w:highlight w:val="none"/>
        </w:rPr>
        <w:t>支付违约金，并解除合同；擅自更换项目经理的，按签约合同价的</w:t>
      </w:r>
      <w:r>
        <w:rPr>
          <w:rFonts w:hint="eastAsia" w:ascii="宋体" w:hAnsi="宋体" w:cs="宋体"/>
          <w:color w:val="000000"/>
          <w:kern w:val="0"/>
          <w:szCs w:val="21"/>
          <w:highlight w:val="none"/>
          <w:u w:val="single"/>
        </w:rPr>
        <w:t>（0.5～3）%/人·次</w:t>
      </w:r>
      <w:r>
        <w:rPr>
          <w:rFonts w:hint="eastAsia" w:ascii="宋体" w:hAnsi="宋体" w:cs="宋体"/>
          <w:color w:val="000000"/>
          <w:kern w:val="0"/>
          <w:szCs w:val="21"/>
          <w:highlight w:val="none"/>
        </w:rPr>
        <w:t>支付违约金，每次不低于</w:t>
      </w:r>
      <w:r>
        <w:rPr>
          <w:rFonts w:hint="eastAsia" w:ascii="宋体" w:hAnsi="宋体" w:cs="宋体"/>
          <w:color w:val="000000"/>
          <w:kern w:val="0"/>
          <w:szCs w:val="21"/>
          <w:highlight w:val="none"/>
          <w:u w:val="single"/>
        </w:rPr>
        <w:t>1万</w:t>
      </w:r>
      <w:r>
        <w:rPr>
          <w:rFonts w:hint="eastAsia" w:ascii="宋体" w:hAnsi="宋体" w:cs="宋体"/>
          <w:color w:val="000000"/>
          <w:kern w:val="0"/>
          <w:szCs w:val="21"/>
          <w:highlight w:val="none"/>
        </w:rPr>
        <w:t>，累计不超过</w:t>
      </w:r>
      <w:r>
        <w:rPr>
          <w:rFonts w:hint="eastAsia" w:ascii="宋体" w:hAnsi="宋体" w:cs="宋体"/>
          <w:color w:val="000000"/>
          <w:kern w:val="0"/>
          <w:szCs w:val="21"/>
          <w:highlight w:val="none"/>
          <w:u w:val="single"/>
        </w:rPr>
        <w:t>10万</w:t>
      </w:r>
      <w:r>
        <w:rPr>
          <w:rFonts w:hint="eastAsia" w:ascii="宋体" w:hAnsi="宋体" w:cs="宋体"/>
          <w:color w:val="000000"/>
          <w:kern w:val="0"/>
          <w:szCs w:val="21"/>
          <w:highlight w:val="none"/>
        </w:rPr>
        <w:t>；项目经理被责令停止执业的，按签约合同价的</w:t>
      </w:r>
      <w:r>
        <w:rPr>
          <w:rFonts w:hint="eastAsia" w:ascii="宋体" w:hAnsi="宋体" w:cs="宋体"/>
          <w:color w:val="000000"/>
          <w:kern w:val="0"/>
          <w:szCs w:val="21"/>
          <w:highlight w:val="none"/>
          <w:u w:val="single"/>
        </w:rPr>
        <w:t>（0.5～3）%/人·次</w:t>
      </w:r>
      <w:r>
        <w:rPr>
          <w:rFonts w:hint="eastAsia" w:ascii="宋体" w:hAnsi="宋体" w:cs="宋体"/>
          <w:color w:val="000000"/>
          <w:kern w:val="0"/>
          <w:szCs w:val="21"/>
          <w:highlight w:val="none"/>
        </w:rPr>
        <w:t>支付违约金，每次不低于</w:t>
      </w:r>
      <w:r>
        <w:rPr>
          <w:rFonts w:hint="eastAsia" w:ascii="宋体" w:hAnsi="宋体" w:cs="宋体"/>
          <w:color w:val="000000"/>
          <w:kern w:val="0"/>
          <w:szCs w:val="21"/>
          <w:highlight w:val="none"/>
          <w:u w:val="single"/>
        </w:rPr>
        <w:t>1万</w:t>
      </w:r>
      <w:r>
        <w:rPr>
          <w:rFonts w:hint="eastAsia" w:ascii="宋体" w:hAnsi="宋体" w:cs="宋体"/>
          <w:color w:val="000000"/>
          <w:kern w:val="0"/>
          <w:szCs w:val="21"/>
          <w:highlight w:val="none"/>
        </w:rPr>
        <w:t>，累计不超过</w:t>
      </w:r>
      <w:r>
        <w:rPr>
          <w:rFonts w:hint="eastAsia" w:ascii="宋体" w:hAnsi="宋体" w:cs="宋体"/>
          <w:color w:val="000000"/>
          <w:kern w:val="0"/>
          <w:szCs w:val="21"/>
          <w:highlight w:val="none"/>
          <w:u w:val="single"/>
        </w:rPr>
        <w:t>10万</w:t>
      </w:r>
      <w:r>
        <w:rPr>
          <w:rFonts w:hint="eastAsia" w:ascii="宋体" w:hAnsi="宋体" w:cs="宋体"/>
          <w:color w:val="000000"/>
          <w:kern w:val="0"/>
          <w:szCs w:val="21"/>
          <w:highlight w:val="none"/>
        </w:rPr>
        <w:t>；项目经理被责令停止执业的，按签约合同价的</w:t>
      </w:r>
      <w:r>
        <w:rPr>
          <w:rFonts w:hint="eastAsia" w:ascii="宋体" w:hAnsi="宋体" w:cs="宋体"/>
          <w:color w:val="000000"/>
          <w:kern w:val="0"/>
          <w:szCs w:val="21"/>
          <w:highlight w:val="none"/>
          <w:u w:val="single"/>
        </w:rPr>
        <w:t>（0.5～3）%/人•次</w:t>
      </w:r>
      <w:r>
        <w:rPr>
          <w:rFonts w:hint="eastAsia" w:ascii="宋体" w:hAnsi="宋体" w:cs="宋体"/>
          <w:color w:val="000000"/>
          <w:kern w:val="0"/>
          <w:szCs w:val="21"/>
          <w:highlight w:val="none"/>
        </w:rPr>
        <w:t>支付违约金，每次不低于</w:t>
      </w:r>
      <w:r>
        <w:rPr>
          <w:rFonts w:hint="eastAsia" w:ascii="宋体" w:hAnsi="宋体" w:cs="宋体"/>
          <w:color w:val="000000"/>
          <w:kern w:val="0"/>
          <w:szCs w:val="21"/>
          <w:highlight w:val="none"/>
          <w:u w:val="single"/>
        </w:rPr>
        <w:t>1</w:t>
      </w:r>
      <w:r>
        <w:rPr>
          <w:rFonts w:hint="eastAsia" w:ascii="宋体" w:hAnsi="宋体" w:cs="宋体"/>
          <w:color w:val="000000"/>
          <w:kern w:val="0"/>
          <w:szCs w:val="21"/>
          <w:highlight w:val="none"/>
        </w:rPr>
        <w:t>万，累计不超过</w:t>
      </w:r>
      <w:r>
        <w:rPr>
          <w:rFonts w:hint="eastAsia" w:ascii="宋体" w:hAnsi="宋体" w:cs="宋体"/>
          <w:color w:val="000000"/>
          <w:kern w:val="0"/>
          <w:szCs w:val="21"/>
          <w:highlight w:val="none"/>
          <w:u w:val="single"/>
        </w:rPr>
        <w:t>10</w:t>
      </w:r>
      <w:r>
        <w:rPr>
          <w:rFonts w:hint="eastAsia" w:ascii="宋体" w:hAnsi="宋体" w:cs="宋体"/>
          <w:color w:val="000000"/>
          <w:kern w:val="0"/>
          <w:szCs w:val="21"/>
          <w:highlight w:val="none"/>
        </w:rPr>
        <w:t>万。</w:t>
      </w:r>
    </w:p>
    <w:p w14:paraId="5A23868E">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2）主要技术负责人违约承担方式和计算方法：对于第16.2.1项（12）目的六种情形，每发现一次，根据具体情节，按</w:t>
      </w:r>
      <w:r>
        <w:rPr>
          <w:rFonts w:hint="eastAsia" w:ascii="宋体" w:hAnsi="宋体" w:cs="宋体"/>
          <w:color w:val="000000"/>
          <w:kern w:val="0"/>
          <w:szCs w:val="21"/>
          <w:highlight w:val="none"/>
          <w:u w:val="single"/>
        </w:rPr>
        <w:t>1000～5000元/天·次</w:t>
      </w:r>
      <w:r>
        <w:rPr>
          <w:rFonts w:hint="eastAsia" w:ascii="宋体" w:hAnsi="宋体" w:cs="宋体"/>
          <w:color w:val="000000"/>
          <w:kern w:val="0"/>
          <w:szCs w:val="21"/>
          <w:highlight w:val="none"/>
        </w:rPr>
        <w:t>计算违约金；擅自更换主要技术负责人的，按签约合同价的</w:t>
      </w:r>
      <w:r>
        <w:rPr>
          <w:rFonts w:hint="eastAsia" w:ascii="宋体" w:hAnsi="宋体" w:cs="宋体"/>
          <w:color w:val="000000"/>
          <w:kern w:val="0"/>
          <w:szCs w:val="21"/>
          <w:highlight w:val="none"/>
          <w:u w:val="single"/>
        </w:rPr>
        <w:t>（0.5～2）%/人·次</w:t>
      </w:r>
      <w:r>
        <w:rPr>
          <w:rFonts w:hint="eastAsia" w:ascii="宋体" w:hAnsi="宋体" w:cs="宋体"/>
          <w:color w:val="000000"/>
          <w:kern w:val="0"/>
          <w:szCs w:val="21"/>
          <w:highlight w:val="none"/>
        </w:rPr>
        <w:t>支付违约金，每次不低于</w:t>
      </w:r>
      <w:r>
        <w:rPr>
          <w:rFonts w:hint="eastAsia" w:ascii="宋体" w:hAnsi="宋体" w:cs="宋体"/>
          <w:color w:val="000000"/>
          <w:kern w:val="0"/>
          <w:szCs w:val="21"/>
          <w:highlight w:val="none"/>
          <w:u w:val="single"/>
        </w:rPr>
        <w:t>1万</w:t>
      </w:r>
      <w:r>
        <w:rPr>
          <w:rFonts w:hint="eastAsia" w:ascii="宋体" w:hAnsi="宋体" w:cs="宋体"/>
          <w:color w:val="000000"/>
          <w:kern w:val="0"/>
          <w:szCs w:val="21"/>
          <w:highlight w:val="none"/>
        </w:rPr>
        <w:t>，累计不超过</w:t>
      </w:r>
      <w:r>
        <w:rPr>
          <w:rFonts w:hint="eastAsia" w:ascii="宋体" w:hAnsi="宋体" w:cs="宋体"/>
          <w:color w:val="000000"/>
          <w:kern w:val="0"/>
          <w:szCs w:val="21"/>
          <w:highlight w:val="none"/>
          <w:u w:val="single"/>
        </w:rPr>
        <w:t>5万</w:t>
      </w:r>
      <w:r>
        <w:rPr>
          <w:rFonts w:hint="eastAsia" w:ascii="宋体" w:hAnsi="宋体" w:cs="宋体"/>
          <w:color w:val="000000"/>
          <w:kern w:val="0"/>
          <w:szCs w:val="21"/>
          <w:highlight w:val="none"/>
        </w:rPr>
        <w:t>。</w:t>
      </w:r>
    </w:p>
    <w:p w14:paraId="761E555F">
      <w:pPr>
        <w:snapToGrid w:val="0"/>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kern w:val="0"/>
          <w:szCs w:val="21"/>
          <w:highlight w:val="none"/>
        </w:rPr>
        <w:t>3）主要施工管理人员违约承担方式和计算方法：对于第16.2.1项（13）目的五种情形，每发现一次，根据具体情节，按</w:t>
      </w:r>
      <w:r>
        <w:rPr>
          <w:rFonts w:hint="eastAsia" w:ascii="宋体" w:hAnsi="宋体" w:cs="宋体"/>
          <w:color w:val="000000"/>
          <w:kern w:val="0"/>
          <w:szCs w:val="21"/>
          <w:highlight w:val="none"/>
          <w:u w:val="single"/>
        </w:rPr>
        <w:t>500～5000元/天·次</w:t>
      </w:r>
      <w:r>
        <w:rPr>
          <w:rFonts w:hint="eastAsia" w:ascii="宋体" w:hAnsi="宋体" w:cs="宋体"/>
          <w:color w:val="000000"/>
          <w:kern w:val="0"/>
          <w:szCs w:val="21"/>
          <w:highlight w:val="none"/>
        </w:rPr>
        <w:t>计算违约金。</w:t>
      </w:r>
    </w:p>
    <w:p w14:paraId="0C9FC7FE">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（18）</w:t>
      </w:r>
      <w:r>
        <w:rPr>
          <w:rFonts w:hint="eastAsia" w:ascii="宋体" w:hAnsi="宋体" w:cs="宋体"/>
          <w:color w:val="000000"/>
          <w:kern w:val="0"/>
          <w:szCs w:val="21"/>
          <w:highlight w:val="none"/>
          <w:u w:val="single"/>
        </w:rPr>
        <w:t xml:space="preserve">     /   </w:t>
      </w:r>
      <w:r>
        <w:rPr>
          <w:rFonts w:hint="eastAsia" w:ascii="宋体" w:hAnsi="宋体" w:cs="宋体"/>
          <w:color w:val="000000"/>
          <w:kern w:val="0"/>
          <w:szCs w:val="21"/>
          <w:highlight w:val="none"/>
        </w:rPr>
        <w:t>。</w:t>
      </w:r>
      <w:bookmarkStart w:id="880" w:name="_Hlk524380347"/>
    </w:p>
    <w:p w14:paraId="25DBFE66">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szCs w:val="21"/>
          <w:highlight w:val="none"/>
        </w:rPr>
        <w:t>应当由承包人向发包人支付的违约金，发包人可直接提取届时有效的履约担保相应金额，不足部分由承包人支付；若发包人提取履约担保相应金额，则承包人应在提取后7日内补足或提交合同约定的履约担保的金额，否则按专用合同第</w:t>
      </w:r>
      <w:r>
        <w:rPr>
          <w:rFonts w:hint="eastAsia" w:ascii="宋体" w:hAnsi="宋体" w:cs="宋体"/>
          <w:color w:val="000000"/>
          <w:kern w:val="0"/>
          <w:szCs w:val="21"/>
          <w:highlight w:val="none"/>
        </w:rPr>
        <w:t>16.2.2项第（1）目承担违约责任</w:t>
      </w:r>
      <w:r>
        <w:rPr>
          <w:rFonts w:hint="eastAsia" w:ascii="宋体" w:hAnsi="宋体" w:cs="宋体"/>
          <w:color w:val="000000"/>
          <w:szCs w:val="21"/>
          <w:highlight w:val="none"/>
        </w:rPr>
        <w:t>，并从应付或到期应付给承包人的任何款项中或采用其他方法，扣除该违约金。</w:t>
      </w:r>
    </w:p>
    <w:p w14:paraId="004AA9FE">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szCs w:val="21"/>
          <w:highlight w:val="none"/>
        </w:rPr>
        <w:t>承包人必须及时纠正违约行为并采取积极措施，满足合同要求，自行承担与纠正违约行为有关的人身伤亡、罚款、索赔、损失补偿、诉讼费用及其他一切责任，工期不予顺延</w:t>
      </w:r>
      <w:r>
        <w:rPr>
          <w:rFonts w:hint="eastAsia" w:ascii="宋体" w:hAnsi="宋体" w:cs="宋体"/>
          <w:color w:val="000000"/>
          <w:kern w:val="0"/>
          <w:szCs w:val="21"/>
          <w:highlight w:val="none"/>
        </w:rPr>
        <w:t>，承担由此给</w:t>
      </w:r>
      <w:r>
        <w:rPr>
          <w:rFonts w:hint="eastAsia" w:ascii="宋体" w:hAnsi="宋体" w:cs="宋体"/>
          <w:color w:val="000000"/>
          <w:szCs w:val="21"/>
          <w:highlight w:val="none"/>
        </w:rPr>
        <w:t>发包人造成的经济损失。</w:t>
      </w:r>
    </w:p>
    <w:p w14:paraId="799064AC">
      <w:pPr>
        <w:snapToGrid w:val="0"/>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szCs w:val="21"/>
          <w:highlight w:val="none"/>
        </w:rPr>
        <w:t>承包人承担承包范围的工程质量、安全、环保责任，因承包人原因引起的质量、安全、环保等事故由承包人承担相应的法律后果。</w:t>
      </w:r>
    </w:p>
    <w:bookmarkEnd w:id="880"/>
    <w:p w14:paraId="40239A00">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16.2.3 因承包人违约解除合同</w:t>
      </w:r>
    </w:p>
    <w:p w14:paraId="553BF025">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因承包人违约并致使合同目的不能实现的，发包人有权解除合同：</w:t>
      </w:r>
    </w:p>
    <w:p w14:paraId="6D87DE60">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（1）未按合同约定延迟提供履约担保、质量保证金超过14天的；</w:t>
      </w:r>
    </w:p>
    <w:p w14:paraId="18D6DFA5">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（2）未按合同约定购买保险且经催告后超过56天的；</w:t>
      </w:r>
    </w:p>
    <w:p w14:paraId="572C956E">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（3）因承包人原因导致开工时间累计延误超过56天的；</w:t>
      </w:r>
    </w:p>
    <w:p w14:paraId="0DA7B5C2">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（4）因承包人原因导致工期延误超过90天的；</w:t>
      </w:r>
    </w:p>
    <w:p w14:paraId="63336533">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（5）发生第21.2款〔退出机制〕约定的情形的；</w:t>
      </w:r>
    </w:p>
    <w:p w14:paraId="34C39B20">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（6）监理人发出整改通知后，承包人在监理人限定的期限内仍不纠正违约行为的；</w:t>
      </w:r>
    </w:p>
    <w:p w14:paraId="3E939694">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（7）承包人进入清算或者严重资不抵债且无法履行合同的；</w:t>
      </w:r>
    </w:p>
    <w:p w14:paraId="2DC4174F">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（8）违反适用法律而被相关政府部门依法吊销营业执照、责令停业、清算或宣布破产、责令关闭的；</w:t>
      </w:r>
    </w:p>
    <w:p w14:paraId="72AD4200">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（9）承包人未履行合同项下的义务构成对合同的实质性违约，并且在收到发包人要求说明其违约并予以补救的通知后56天内仍未能补救该实质性违约的；</w:t>
      </w:r>
    </w:p>
    <w:p w14:paraId="643C807A">
      <w:pPr>
        <w:pStyle w:val="289"/>
        <w:spacing w:line="360" w:lineRule="auto"/>
        <w:jc w:val="left"/>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（10）</w:t>
      </w:r>
      <w:r>
        <w:rPr>
          <w:rFonts w:hint="eastAsia" w:ascii="宋体" w:hAnsi="宋体" w:cs="宋体"/>
          <w:color w:val="000000"/>
          <w:kern w:val="0"/>
          <w:sz w:val="21"/>
          <w:szCs w:val="21"/>
          <w:highlight w:val="none"/>
          <w:u w:val="single"/>
        </w:rPr>
        <w:t>合同约定的发包人有权解除合同的其他情形</w:t>
      </w:r>
      <w:r>
        <w:rPr>
          <w:rFonts w:hint="eastAsia" w:ascii="宋体" w:hAnsi="宋体" w:cs="宋体"/>
          <w:color w:val="000000"/>
          <w:kern w:val="0"/>
          <w:sz w:val="21"/>
          <w:szCs w:val="21"/>
          <w:highlight w:val="none"/>
        </w:rPr>
        <w:t>。</w:t>
      </w:r>
    </w:p>
    <w:p w14:paraId="29D73301">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16.2.4因承包人违约解除合同后的处理</w:t>
      </w:r>
    </w:p>
    <w:p w14:paraId="3B168833">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因承包人违约导致合同解除的，合同当事人应在合同解除后56天内完成估价、付款和清算，并按以下约定执行：</w:t>
      </w:r>
    </w:p>
    <w:p w14:paraId="03F8701F">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（1）合同解除后，按第14.2款结算审定方式确定承包人实际完成工作对应的合同价款，以及承包人已提供的材料、工程设备、施工设备和临时工程等的价值；</w:t>
      </w:r>
    </w:p>
    <w:p w14:paraId="607370B3">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（2）合同解除后，承包人应支付违约金；</w:t>
      </w:r>
    </w:p>
    <w:p w14:paraId="5D376C8B">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（3）合同解除后，赔偿因解除合同给发包人造成的损失；</w:t>
      </w:r>
    </w:p>
    <w:p w14:paraId="22731CE6">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（4）合同解除后，承包人应按照发包人要求和监理人的指示完成现场的清理和撤离。</w:t>
      </w:r>
    </w:p>
    <w:p w14:paraId="3026466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kern w:val="0"/>
          <w:szCs w:val="21"/>
          <w:highlight w:val="none"/>
        </w:rPr>
        <w:t>（5）</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2E9BAC7B">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因承包人违约导致解除合同的，发包人有权暂停对承包人的付款，查清各项付款和已扣款项。发包人和承包人未能就合同解除后的清算和款项支付达成一致的，按照第20条〔争议解决〕的约定处理。</w:t>
      </w:r>
    </w:p>
    <w:p w14:paraId="4AFDDFB2">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合同解除后，发包人可派员进驻施工现场，另行组织人员或委托其他承包人继续完成合同工程；因继续完成工程的需要，发包人有权使用承包人在施工现场的材料、设备、临时工程、承包人文件和由承包人或以其名义编制的其他文件；发包人继续使用承包人在施工现场的材料、设备、临时工程、承包人文件和由承包人或以其名义编制的其他文件的费用承担方式由双方协商确定；发包人继续使用的行为不免除或减轻承包人应承担的违约责任，也不影响发包人根据合同享有的索赔等权利。</w:t>
      </w:r>
    </w:p>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866"/>
    <w:bookmarkEnd w:id="867"/>
    <w:p w14:paraId="1F382F08">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881" w:name="_Toc11940"/>
      <w:bookmarkStart w:id="882" w:name="_Toc351203649"/>
      <w:bookmarkStart w:id="883" w:name="_Toc532375665"/>
      <w:bookmarkStart w:id="884" w:name="_Toc532377404"/>
      <w:bookmarkStart w:id="885" w:name="_Hlk528928440"/>
      <w:r>
        <w:rPr>
          <w:rFonts w:hint="eastAsia"/>
          <w:color w:val="000000"/>
          <w:kern w:val="2"/>
          <w:sz w:val="21"/>
          <w:szCs w:val="21"/>
          <w:highlight w:val="none"/>
        </w:rPr>
        <w:t>17. 不可抗力</w:t>
      </w:r>
      <w:bookmarkEnd w:id="881"/>
      <w:bookmarkEnd w:id="882"/>
      <w:bookmarkEnd w:id="883"/>
      <w:bookmarkEnd w:id="884"/>
    </w:p>
    <w:p w14:paraId="066BBF40">
      <w:pPr>
        <w:pStyle w:val="7"/>
        <w:spacing w:before="0" w:beforeAutospacing="0" w:after="0" w:afterAutospacing="0" w:line="360" w:lineRule="auto"/>
        <w:ind w:left="0" w:leftChars="0" w:firstLine="0" w:firstLineChars="0"/>
        <w:rPr>
          <w:rFonts w:hint="eastAsia"/>
          <w:color w:val="000000"/>
          <w:sz w:val="21"/>
          <w:szCs w:val="21"/>
          <w:highlight w:val="none"/>
        </w:rPr>
      </w:pPr>
      <w:bookmarkStart w:id="886" w:name="_Toc532377405"/>
      <w:bookmarkStart w:id="887" w:name="_Toc532375666"/>
      <w:r>
        <w:rPr>
          <w:rFonts w:hint="eastAsia"/>
          <w:color w:val="000000"/>
          <w:sz w:val="21"/>
          <w:szCs w:val="21"/>
          <w:highlight w:val="none"/>
        </w:rPr>
        <w:t>17.1 不可抗力的确认</w:t>
      </w:r>
      <w:bookmarkEnd w:id="886"/>
      <w:bookmarkEnd w:id="887"/>
    </w:p>
    <w:p w14:paraId="27E23311">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除通用合同条款约定的不可抗力事件之外，视为不可抗力的其他情形：</w:t>
      </w:r>
      <w:bookmarkStart w:id="888" w:name="_Hlk524379638"/>
    </w:p>
    <w:p w14:paraId="2F727F4A">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（1）洪水、火山爆发、山崩、山体滑坡、泥石流、龙卷风、隧道内不可预测的突发性地质灾害等自然灾害；</w:t>
      </w:r>
    </w:p>
    <w:p w14:paraId="2F38CA1B">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（2）骚乱、戒严、封锁、禁运、恐怖行为、等社会行为，但承包人或其分包人派遣与雇佣的人员由于合同工程施工原因引起的除外；</w:t>
      </w:r>
    </w:p>
    <w:p w14:paraId="61E4456A">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（3）不能合理预见的重大交通阻滞、停运、交通事故，非双方责任引起的火灾、爆炸、船舶撞击等情形；</w:t>
      </w:r>
    </w:p>
    <w:p w14:paraId="70C4CC0C">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（4）化学或放射性污染或核辐射；</w:t>
      </w:r>
    </w:p>
    <w:p w14:paraId="529AA62C">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（5）环保治理等政府行为导致项目停工的。</w:t>
      </w:r>
      <w:bookmarkEnd w:id="888"/>
    </w:p>
    <w:p w14:paraId="0EBFBE97">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4FC36E90">
      <w:pPr>
        <w:pStyle w:val="7"/>
        <w:spacing w:before="0" w:beforeAutospacing="0" w:after="0" w:afterAutospacing="0" w:line="360" w:lineRule="auto"/>
        <w:ind w:left="0" w:leftChars="0" w:firstLine="0" w:firstLineChars="0"/>
        <w:rPr>
          <w:rFonts w:hint="eastAsia"/>
          <w:color w:val="000000"/>
          <w:sz w:val="21"/>
          <w:szCs w:val="21"/>
          <w:highlight w:val="none"/>
        </w:rPr>
      </w:pPr>
      <w:bookmarkStart w:id="889" w:name="_Toc351203610"/>
      <w:bookmarkStart w:id="890" w:name="_Toc532377406"/>
      <w:bookmarkStart w:id="891" w:name="_Toc532375667"/>
      <w:bookmarkStart w:id="892" w:name="_Toc337558826"/>
      <w:bookmarkStart w:id="893" w:name="_Toc296346620"/>
      <w:bookmarkStart w:id="894" w:name="_Toc296503119"/>
      <w:r>
        <w:rPr>
          <w:rFonts w:hint="eastAsia"/>
          <w:color w:val="000000"/>
          <w:sz w:val="21"/>
          <w:szCs w:val="21"/>
          <w:highlight w:val="none"/>
        </w:rPr>
        <w:t>17.3 不可抗力后果的承担</w:t>
      </w:r>
      <w:bookmarkEnd w:id="889"/>
      <w:bookmarkEnd w:id="890"/>
      <w:bookmarkEnd w:id="891"/>
    </w:p>
    <w:bookmarkEnd w:id="892"/>
    <w:bookmarkEnd w:id="893"/>
    <w:bookmarkEnd w:id="894"/>
    <w:p w14:paraId="22E8C1EE">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17.3.1 不可抗力引起的后果及造成的损失由合同当事人按照法律规定及合同约定各自承担。不可抗力发生前已完成的工程应当按照合同约定进行计量支付。</w:t>
      </w:r>
    </w:p>
    <w:p w14:paraId="047C14B3">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17.3.2 不可抗力导致的人员伤亡、财产损失、费用增加和（或）工期延误等后果，由合同当事人按以下原则承担：</w:t>
      </w:r>
    </w:p>
    <w:p w14:paraId="4486FF94">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（1）永久工程、已运至施工现场的施工材料和工程设备的损坏，以及因工程损坏造成的第三方人员伤亡和财产损失由发包人承担；</w:t>
      </w:r>
    </w:p>
    <w:p w14:paraId="780540FF">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（2）承包人施工设备的损坏由承包人承担；</w:t>
      </w:r>
    </w:p>
    <w:p w14:paraId="733DEADE">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（3）发包人和承包人承担各自人员伤亡和财产的损失；</w:t>
      </w:r>
    </w:p>
    <w:p w14:paraId="6CD2D00D">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（4）因不可抗力影响承包人履行合同约定的义务，已经引起或将引起工期延误的，应当顺延工期，由此导致承包人停工的费用损失由发包人和承包人合理共担；</w:t>
      </w:r>
    </w:p>
    <w:p w14:paraId="306A96E1">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（5）因不可抗力引起或将引起工期延误，发包人要求赶工的，由此增加的赶工费用由发包人承担；</w:t>
      </w:r>
    </w:p>
    <w:p w14:paraId="250766D4">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（6）承包人在停工期间按照发包人要求照管、清理和修复工程的费用由发包人承担；</w:t>
      </w:r>
    </w:p>
    <w:p w14:paraId="7AFC8069">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（7）不可抗力事件发生后，合同当事人均应采取措施尽量避免和减少损失的扩大，任何一方当事人没有采取有效措施导致损失扩大的，应对扩大的损失承担责任。</w:t>
      </w:r>
    </w:p>
    <w:p w14:paraId="438C447E">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610F7EF8">
      <w:pPr>
        <w:pStyle w:val="7"/>
        <w:spacing w:before="0" w:beforeAutospacing="0" w:after="0" w:afterAutospacing="0" w:line="360" w:lineRule="auto"/>
        <w:ind w:left="0" w:leftChars="0" w:firstLine="0" w:firstLineChars="0"/>
        <w:rPr>
          <w:rFonts w:hint="eastAsia"/>
          <w:color w:val="000000"/>
          <w:sz w:val="21"/>
          <w:szCs w:val="21"/>
          <w:highlight w:val="none"/>
        </w:rPr>
      </w:pPr>
      <w:bookmarkStart w:id="895" w:name="_Toc532375668"/>
      <w:bookmarkStart w:id="896" w:name="_Toc532377407"/>
      <w:r>
        <w:rPr>
          <w:rFonts w:hint="eastAsia"/>
          <w:color w:val="000000"/>
          <w:sz w:val="21"/>
          <w:szCs w:val="21"/>
          <w:highlight w:val="none"/>
        </w:rPr>
        <w:t>17.4 因不可抗力解除合同</w:t>
      </w:r>
      <w:bookmarkEnd w:id="895"/>
      <w:bookmarkEnd w:id="896"/>
    </w:p>
    <w:p w14:paraId="0A0C2F12">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合同解除后，发包人应在商定或确定发包人应支付款项后</w:t>
      </w:r>
      <w:r>
        <w:rPr>
          <w:rFonts w:hint="eastAsia" w:ascii="宋体" w:hAnsi="宋体" w:cs="宋体"/>
          <w:color w:val="000000"/>
          <w:szCs w:val="21"/>
          <w:highlight w:val="none"/>
          <w:u w:val="single"/>
        </w:rPr>
        <w:t>28</w:t>
      </w:r>
      <w:r>
        <w:rPr>
          <w:rFonts w:hint="eastAsia" w:ascii="宋体" w:hAnsi="宋体" w:cs="宋体"/>
          <w:color w:val="000000"/>
          <w:szCs w:val="21"/>
          <w:highlight w:val="none"/>
        </w:rPr>
        <w:t>天内完成款项的支付。</w:t>
      </w:r>
    </w:p>
    <w:p w14:paraId="65AE9580">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897" w:name="_Toc351203650"/>
      <w:bookmarkStart w:id="898" w:name="_Toc8051"/>
      <w:bookmarkStart w:id="899" w:name="_Toc532375669"/>
      <w:bookmarkStart w:id="900" w:name="_Toc532377408"/>
      <w:r>
        <w:rPr>
          <w:rFonts w:hint="eastAsia"/>
          <w:color w:val="000000"/>
          <w:kern w:val="2"/>
          <w:sz w:val="21"/>
          <w:szCs w:val="21"/>
          <w:highlight w:val="none"/>
        </w:rPr>
        <w:t>18. 保险</w:t>
      </w:r>
      <w:bookmarkEnd w:id="897"/>
      <w:bookmarkEnd w:id="898"/>
      <w:bookmarkEnd w:id="899"/>
      <w:bookmarkEnd w:id="900"/>
    </w:p>
    <w:p w14:paraId="2AF20B18">
      <w:pPr>
        <w:pStyle w:val="7"/>
        <w:spacing w:before="0" w:beforeAutospacing="0" w:after="0" w:afterAutospacing="0" w:line="360" w:lineRule="auto"/>
        <w:ind w:left="0" w:leftChars="0" w:firstLine="0" w:firstLineChars="0"/>
        <w:rPr>
          <w:rFonts w:hint="eastAsia"/>
          <w:color w:val="000000"/>
          <w:sz w:val="21"/>
          <w:szCs w:val="21"/>
          <w:highlight w:val="none"/>
        </w:rPr>
      </w:pPr>
      <w:bookmarkStart w:id="901" w:name="_Toc532377409"/>
      <w:bookmarkStart w:id="902" w:name="_Toc532375670"/>
      <w:r>
        <w:rPr>
          <w:rFonts w:hint="eastAsia"/>
          <w:color w:val="000000"/>
          <w:sz w:val="21"/>
          <w:szCs w:val="21"/>
          <w:highlight w:val="none"/>
        </w:rPr>
        <w:t>18.1 工程保险</w:t>
      </w:r>
      <w:bookmarkEnd w:id="901"/>
      <w:bookmarkEnd w:id="902"/>
    </w:p>
    <w:p w14:paraId="42C7E2E9">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关于工程保险的特别约定：发包人应投保</w:t>
      </w:r>
      <w:r>
        <w:rPr>
          <w:rFonts w:hint="eastAsia" w:ascii="宋体" w:hAnsi="宋体" w:cs="宋体"/>
          <w:color w:val="000000"/>
          <w:szCs w:val="21"/>
          <w:highlight w:val="none"/>
          <w:u w:val="single"/>
        </w:rPr>
        <w:t>建筑工程一切险或安装工程一切险</w:t>
      </w:r>
      <w:r>
        <w:rPr>
          <w:rFonts w:hint="eastAsia" w:ascii="宋体" w:hAnsi="宋体" w:cs="宋体"/>
          <w:color w:val="000000"/>
          <w:szCs w:val="21"/>
          <w:highlight w:val="none"/>
        </w:rPr>
        <w:t>；发包人委托承包人投保的，因投保产生的保险费和其他相关费用由发包人承担。</w:t>
      </w:r>
    </w:p>
    <w:p w14:paraId="64070C33">
      <w:pPr>
        <w:pStyle w:val="7"/>
        <w:spacing w:before="0" w:beforeAutospacing="0" w:after="0" w:afterAutospacing="0" w:line="360" w:lineRule="auto"/>
        <w:ind w:left="0" w:leftChars="0" w:firstLine="0" w:firstLineChars="0"/>
        <w:rPr>
          <w:rFonts w:hint="eastAsia"/>
          <w:color w:val="000000"/>
          <w:sz w:val="21"/>
          <w:szCs w:val="21"/>
          <w:highlight w:val="none"/>
        </w:rPr>
      </w:pPr>
      <w:bookmarkStart w:id="903" w:name="_Toc532377410"/>
      <w:bookmarkStart w:id="904" w:name="_Toc532375671"/>
      <w:r>
        <w:rPr>
          <w:rFonts w:hint="eastAsia"/>
          <w:color w:val="000000"/>
          <w:sz w:val="21"/>
          <w:szCs w:val="21"/>
          <w:highlight w:val="none"/>
        </w:rPr>
        <w:t>18.3 其他保险</w:t>
      </w:r>
      <w:bookmarkEnd w:id="903"/>
      <w:bookmarkEnd w:id="904"/>
    </w:p>
    <w:p w14:paraId="7CBC6BE2">
      <w:pPr>
        <w:spacing w:line="360" w:lineRule="auto"/>
        <w:ind w:right="140" w:rightChars="50" w:firstLine="560" w:firstLineChars="200"/>
        <w:jc w:val="left"/>
        <w:rPr>
          <w:rFonts w:ascii="宋体" w:hAnsi="宋体"/>
          <w:color w:val="000000"/>
          <w:szCs w:val="21"/>
          <w:highlight w:val="none"/>
        </w:rPr>
      </w:pPr>
      <w:bookmarkStart w:id="905" w:name="_Toc532377411"/>
      <w:bookmarkStart w:id="906" w:name="_Toc532375672"/>
      <w:r>
        <w:rPr>
          <w:rFonts w:hint="eastAsia" w:ascii="宋体" w:hAnsi="宋体"/>
          <w:color w:val="000000"/>
          <w:szCs w:val="21"/>
          <w:highlight w:val="none"/>
        </w:rPr>
        <w:t>关于其他保险的约定：</w:t>
      </w:r>
      <w:r>
        <w:rPr>
          <w:rFonts w:hint="eastAsia" w:ascii="宋体" w:hAnsi="宋体"/>
          <w:color w:val="000000"/>
          <w:szCs w:val="21"/>
          <w:highlight w:val="none"/>
          <w:u w:val="single"/>
        </w:rPr>
        <w:t xml:space="preserve">  </w:t>
      </w:r>
      <w:r>
        <w:rPr>
          <w:rFonts w:hint="eastAsia" w:ascii="宋体" w:hAnsi="宋体" w:cs="宋体"/>
          <w:color w:val="000000"/>
          <w:kern w:val="0"/>
          <w:szCs w:val="21"/>
          <w:highlight w:val="none"/>
          <w:u w:val="single"/>
        </w:rPr>
        <w:t>按相关规定由承包人自行向保险公司投保</w:t>
      </w:r>
      <w:r>
        <w:rPr>
          <w:rFonts w:hint="eastAsia" w:ascii="宋体" w:hAnsi="宋体"/>
          <w:color w:val="000000"/>
          <w:szCs w:val="21"/>
          <w:highlight w:val="none"/>
          <w:u w:val="single"/>
        </w:rPr>
        <w:t xml:space="preserve">  </w:t>
      </w:r>
      <w:r>
        <w:rPr>
          <w:rFonts w:hint="eastAsia" w:ascii="宋体" w:hAnsi="宋体"/>
          <w:color w:val="000000"/>
          <w:szCs w:val="21"/>
          <w:highlight w:val="none"/>
        </w:rPr>
        <w:t>。</w:t>
      </w:r>
    </w:p>
    <w:p w14:paraId="07D8AEA6">
      <w:pPr>
        <w:spacing w:line="360" w:lineRule="auto"/>
        <w:ind w:right="140" w:rightChars="50" w:firstLine="560" w:firstLineChars="200"/>
        <w:jc w:val="left"/>
        <w:rPr>
          <w:rFonts w:ascii="宋体" w:hAnsi="宋体"/>
          <w:color w:val="000000"/>
          <w:szCs w:val="21"/>
          <w:highlight w:val="none"/>
        </w:rPr>
      </w:pPr>
      <w:r>
        <w:rPr>
          <w:rFonts w:hint="eastAsia" w:ascii="宋体" w:hAnsi="宋体"/>
          <w:color w:val="000000"/>
          <w:szCs w:val="21"/>
          <w:highlight w:val="none"/>
        </w:rPr>
        <w:t>承包人是否应为其施工设备等办理财产保险：</w:t>
      </w:r>
      <w:r>
        <w:rPr>
          <w:rFonts w:hint="eastAsia" w:ascii="宋体" w:hAnsi="宋体"/>
          <w:color w:val="000000"/>
          <w:szCs w:val="21"/>
          <w:highlight w:val="none"/>
          <w:u w:val="single"/>
        </w:rPr>
        <w:t xml:space="preserve">  </w:t>
      </w:r>
      <w:r>
        <w:rPr>
          <w:rFonts w:hint="eastAsia" w:ascii="宋体" w:hAnsi="宋体" w:cs="宋体"/>
          <w:color w:val="000000"/>
          <w:kern w:val="0"/>
          <w:szCs w:val="21"/>
          <w:highlight w:val="none"/>
          <w:u w:val="single"/>
        </w:rPr>
        <w:t>按相关规定由承包人自行向保险公司投保</w:t>
      </w:r>
      <w:r>
        <w:rPr>
          <w:rFonts w:hint="eastAsia" w:ascii="宋体" w:hAnsi="宋体"/>
          <w:color w:val="000000"/>
          <w:szCs w:val="21"/>
          <w:highlight w:val="none"/>
          <w:u w:val="single"/>
        </w:rPr>
        <w:t xml:space="preserve">  </w:t>
      </w:r>
      <w:r>
        <w:rPr>
          <w:rFonts w:hint="eastAsia" w:ascii="宋体" w:hAnsi="宋体"/>
          <w:color w:val="000000"/>
          <w:szCs w:val="21"/>
          <w:highlight w:val="none"/>
        </w:rPr>
        <w:t>。</w:t>
      </w:r>
    </w:p>
    <w:p w14:paraId="2BCEC3C4">
      <w:pPr>
        <w:spacing w:line="360" w:lineRule="auto"/>
        <w:ind w:right="140" w:rightChars="50" w:firstLine="560" w:firstLineChars="200"/>
        <w:jc w:val="left"/>
        <w:rPr>
          <w:rFonts w:ascii="宋体" w:hAnsi="宋体"/>
          <w:color w:val="000000"/>
          <w:szCs w:val="21"/>
          <w:highlight w:val="none"/>
        </w:rPr>
      </w:pPr>
      <w:r>
        <w:rPr>
          <w:rFonts w:hint="eastAsia" w:ascii="宋体" w:hAnsi="宋体"/>
          <w:color w:val="000000"/>
          <w:szCs w:val="21"/>
          <w:highlight w:val="none"/>
        </w:rPr>
        <w:t>安全生产责任险：</w:t>
      </w:r>
      <w:r>
        <w:rPr>
          <w:rFonts w:hint="eastAsia" w:ascii="宋体" w:hAnsi="宋体"/>
          <w:color w:val="000000"/>
          <w:szCs w:val="21"/>
          <w:highlight w:val="none"/>
          <w:u w:val="single"/>
        </w:rPr>
        <w:t>承包人应按《重庆市人民政府办公厅关于在高危行业领域强制推行安全生产责任保险的实施意见》（渝府办法〔2017〕182号）的要求办理安全生产责任保险</w:t>
      </w:r>
      <w:r>
        <w:rPr>
          <w:rFonts w:hint="eastAsia" w:ascii="宋体" w:hAnsi="宋体"/>
          <w:color w:val="000000"/>
          <w:szCs w:val="21"/>
          <w:highlight w:val="none"/>
        </w:rPr>
        <w:t>。</w:t>
      </w:r>
    </w:p>
    <w:p w14:paraId="5286DB4C">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18.7 通知义务</w:t>
      </w:r>
      <w:bookmarkEnd w:id="905"/>
      <w:bookmarkEnd w:id="906"/>
    </w:p>
    <w:p w14:paraId="51143222">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关于变更保险合同时的通知义务的约定：</w:t>
      </w:r>
      <w:r>
        <w:rPr>
          <w:rFonts w:hint="eastAsia" w:ascii="宋体" w:hAnsi="宋体" w:cs="宋体"/>
          <w:color w:val="000000"/>
          <w:szCs w:val="21"/>
          <w:highlight w:val="none"/>
          <w:u w:val="single"/>
        </w:rPr>
        <w:t>按通用合同条款执行</w:t>
      </w:r>
      <w:r>
        <w:rPr>
          <w:rFonts w:hint="eastAsia" w:ascii="宋体" w:hAnsi="宋体" w:cs="宋体"/>
          <w:color w:val="000000"/>
          <w:szCs w:val="21"/>
          <w:highlight w:val="none"/>
        </w:rPr>
        <w:t>。</w:t>
      </w:r>
    </w:p>
    <w:p w14:paraId="56B3914F">
      <w:pPr>
        <w:pStyle w:val="7"/>
        <w:spacing w:before="0" w:beforeAutospacing="0" w:after="0" w:afterAutospacing="0" w:line="360" w:lineRule="auto"/>
        <w:ind w:left="0" w:leftChars="0" w:firstLine="0" w:firstLineChars="0"/>
        <w:rPr>
          <w:rFonts w:hint="eastAsia"/>
          <w:color w:val="000000"/>
          <w:sz w:val="21"/>
          <w:szCs w:val="21"/>
          <w:highlight w:val="none"/>
        </w:rPr>
      </w:pPr>
      <w:bookmarkStart w:id="907" w:name="_Toc532377412"/>
      <w:bookmarkStart w:id="908" w:name="_Toc532375673"/>
      <w:r>
        <w:rPr>
          <w:rFonts w:hint="eastAsia"/>
          <w:color w:val="000000"/>
          <w:sz w:val="21"/>
          <w:szCs w:val="21"/>
          <w:highlight w:val="none"/>
        </w:rPr>
        <w:t>18.8 其他</w:t>
      </w:r>
      <w:bookmarkEnd w:id="907"/>
      <w:bookmarkEnd w:id="908"/>
    </w:p>
    <w:p w14:paraId="48544905">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18.8.1 工程开工日前，承包人向发包人提交各项生效的保险证据和保险单副本。未按本项约定提交的，每延后1天，承包人按500元/天支付违约金。</w:t>
      </w:r>
    </w:p>
    <w:p w14:paraId="5E4F67DA">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18.8.2 承包人保险赔偿金不足以补偿发包人损失时，</w:t>
      </w:r>
      <w:bookmarkStart w:id="909" w:name="_Hlk524378346"/>
      <w:r>
        <w:rPr>
          <w:rFonts w:hint="eastAsia" w:ascii="宋体" w:hAnsi="宋体" w:cs="宋体"/>
          <w:color w:val="000000"/>
          <w:szCs w:val="21"/>
          <w:highlight w:val="none"/>
        </w:rPr>
        <w:t>差额由承包人负责补足</w:t>
      </w:r>
      <w:bookmarkEnd w:id="909"/>
      <w:r>
        <w:rPr>
          <w:rFonts w:hint="eastAsia" w:ascii="宋体" w:hAnsi="宋体" w:cs="宋体"/>
          <w:color w:val="000000"/>
          <w:szCs w:val="21"/>
          <w:highlight w:val="none"/>
        </w:rPr>
        <w:t>。</w:t>
      </w:r>
    </w:p>
    <w:p w14:paraId="6D14ACEB">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910" w:name="_Toc532377413"/>
      <w:bookmarkStart w:id="911" w:name="_Toc532375674"/>
      <w:bookmarkStart w:id="912" w:name="_Toc32612"/>
      <w:bookmarkStart w:id="913" w:name="_Toc351203620"/>
      <w:bookmarkStart w:id="914" w:name="_Toc296346641"/>
      <w:bookmarkStart w:id="915" w:name="_Toc337558835"/>
      <w:bookmarkStart w:id="916" w:name="_Toc296503140"/>
      <w:r>
        <w:rPr>
          <w:rFonts w:hint="eastAsia"/>
          <w:color w:val="000000"/>
          <w:kern w:val="2"/>
          <w:sz w:val="21"/>
          <w:szCs w:val="21"/>
          <w:highlight w:val="none"/>
        </w:rPr>
        <w:t>19. 索赔</w:t>
      </w:r>
      <w:bookmarkEnd w:id="910"/>
      <w:bookmarkEnd w:id="911"/>
      <w:bookmarkEnd w:id="912"/>
      <w:bookmarkEnd w:id="913"/>
    </w:p>
    <w:bookmarkEnd w:id="914"/>
    <w:bookmarkEnd w:id="915"/>
    <w:bookmarkEnd w:id="916"/>
    <w:p w14:paraId="0AB0CC60">
      <w:pPr>
        <w:pStyle w:val="7"/>
        <w:spacing w:before="0" w:beforeAutospacing="0" w:after="0" w:afterAutospacing="0" w:line="360" w:lineRule="auto"/>
        <w:ind w:left="0" w:leftChars="0" w:firstLine="0" w:firstLineChars="0"/>
        <w:rPr>
          <w:rFonts w:hint="eastAsia"/>
          <w:color w:val="000000"/>
          <w:sz w:val="21"/>
          <w:szCs w:val="21"/>
          <w:highlight w:val="none"/>
        </w:rPr>
      </w:pPr>
      <w:bookmarkStart w:id="917" w:name="_Toc532375675"/>
      <w:bookmarkStart w:id="918" w:name="_Toc532377414"/>
      <w:bookmarkStart w:id="919" w:name="_Toc296346642"/>
      <w:bookmarkStart w:id="920" w:name="_Toc296503141"/>
      <w:bookmarkStart w:id="921" w:name="_Toc337558836"/>
      <w:bookmarkStart w:id="922" w:name="_Toc351203621"/>
      <w:r>
        <w:rPr>
          <w:rFonts w:hint="eastAsia"/>
          <w:color w:val="000000"/>
          <w:sz w:val="21"/>
          <w:szCs w:val="21"/>
          <w:highlight w:val="none"/>
        </w:rPr>
        <w:t>19.1 承包人的索赔</w:t>
      </w:r>
      <w:bookmarkEnd w:id="917"/>
      <w:bookmarkEnd w:id="918"/>
    </w:p>
    <w:p w14:paraId="61B25229">
      <w:pPr>
        <w:autoSpaceDE w:val="0"/>
        <w:autoSpaceDN w:val="0"/>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根据合同约定，承包人认为有权得到追加付款和（或）延长工期的，应按以下程序向发包人提出索赔：</w:t>
      </w:r>
    </w:p>
    <w:p w14:paraId="5A45E170">
      <w:pPr>
        <w:autoSpaceDE w:val="0"/>
        <w:autoSpaceDN w:val="0"/>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（1）承包人应在索赔事件发生后28天内，向监理人递交索赔意向通知书，并说明发生索赔事件的事由；承包人未在前述28天内发出索赔意向通知书的，丧失要求追加付款和（或）延长工期的权利；</w:t>
      </w:r>
    </w:p>
    <w:p w14:paraId="63CF5EEA">
      <w:pPr>
        <w:autoSpaceDE w:val="0"/>
        <w:autoSpaceDN w:val="0"/>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（2）承包人应在发出索赔意向通知书后28天内，向监理人正式递交索赔报告；索赔报告应详细说明索赔理由以及要求追加的付款金额和（或）延长的工期，并附必要的记录和证明材料；</w:t>
      </w:r>
    </w:p>
    <w:p w14:paraId="1576C767">
      <w:pPr>
        <w:autoSpaceDE w:val="0"/>
        <w:autoSpaceDN w:val="0"/>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（3）索赔事件具有持续影响的，承包人应按监理人要求的合理时间间隔继续递交延续索赔通知，说明持续影响的实际情况和记录，列出累计的追加付款金额和（或）工期延长天数；</w:t>
      </w:r>
    </w:p>
    <w:p w14:paraId="3C94975A">
      <w:pPr>
        <w:autoSpaceDE w:val="0"/>
        <w:autoSpaceDN w:val="0"/>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（4）在索赔事件影响结束后28天内，承包人应向监理人递交最终索赔报告，说明最终要求索赔的追加付款金额和（或）延长的工期，并附必要的记录和证明材料。</w:t>
      </w:r>
    </w:p>
    <w:p w14:paraId="1CA22772">
      <w:pPr>
        <w:autoSpaceDE w:val="0"/>
        <w:autoSpaceDN w:val="0"/>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79A8DD12">
      <w:pPr>
        <w:pStyle w:val="7"/>
        <w:spacing w:before="0" w:beforeAutospacing="0" w:after="0" w:afterAutospacing="0" w:line="360" w:lineRule="auto"/>
        <w:ind w:left="0" w:leftChars="0" w:firstLine="0" w:firstLineChars="0"/>
        <w:rPr>
          <w:rFonts w:hint="eastAsia"/>
          <w:color w:val="000000"/>
          <w:sz w:val="21"/>
          <w:szCs w:val="21"/>
          <w:highlight w:val="none"/>
        </w:rPr>
      </w:pPr>
      <w:bookmarkStart w:id="923" w:name="_Toc532375676"/>
      <w:bookmarkStart w:id="924" w:name="_Toc532377415"/>
      <w:r>
        <w:rPr>
          <w:rFonts w:hint="eastAsia"/>
          <w:color w:val="000000"/>
          <w:sz w:val="21"/>
          <w:szCs w:val="21"/>
          <w:highlight w:val="none"/>
        </w:rPr>
        <w:t>19.2 对承包人索赔的处理</w:t>
      </w:r>
      <w:bookmarkEnd w:id="923"/>
      <w:bookmarkEnd w:id="924"/>
    </w:p>
    <w:p w14:paraId="3BAEC795">
      <w:pPr>
        <w:autoSpaceDE w:val="0"/>
        <w:autoSpaceDN w:val="0"/>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对承包人索赔的处理如下：</w:t>
      </w:r>
    </w:p>
    <w:p w14:paraId="013402B5">
      <w:pPr>
        <w:autoSpaceDE w:val="0"/>
        <w:autoSpaceDN w:val="0"/>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（1）监理人应在收到索赔报告后14天内完成审查并报送发包人。监理人对索赔报告存在异议的，有权要求承包人提交全部原始记录副本</w:t>
      </w:r>
      <w:r>
        <w:rPr>
          <w:rFonts w:hint="eastAsia" w:ascii="宋体" w:hAnsi="宋体" w:cs="宋体"/>
          <w:color w:val="000000"/>
          <w:szCs w:val="21"/>
          <w:highlight w:val="none"/>
        </w:rPr>
        <w:t>；</w:t>
      </w:r>
    </w:p>
    <w:p w14:paraId="547E382B">
      <w:pPr>
        <w:autoSpaceDE w:val="0"/>
        <w:autoSpaceDN w:val="0"/>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2）发包人应在监理人收到索赔报告或有关索赔的进一步证明材料后的28天内，由监理人向承包人出具经发包人签认的索赔处理结果。发包人逾期未答复的，承包人应以书面形式催告发包人，经承包人三次（每次间隔不少于3天）书面催告后，发包人仍未按期限答复的，则视为认可承包人的索赔要求</w:t>
      </w:r>
      <w:r>
        <w:rPr>
          <w:rFonts w:hint="eastAsia" w:ascii="宋体" w:hAnsi="宋体" w:cs="宋体"/>
          <w:color w:val="000000"/>
          <w:szCs w:val="21"/>
          <w:highlight w:val="none"/>
        </w:rPr>
        <w:t>；</w:t>
      </w:r>
    </w:p>
    <w:p w14:paraId="556A4059">
      <w:pPr>
        <w:autoSpaceDE w:val="0"/>
        <w:autoSpaceDN w:val="0"/>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（3）承包人接受索赔处理结果的，索赔款项在当期进度款中进行支付；承包人不接受索赔处理结果的，按照第20条〔争议解决〕约定处理</w:t>
      </w:r>
      <w:r>
        <w:rPr>
          <w:rFonts w:hint="eastAsia" w:ascii="宋体" w:hAnsi="宋体" w:cs="宋体"/>
          <w:color w:val="000000"/>
          <w:szCs w:val="21"/>
          <w:highlight w:val="none"/>
        </w:rPr>
        <w:t>；</w:t>
      </w:r>
    </w:p>
    <w:p w14:paraId="70F0145B">
      <w:pPr>
        <w:autoSpaceDE w:val="0"/>
        <w:autoSpaceDN w:val="0"/>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u w:val="single"/>
        </w:rPr>
        <w:t>（4）工期延误的关键线路按照经监理人、发包人审批同意的施工组织设计计算</w:t>
      </w:r>
      <w:r>
        <w:rPr>
          <w:rFonts w:hint="eastAsia" w:ascii="宋体" w:hAnsi="宋体" w:cs="宋体"/>
          <w:color w:val="000000"/>
          <w:szCs w:val="21"/>
          <w:highlight w:val="none"/>
        </w:rPr>
        <w:t>。</w:t>
      </w:r>
    </w:p>
    <w:p w14:paraId="59B1AB81">
      <w:pPr>
        <w:pStyle w:val="7"/>
        <w:spacing w:before="0" w:beforeAutospacing="0" w:after="0" w:afterAutospacing="0" w:line="360" w:lineRule="auto"/>
        <w:ind w:left="0" w:leftChars="0" w:firstLine="0" w:firstLineChars="0"/>
        <w:rPr>
          <w:rFonts w:hint="eastAsia"/>
          <w:color w:val="000000"/>
          <w:sz w:val="21"/>
          <w:szCs w:val="21"/>
          <w:highlight w:val="none"/>
        </w:rPr>
      </w:pPr>
      <w:bookmarkStart w:id="925" w:name="_Toc532375677"/>
      <w:bookmarkStart w:id="926" w:name="_Toc532377416"/>
      <w:r>
        <w:rPr>
          <w:rFonts w:hint="eastAsia"/>
          <w:color w:val="000000"/>
          <w:sz w:val="21"/>
          <w:szCs w:val="21"/>
          <w:highlight w:val="none"/>
        </w:rPr>
        <w:t>19.3发包人的索赔</w:t>
      </w:r>
      <w:bookmarkEnd w:id="925"/>
      <w:bookmarkEnd w:id="926"/>
    </w:p>
    <w:p w14:paraId="633D6B1D">
      <w:pPr>
        <w:autoSpaceDE w:val="0"/>
        <w:autoSpaceDN w:val="0"/>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根据合同约定，发包人认为有权得到赔付金额和（或）延长缺陷责任期的，监理人应向承包人发出通知并附有详细的证明。</w:t>
      </w:r>
    </w:p>
    <w:p w14:paraId="52E0C74A">
      <w:pPr>
        <w:autoSpaceDE w:val="0"/>
        <w:autoSpaceDN w:val="0"/>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发包人应在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索赔事件具有持续影响的，发包人应在索赔事件影响结束后28天内，</w:t>
      </w:r>
      <w:bookmarkStart w:id="927" w:name="_Hlk528652769"/>
      <w:r>
        <w:rPr>
          <w:rFonts w:hint="eastAsia" w:ascii="宋体" w:hAnsi="宋体" w:cs="宋体"/>
          <w:color w:val="000000"/>
          <w:szCs w:val="21"/>
          <w:highlight w:val="none"/>
        </w:rPr>
        <w:t>通过监理人向承包人正式递交最终索赔报告</w:t>
      </w:r>
      <w:bookmarkEnd w:id="927"/>
      <w:r>
        <w:rPr>
          <w:rFonts w:hint="eastAsia" w:ascii="宋体" w:hAnsi="宋体" w:cs="宋体"/>
          <w:color w:val="000000"/>
          <w:szCs w:val="21"/>
          <w:highlight w:val="none"/>
        </w:rPr>
        <w:t>。</w:t>
      </w:r>
    </w:p>
    <w:p w14:paraId="7F83E7EF">
      <w:pPr>
        <w:pStyle w:val="7"/>
        <w:spacing w:before="0" w:beforeAutospacing="0" w:after="0" w:afterAutospacing="0" w:line="360" w:lineRule="auto"/>
        <w:ind w:left="0" w:leftChars="0" w:firstLine="0" w:firstLineChars="0"/>
        <w:rPr>
          <w:rFonts w:hint="eastAsia"/>
          <w:color w:val="000000"/>
          <w:sz w:val="21"/>
          <w:szCs w:val="21"/>
          <w:highlight w:val="none"/>
        </w:rPr>
      </w:pPr>
      <w:bookmarkStart w:id="928" w:name="_Toc532375678"/>
      <w:bookmarkStart w:id="929" w:name="_Toc532377417"/>
      <w:r>
        <w:rPr>
          <w:rFonts w:hint="eastAsia"/>
          <w:color w:val="000000"/>
          <w:sz w:val="21"/>
          <w:szCs w:val="21"/>
          <w:highlight w:val="none"/>
        </w:rPr>
        <w:t>19.4 对发包人索赔的处理</w:t>
      </w:r>
      <w:bookmarkEnd w:id="928"/>
      <w:bookmarkEnd w:id="929"/>
    </w:p>
    <w:p w14:paraId="3F6B7DFF">
      <w:pPr>
        <w:autoSpaceDE w:val="0"/>
        <w:autoSpaceDN w:val="0"/>
        <w:spacing w:line="360" w:lineRule="auto"/>
        <w:ind w:right="140" w:rightChars="50"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对发包人索赔的处理如下：</w:t>
      </w:r>
    </w:p>
    <w:p w14:paraId="23D8C9FF">
      <w:pPr>
        <w:autoSpaceDE w:val="0"/>
        <w:autoSpaceDN w:val="0"/>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（1）承包人收到发包人提交的索赔报告后，应及时审查索赔报告的内容、查验发包人证明材料；</w:t>
      </w:r>
    </w:p>
    <w:p w14:paraId="547A1FF1">
      <w:pPr>
        <w:autoSpaceDE w:val="0"/>
        <w:autoSpaceDN w:val="0"/>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应在收到索赔报告或有关索赔的进一步证明材料后28天内，将索赔处理结果答复发包人。如果承包人未在上述期限内作出答复的，监理人应以书面形式催告承包人，经监理人三次书面催告后，承包人仍未按期限答复的，则视为对发包人索赔要求的认可；</w:t>
      </w:r>
    </w:p>
    <w:p w14:paraId="461EC9B2">
      <w:pPr>
        <w:autoSpaceDE w:val="0"/>
        <w:autoSpaceDN w:val="0"/>
        <w:spacing w:line="360" w:lineRule="auto"/>
        <w:ind w:right="140" w:rightChars="50" w:firstLine="560" w:firstLineChars="200"/>
        <w:jc w:val="left"/>
        <w:rPr>
          <w:rFonts w:hint="eastAsia" w:ascii="宋体" w:hAnsi="宋体" w:cs="宋体"/>
          <w:color w:val="000000"/>
          <w:szCs w:val="21"/>
          <w:highlight w:val="none"/>
          <w:u w:val="single"/>
        </w:rPr>
      </w:pPr>
      <w:r>
        <w:rPr>
          <w:rFonts w:hint="eastAsia" w:ascii="宋体" w:hAnsi="宋体" w:cs="宋体"/>
          <w:color w:val="000000"/>
          <w:szCs w:val="21"/>
          <w:highlight w:val="none"/>
        </w:rPr>
        <w:t>（3）承包人接受索赔处理结果的，发包人可从应支付给承包人的合同价款中扣除赔付的金额或延长缺陷责任期；发包人不接受索赔处理结果的，按第20条〔争议解决〕约定处理。</w:t>
      </w:r>
    </w:p>
    <w:p w14:paraId="15843854">
      <w:pPr>
        <w:pStyle w:val="7"/>
        <w:spacing w:before="0" w:beforeAutospacing="0" w:after="0" w:afterAutospacing="0" w:line="360" w:lineRule="auto"/>
        <w:ind w:left="0" w:leftChars="0" w:firstLine="0" w:firstLineChars="0"/>
        <w:rPr>
          <w:rFonts w:hint="eastAsia"/>
          <w:color w:val="000000"/>
          <w:sz w:val="21"/>
          <w:szCs w:val="21"/>
          <w:highlight w:val="none"/>
        </w:rPr>
      </w:pPr>
      <w:bookmarkStart w:id="930" w:name="_Toc532375679"/>
      <w:bookmarkStart w:id="931" w:name="_Toc532377418"/>
      <w:bookmarkStart w:id="932" w:name="_Hlk528928420"/>
      <w:r>
        <w:rPr>
          <w:rFonts w:hint="eastAsia"/>
          <w:color w:val="000000"/>
          <w:sz w:val="21"/>
          <w:szCs w:val="21"/>
          <w:highlight w:val="none"/>
        </w:rPr>
        <w:t>19.5 提出索赔的期限</w:t>
      </w:r>
      <w:bookmarkEnd w:id="930"/>
      <w:bookmarkEnd w:id="931"/>
    </w:p>
    <w:p w14:paraId="62EBE1DA">
      <w:pPr>
        <w:autoSpaceDE w:val="0"/>
        <w:autoSpaceDN w:val="0"/>
        <w:spacing w:line="360" w:lineRule="auto"/>
        <w:ind w:right="140" w:rightChars="50" w:firstLine="560" w:firstLineChars="200"/>
        <w:jc w:val="left"/>
        <w:rPr>
          <w:rFonts w:hint="eastAsia" w:ascii="宋体" w:hAnsi="宋体" w:cs="宋体"/>
          <w:color w:val="000000"/>
          <w:szCs w:val="21"/>
          <w:highlight w:val="none"/>
        </w:rPr>
      </w:pPr>
      <w:bookmarkStart w:id="933" w:name="_Hlk524298376"/>
      <w:r>
        <w:rPr>
          <w:rFonts w:hint="eastAsia" w:ascii="宋体" w:hAnsi="宋体" w:cs="宋体"/>
          <w:color w:val="000000"/>
          <w:szCs w:val="21"/>
          <w:highlight w:val="none"/>
        </w:rPr>
        <w:t>任一索赔事件发生后28天内，承包人/发包人未向对方发出索赔意向通知书的，视为其已放弃索赔权，无权再就该索赔事项提出任何索赔。</w:t>
      </w:r>
    </w:p>
    <w:bookmarkEnd w:id="919"/>
    <w:bookmarkEnd w:id="920"/>
    <w:bookmarkEnd w:id="921"/>
    <w:bookmarkEnd w:id="922"/>
    <w:bookmarkEnd w:id="932"/>
    <w:bookmarkEnd w:id="933"/>
    <w:p w14:paraId="759B08B0">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934" w:name="_Toc28521"/>
      <w:bookmarkStart w:id="935" w:name="_Toc351203651"/>
      <w:bookmarkStart w:id="936" w:name="_Toc532375680"/>
      <w:bookmarkStart w:id="937" w:name="_Toc532377419"/>
      <w:r>
        <w:rPr>
          <w:rFonts w:hint="eastAsia"/>
          <w:color w:val="000000"/>
          <w:kern w:val="2"/>
          <w:sz w:val="21"/>
          <w:szCs w:val="21"/>
          <w:highlight w:val="none"/>
        </w:rPr>
        <w:t>20. 争议解决</w:t>
      </w:r>
      <w:bookmarkEnd w:id="934"/>
      <w:bookmarkEnd w:id="935"/>
      <w:bookmarkEnd w:id="936"/>
      <w:bookmarkEnd w:id="937"/>
    </w:p>
    <w:p w14:paraId="14EDED3C">
      <w:pPr>
        <w:pStyle w:val="7"/>
        <w:spacing w:before="0" w:beforeAutospacing="0" w:after="0" w:afterAutospacing="0" w:line="360" w:lineRule="auto"/>
        <w:ind w:left="0" w:leftChars="0" w:firstLine="0" w:firstLineChars="0"/>
        <w:rPr>
          <w:rFonts w:hint="eastAsia"/>
          <w:color w:val="000000"/>
          <w:sz w:val="21"/>
          <w:szCs w:val="21"/>
          <w:highlight w:val="none"/>
        </w:rPr>
      </w:pPr>
      <w:bookmarkStart w:id="938" w:name="_Toc532375681"/>
      <w:bookmarkStart w:id="939" w:name="_Toc532377420"/>
      <w:r>
        <w:rPr>
          <w:rFonts w:hint="eastAsia"/>
          <w:color w:val="000000"/>
          <w:sz w:val="21"/>
          <w:szCs w:val="21"/>
          <w:highlight w:val="none"/>
        </w:rPr>
        <w:t>20.3 争议评审</w:t>
      </w:r>
      <w:bookmarkEnd w:id="938"/>
      <w:bookmarkEnd w:id="939"/>
    </w:p>
    <w:p w14:paraId="77FE4973">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合同当事人是否同意将工程争议提交争议评审小组决定：</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0EA7CF08">
      <w:pPr>
        <w:pStyle w:val="7"/>
        <w:spacing w:before="0" w:beforeAutospacing="0" w:after="0" w:afterAutospacing="0" w:line="360" w:lineRule="auto"/>
        <w:ind w:left="0" w:leftChars="0" w:firstLine="0" w:firstLineChars="0"/>
        <w:rPr>
          <w:rFonts w:hint="eastAsia"/>
          <w:color w:val="000000"/>
          <w:sz w:val="21"/>
          <w:szCs w:val="21"/>
          <w:highlight w:val="none"/>
        </w:rPr>
      </w:pPr>
      <w:bookmarkStart w:id="940" w:name="_Toc532375682"/>
      <w:bookmarkStart w:id="941" w:name="_Toc532377421"/>
      <w:r>
        <w:rPr>
          <w:rFonts w:hint="eastAsia"/>
          <w:color w:val="000000"/>
          <w:sz w:val="21"/>
          <w:szCs w:val="21"/>
          <w:highlight w:val="none"/>
        </w:rPr>
        <w:t>20.4 仲裁或诉讼</w:t>
      </w:r>
      <w:bookmarkEnd w:id="940"/>
      <w:bookmarkEnd w:id="941"/>
    </w:p>
    <w:p w14:paraId="3206041C">
      <w:pPr>
        <w:spacing w:line="360" w:lineRule="auto"/>
        <w:ind w:right="140" w:rightChars="50" w:firstLine="560" w:firstLineChars="200"/>
        <w:jc w:val="left"/>
        <w:rPr>
          <w:rFonts w:ascii="宋体" w:hAnsi="宋体"/>
          <w:color w:val="000000"/>
          <w:szCs w:val="21"/>
          <w:highlight w:val="none"/>
        </w:rPr>
      </w:pPr>
      <w:bookmarkStart w:id="942" w:name="_Toc15102"/>
      <w:bookmarkStart w:id="943" w:name="_Toc532375683"/>
      <w:bookmarkStart w:id="944" w:name="_Toc532377422"/>
      <w:r>
        <w:rPr>
          <w:rFonts w:hint="eastAsia" w:ascii="宋体" w:hAnsi="宋体"/>
          <w:color w:val="000000"/>
          <w:szCs w:val="21"/>
          <w:highlight w:val="none"/>
        </w:rPr>
        <w:t>因合同及合同有关事项发生的争议，按下列第</w:t>
      </w:r>
      <w:r>
        <w:rPr>
          <w:rFonts w:hint="eastAsia" w:ascii="宋体" w:hAnsi="宋体"/>
          <w:color w:val="000000"/>
          <w:szCs w:val="21"/>
          <w:highlight w:val="none"/>
          <w:u w:val="single"/>
        </w:rPr>
        <w:t xml:space="preserve"> （2）   </w:t>
      </w:r>
      <w:r>
        <w:rPr>
          <w:rFonts w:hint="eastAsia" w:ascii="宋体" w:hAnsi="宋体"/>
          <w:color w:val="000000"/>
          <w:szCs w:val="21"/>
          <w:highlight w:val="none"/>
        </w:rPr>
        <w:t>种方式解决：</w:t>
      </w:r>
    </w:p>
    <w:p w14:paraId="3F44A440">
      <w:pPr>
        <w:spacing w:line="360" w:lineRule="auto"/>
        <w:ind w:right="140" w:rightChars="50" w:firstLine="560" w:firstLineChars="200"/>
        <w:jc w:val="left"/>
        <w:rPr>
          <w:rFonts w:ascii="宋体" w:hAnsi="宋体"/>
          <w:color w:val="000000"/>
          <w:szCs w:val="21"/>
          <w:highlight w:val="none"/>
        </w:rPr>
      </w:pPr>
      <w:r>
        <w:rPr>
          <w:rFonts w:ascii="宋体" w:hAnsi="宋体"/>
          <w:color w:val="000000"/>
          <w:szCs w:val="21"/>
          <w:highlight w:val="none"/>
        </w:rPr>
        <w:t>（1）向</w:t>
      </w:r>
      <w:r>
        <w:rPr>
          <w:rFonts w:ascii="宋体" w:hAnsi="宋体"/>
          <w:color w:val="000000"/>
          <w:szCs w:val="21"/>
          <w:highlight w:val="none"/>
          <w:u w:val="single"/>
        </w:rPr>
        <w:t xml:space="preserve">   </w:t>
      </w:r>
      <w:r>
        <w:rPr>
          <w:rFonts w:hint="eastAsia" w:ascii="宋体" w:hAnsi="宋体"/>
          <w:color w:val="000000"/>
          <w:szCs w:val="21"/>
          <w:highlight w:val="none"/>
          <w:u w:val="single"/>
        </w:rPr>
        <w:t>项目所在地</w:t>
      </w:r>
      <w:r>
        <w:rPr>
          <w:rFonts w:ascii="宋体" w:hAnsi="宋体"/>
          <w:color w:val="000000"/>
          <w:szCs w:val="21"/>
          <w:highlight w:val="none"/>
          <w:u w:val="single"/>
        </w:rPr>
        <w:t xml:space="preserve">    </w:t>
      </w:r>
      <w:r>
        <w:rPr>
          <w:rFonts w:ascii="宋体" w:hAnsi="宋体"/>
          <w:color w:val="000000"/>
          <w:szCs w:val="21"/>
          <w:highlight w:val="none"/>
        </w:rPr>
        <w:t>仲裁委员会申请仲裁；</w:t>
      </w:r>
    </w:p>
    <w:p w14:paraId="65389EEC">
      <w:pPr>
        <w:spacing w:line="360" w:lineRule="auto"/>
        <w:ind w:right="140" w:rightChars="50" w:firstLine="560" w:firstLineChars="200"/>
        <w:jc w:val="left"/>
        <w:rPr>
          <w:rFonts w:ascii="宋体" w:hAnsi="宋体"/>
          <w:color w:val="000000"/>
          <w:szCs w:val="21"/>
          <w:highlight w:val="none"/>
        </w:rPr>
      </w:pPr>
      <w:r>
        <w:rPr>
          <w:rFonts w:ascii="宋体" w:hAnsi="宋体"/>
          <w:color w:val="000000"/>
          <w:szCs w:val="21"/>
          <w:highlight w:val="none"/>
        </w:rPr>
        <w:t>（2）向</w:t>
      </w:r>
      <w:r>
        <w:rPr>
          <w:rFonts w:ascii="宋体" w:hAnsi="宋体"/>
          <w:color w:val="000000"/>
          <w:szCs w:val="21"/>
          <w:highlight w:val="none"/>
          <w:u w:val="single"/>
        </w:rPr>
        <w:t xml:space="preserve">      </w:t>
      </w:r>
      <w:r>
        <w:rPr>
          <w:rFonts w:hint="eastAsia" w:ascii="宋体" w:hAnsi="宋体"/>
          <w:color w:val="000000"/>
          <w:szCs w:val="21"/>
          <w:highlight w:val="none"/>
          <w:u w:val="single"/>
        </w:rPr>
        <w:t>项目所在地</w:t>
      </w:r>
      <w:r>
        <w:rPr>
          <w:rFonts w:ascii="宋体" w:hAnsi="宋体"/>
          <w:color w:val="000000"/>
          <w:szCs w:val="21"/>
          <w:highlight w:val="none"/>
          <w:u w:val="single"/>
        </w:rPr>
        <w:t xml:space="preserve">       </w:t>
      </w:r>
      <w:r>
        <w:rPr>
          <w:rFonts w:ascii="宋体" w:hAnsi="宋体"/>
          <w:color w:val="000000"/>
          <w:szCs w:val="21"/>
          <w:highlight w:val="none"/>
        </w:rPr>
        <w:t>人民法院起诉。</w:t>
      </w:r>
    </w:p>
    <w:p w14:paraId="15B70846">
      <w:pPr>
        <w:pStyle w:val="6"/>
        <w:keepNext/>
        <w:keepLines/>
        <w:spacing w:before="221" w:beforeLines="50" w:beforeAutospacing="0" w:after="221" w:afterLines="50" w:afterAutospacing="0" w:line="360" w:lineRule="auto"/>
        <w:rPr>
          <w:rFonts w:hint="eastAsia"/>
          <w:bCs w:val="0"/>
          <w:color w:val="000000"/>
          <w:kern w:val="2"/>
          <w:sz w:val="21"/>
          <w:szCs w:val="21"/>
          <w:highlight w:val="none"/>
        </w:rPr>
      </w:pPr>
      <w:r>
        <w:rPr>
          <w:rFonts w:hint="eastAsia"/>
          <w:color w:val="000000"/>
          <w:kern w:val="2"/>
          <w:sz w:val="21"/>
          <w:szCs w:val="21"/>
          <w:highlight w:val="none"/>
        </w:rPr>
        <w:t>21. 补充条款</w:t>
      </w:r>
      <w:bookmarkEnd w:id="942"/>
      <w:bookmarkEnd w:id="943"/>
      <w:bookmarkEnd w:id="944"/>
    </w:p>
    <w:p w14:paraId="22AE28FB">
      <w:pPr>
        <w:pStyle w:val="7"/>
        <w:spacing w:before="0" w:beforeAutospacing="0" w:after="0" w:afterAutospacing="0" w:line="360" w:lineRule="auto"/>
        <w:ind w:left="0" w:leftChars="0" w:firstLine="0" w:firstLineChars="0"/>
        <w:rPr>
          <w:rFonts w:hint="eastAsia"/>
          <w:color w:val="000000"/>
          <w:sz w:val="21"/>
          <w:szCs w:val="21"/>
          <w:highlight w:val="none"/>
        </w:rPr>
      </w:pPr>
      <w:bookmarkStart w:id="945" w:name="_Toc532375684"/>
      <w:bookmarkStart w:id="946" w:name="_Toc532377423"/>
      <w:r>
        <w:rPr>
          <w:rFonts w:hint="eastAsia"/>
          <w:color w:val="000000"/>
          <w:sz w:val="21"/>
          <w:szCs w:val="21"/>
          <w:highlight w:val="none"/>
        </w:rPr>
        <w:t>21.1 退出机制</w:t>
      </w:r>
      <w:bookmarkEnd w:id="945"/>
      <w:bookmarkEnd w:id="946"/>
    </w:p>
    <w:p w14:paraId="0D5F64DC">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21.1.1有下列情形之一的，发包人有权解除合同，亦有权兑付履约担保，并对承包人做清退出场处理</w:t>
      </w:r>
      <w:r>
        <w:rPr>
          <w:rFonts w:hint="eastAsia" w:ascii="宋体" w:hAnsi="宋体" w:cs="宋体"/>
          <w:color w:val="000000"/>
          <w:kern w:val="0"/>
          <w:szCs w:val="21"/>
          <w:highlight w:val="none"/>
        </w:rPr>
        <w:t>：</w:t>
      </w:r>
    </w:p>
    <w:p w14:paraId="49E7AD83">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（1）因承包人原因造成较大及以上等级生产安全事故或工程质量事故的；</w:t>
      </w:r>
    </w:p>
    <w:p w14:paraId="564C2A33">
      <w:pPr>
        <w:spacing w:line="360" w:lineRule="auto"/>
        <w:ind w:right="140" w:rightChars="50" w:firstLine="56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（2）因承包人债权债务纠纷或其他纠纷导致工程无法正常施工的。</w:t>
      </w:r>
    </w:p>
    <w:p w14:paraId="2DFB7123">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kern w:val="0"/>
          <w:szCs w:val="21"/>
          <w:highlight w:val="none"/>
        </w:rPr>
        <w:t>（3）</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616E3C20">
      <w:pPr>
        <w:pStyle w:val="2"/>
        <w:spacing w:after="0" w:line="360" w:lineRule="auto"/>
        <w:ind w:firstLine="640" w:firstLineChars="200"/>
        <w:rPr>
          <w:rFonts w:hint="eastAsia" w:ascii="宋体" w:hAnsi="宋体" w:cs="宋体"/>
          <w:color w:val="000000"/>
          <w:szCs w:val="21"/>
          <w:highlight w:val="none"/>
        </w:rPr>
      </w:pPr>
      <w:r>
        <w:rPr>
          <w:rFonts w:hint="eastAsia" w:ascii="宋体" w:hAnsi="宋体" w:cs="宋体"/>
          <w:color w:val="000000"/>
          <w:szCs w:val="21"/>
          <w:highlight w:val="none"/>
        </w:rPr>
        <w:t>21.1.2有下列情形之一的，承包人有权解除合同，并按16.1.4约定执行：</w:t>
      </w:r>
    </w:p>
    <w:p w14:paraId="4C019824">
      <w:pPr>
        <w:pStyle w:val="2"/>
        <w:spacing w:after="0" w:line="360" w:lineRule="auto"/>
        <w:ind w:right="140" w:rightChars="50" w:firstLine="64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（1）因发包人征地、拆迁、补偿、审批手续等原因致使本工程延期开工超过90天的。</w:t>
      </w:r>
    </w:p>
    <w:p w14:paraId="1871A912">
      <w:pPr>
        <w:pStyle w:val="2"/>
        <w:spacing w:after="0" w:line="360" w:lineRule="auto"/>
        <w:ind w:firstLine="640" w:firstLineChars="200"/>
        <w:rPr>
          <w:rFonts w:hint="eastAsia" w:ascii="宋体" w:hAnsi="宋体" w:cs="宋体"/>
          <w:color w:val="000000"/>
          <w:szCs w:val="21"/>
          <w:highlight w:val="none"/>
        </w:rPr>
      </w:pPr>
      <w:r>
        <w:rPr>
          <w:rFonts w:hint="eastAsia" w:ascii="宋体" w:hAnsi="宋体" w:cs="宋体"/>
          <w:color w:val="000000"/>
          <w:szCs w:val="21"/>
          <w:highlight w:val="none"/>
        </w:rPr>
        <w:t>（2）        。</w:t>
      </w:r>
    </w:p>
    <w:p w14:paraId="598CBD4D">
      <w:pPr>
        <w:pStyle w:val="2"/>
        <w:spacing w:after="0" w:line="360" w:lineRule="auto"/>
        <w:ind w:firstLine="640" w:firstLineChars="200"/>
        <w:rPr>
          <w:rFonts w:hint="eastAsia" w:ascii="宋体" w:hAnsi="宋体" w:cs="宋体"/>
          <w:color w:val="000000"/>
          <w:szCs w:val="21"/>
          <w:highlight w:val="none"/>
        </w:rPr>
      </w:pPr>
      <w:r>
        <w:rPr>
          <w:rFonts w:hint="eastAsia" w:ascii="宋体" w:hAnsi="宋体" w:cs="宋体"/>
          <w:color w:val="000000"/>
          <w:szCs w:val="21"/>
          <w:highlight w:val="none"/>
        </w:rPr>
        <w:t>21.1.3 因承包人原因解除合同，发包人将扣除全部履约保证金，并对已完成的工程量，按合同相</w:t>
      </w:r>
    </w:p>
    <w:p w14:paraId="77B16FA8">
      <w:pPr>
        <w:pStyle w:val="2"/>
        <w:spacing w:after="0" w:line="360" w:lineRule="auto"/>
        <w:rPr>
          <w:rFonts w:hint="eastAsia" w:ascii="宋体" w:hAnsi="宋体" w:cs="宋体"/>
          <w:color w:val="000000"/>
          <w:szCs w:val="21"/>
          <w:highlight w:val="none"/>
        </w:rPr>
      </w:pPr>
      <w:r>
        <w:rPr>
          <w:rFonts w:hint="eastAsia" w:ascii="宋体" w:hAnsi="宋体" w:cs="宋体"/>
          <w:color w:val="000000"/>
          <w:szCs w:val="21"/>
          <w:highlight w:val="none"/>
        </w:rPr>
        <w:t>应条款就行结算，并且承包人承担发包人的一切损失。</w:t>
      </w:r>
    </w:p>
    <w:p w14:paraId="4C50A83A">
      <w:pPr>
        <w:pStyle w:val="7"/>
        <w:spacing w:before="0" w:beforeAutospacing="0" w:after="0" w:afterAutospacing="0" w:line="360" w:lineRule="auto"/>
        <w:ind w:left="0" w:leftChars="0" w:firstLine="0" w:firstLineChars="0"/>
        <w:rPr>
          <w:rFonts w:hint="eastAsia"/>
          <w:color w:val="000000"/>
          <w:sz w:val="21"/>
          <w:szCs w:val="21"/>
          <w:highlight w:val="none"/>
        </w:rPr>
      </w:pPr>
      <w:bookmarkStart w:id="947" w:name="_Toc532375685"/>
      <w:bookmarkStart w:id="948" w:name="_Toc532377424"/>
      <w:r>
        <w:rPr>
          <w:rFonts w:hint="eastAsia"/>
          <w:color w:val="000000"/>
          <w:sz w:val="21"/>
          <w:szCs w:val="21"/>
          <w:highlight w:val="none"/>
        </w:rPr>
        <w:t>21.2智慧工地</w:t>
      </w:r>
      <w:bookmarkEnd w:id="947"/>
      <w:bookmarkEnd w:id="948"/>
    </w:p>
    <w:p w14:paraId="24CE3790">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工地建设可参照重庆市城乡建设委员会《关于印发“智慧工地”建设工作方案的通知》（渝建〔2017〕414号）的相关要求建设。</w:t>
      </w:r>
      <w:bookmarkEnd w:id="885"/>
    </w:p>
    <w:p w14:paraId="300E5BCC">
      <w:pPr>
        <w:pStyle w:val="7"/>
        <w:spacing w:before="0" w:beforeAutospacing="0" w:after="0" w:afterAutospacing="0" w:line="360" w:lineRule="auto"/>
        <w:ind w:left="0" w:leftChars="0" w:firstLine="0" w:firstLineChars="0"/>
        <w:rPr>
          <w:rFonts w:hint="eastAsia"/>
          <w:color w:val="000000"/>
          <w:sz w:val="21"/>
          <w:szCs w:val="21"/>
          <w:highlight w:val="none"/>
          <w:u w:val="single"/>
        </w:rPr>
      </w:pPr>
      <w:r>
        <w:rPr>
          <w:rFonts w:hint="eastAsia"/>
          <w:color w:val="000000"/>
          <w:sz w:val="21"/>
          <w:szCs w:val="21"/>
          <w:highlight w:val="none"/>
        </w:rPr>
        <w:t>21.3低价风险担保</w:t>
      </w:r>
    </w:p>
    <w:p w14:paraId="2CF58CA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承包人提供低价风险担保的情形：采用经评审的最低投标价法的项目投标报价低于最高限价85%时。</w:t>
      </w:r>
    </w:p>
    <w:p w14:paraId="28A8AF6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承包人提供低价风险担保的形式、金额及期限：</w:t>
      </w:r>
    </w:p>
    <w:p w14:paraId="16819787">
      <w:pPr>
        <w:numPr>
          <w:ilvl w:val="0"/>
          <w:numId w:val="18"/>
        </w:num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szCs w:val="21"/>
          <w:highlight w:val="none"/>
        </w:rPr>
        <w:t>低价风险担保的形式：</w:t>
      </w:r>
      <w:r>
        <w:rPr>
          <w:rFonts w:hint="eastAsia" w:ascii="宋体" w:hAnsi="宋体" w:cs="宋体"/>
          <w:color w:val="000000"/>
          <w:kern w:val="0"/>
          <w:szCs w:val="21"/>
          <w:highlight w:val="none"/>
        </w:rPr>
        <w:t>现金或现金+银行保函的组合（采用“现金+银行保函组合”方式提交的，现金比例不得低于应缴担保金额的50%）；采用现金+保函形式的，保函必须为不可撤销、不可转让且见索即付的独立保函，</w:t>
      </w:r>
    </w:p>
    <w:p w14:paraId="1B161C55">
      <w:pPr>
        <w:autoSpaceDE w:val="0"/>
        <w:autoSpaceDN w:val="0"/>
        <w:adjustRightInd w:val="0"/>
        <w:snapToGrid w:val="0"/>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(2)低价风险担保的金额：</w:t>
      </w:r>
      <w:r>
        <w:rPr>
          <w:rFonts w:hint="eastAsia" w:ascii="宋体" w:hAnsi="宋体" w:cs="宋体"/>
          <w:color w:val="000000"/>
          <w:kern w:val="0"/>
          <w:szCs w:val="21"/>
          <w:highlight w:val="none"/>
        </w:rPr>
        <w:t>（最高限价×85%-中选价）×☑3</w:t>
      </w:r>
      <w:r>
        <w:rPr>
          <w:rStyle w:val="72"/>
          <w:rFonts w:hint="eastAsia" w:ascii="宋体" w:hAnsi="宋体" w:cs="宋体"/>
          <w:color w:val="000000"/>
          <w:highlight w:val="none"/>
        </w:rPr>
        <w:t>，且最高不超过最高限价的85%，</w:t>
      </w:r>
      <w:r>
        <w:rPr>
          <w:rFonts w:hint="eastAsia" w:ascii="宋体" w:hAnsi="宋体" w:cs="宋体"/>
          <w:color w:val="000000"/>
          <w:szCs w:val="21"/>
          <w:highlight w:val="none"/>
        </w:rPr>
        <w:t>红名单中的中选人低价风险担保金额为应提交金额的</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50</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；联合体中选的，须联合体牵头人在红名单中。中选人是否属于红名单☑方式三：</w:t>
      </w:r>
      <w:r>
        <w:rPr>
          <w:rFonts w:hint="eastAsia" w:ascii="宋体" w:hAnsi="宋体" w:cs="宋体"/>
          <w:color w:val="000000"/>
          <w:szCs w:val="21"/>
          <w:highlight w:val="none"/>
          <w:u w:val="single"/>
        </w:rPr>
        <w:t xml:space="preserve">  以领取中选通知书当日查询状况为准  </w:t>
      </w:r>
      <w:r>
        <w:rPr>
          <w:rFonts w:hint="eastAsia" w:ascii="宋体" w:hAnsi="宋体" w:cs="宋体"/>
          <w:color w:val="000000"/>
          <w:szCs w:val="21"/>
          <w:highlight w:val="none"/>
        </w:rPr>
        <w:t>。</w:t>
      </w:r>
    </w:p>
    <w:p w14:paraId="2B399F21">
      <w:pPr>
        <w:tabs>
          <w:tab w:val="left" w:pos="1134"/>
        </w:tabs>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（3）低价风险担保的提交时间：</w:t>
      </w:r>
      <w:r>
        <w:rPr>
          <w:rFonts w:hint="eastAsia" w:ascii="宋体" w:hAnsi="宋体" w:cs="宋体"/>
          <w:color w:val="000000"/>
          <w:szCs w:val="21"/>
          <w:highlight w:val="none"/>
          <w:u w:val="single"/>
        </w:rPr>
        <w:t>从发包人中选通知书送达拟中选人之日起 15个 工作日内；</w:t>
      </w:r>
    </w:p>
    <w:p w14:paraId="60DD567F">
      <w:pPr>
        <w:tabs>
          <w:tab w:val="left" w:pos="1134"/>
        </w:tabs>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（4）低价风险担保的期限：</w:t>
      </w:r>
      <w:r>
        <w:rPr>
          <w:rFonts w:hint="eastAsia" w:ascii="宋体" w:hAnsi="宋体" w:cs="宋体"/>
          <w:color w:val="000000"/>
          <w:szCs w:val="21"/>
          <w:highlight w:val="none"/>
          <w:u w:val="single"/>
        </w:rPr>
        <w:t>自低价风险担保生效之日起至竣工验收合格之日止</w:t>
      </w:r>
      <w:r>
        <w:rPr>
          <w:rFonts w:hint="eastAsia" w:ascii="宋体" w:hAnsi="宋体" w:cs="宋体"/>
          <w:color w:val="000000"/>
          <w:szCs w:val="21"/>
          <w:highlight w:val="none"/>
        </w:rPr>
        <w:t>。</w:t>
      </w:r>
    </w:p>
    <w:p w14:paraId="43BBC60A">
      <w:pPr>
        <w:pStyle w:val="2"/>
        <w:spacing w:after="0" w:line="360" w:lineRule="auto"/>
        <w:ind w:firstLine="64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低价风险担保的退还时间：</w:t>
      </w:r>
      <w:r>
        <w:rPr>
          <w:rFonts w:hint="eastAsia" w:ascii="宋体" w:hAnsi="宋体" w:cs="宋体"/>
          <w:color w:val="000000"/>
          <w:szCs w:val="21"/>
          <w:highlight w:val="none"/>
          <w:u w:val="single"/>
        </w:rPr>
        <w:t xml:space="preserve">采用现金担保的，工程竣工验收合格后14天内退还，合同履行期间允许承包人用符合要求的银行保函进行置换；采用银行保函的，工程竣工验收合格后14天内退还。采用分段退还的，低价风险担保的退还时间及方式为：     /   </w:t>
      </w:r>
      <w:r>
        <w:rPr>
          <w:rFonts w:hint="eastAsia" w:ascii="宋体" w:hAnsi="宋体" w:cs="宋体"/>
          <w:color w:val="000000"/>
          <w:szCs w:val="21"/>
          <w:highlight w:val="none"/>
        </w:rPr>
        <w:t>。</w:t>
      </w:r>
    </w:p>
    <w:p w14:paraId="169C0422">
      <w:pPr>
        <w:pStyle w:val="2"/>
        <w:spacing w:after="0" w:line="360" w:lineRule="auto"/>
        <w:ind w:firstLine="64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（5）低价风险担保的扣减：</w:t>
      </w:r>
    </w:p>
    <w:p w14:paraId="352BF8AA">
      <w:pPr>
        <w:pStyle w:val="2"/>
        <w:spacing w:after="0" w:line="360" w:lineRule="auto"/>
        <w:ind w:firstLine="64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①承包人在工程施工期间，以其投标时填报的工程主要材料价格低于同期工程造价管理机构发布的信息价格为由拒绝材料采购；或因其自身其他原因导致工程窝工或停工等，给发包人造成直接经济损失且拒绝承担的，按低价风险担保金额的</w:t>
      </w:r>
      <w:r>
        <w:rPr>
          <w:rFonts w:hint="eastAsia" w:ascii="宋体" w:hAnsi="宋体" w:cs="宋体"/>
          <w:color w:val="000000"/>
          <w:szCs w:val="21"/>
          <w:highlight w:val="none"/>
          <w:u w:val="single"/>
        </w:rPr>
        <w:t>50～100%</w:t>
      </w:r>
      <w:r>
        <w:rPr>
          <w:rFonts w:hint="eastAsia" w:ascii="宋体" w:hAnsi="宋体" w:cs="宋体"/>
          <w:color w:val="000000"/>
          <w:szCs w:val="21"/>
          <w:highlight w:val="none"/>
        </w:rPr>
        <w:t>扣减，直至解除合同；</w:t>
      </w:r>
    </w:p>
    <w:p w14:paraId="17DD6BE7">
      <w:pPr>
        <w:pStyle w:val="2"/>
        <w:spacing w:after="0" w:line="360" w:lineRule="auto"/>
        <w:ind w:firstLine="64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②承包人在工程施工期间或竣工验收时，工程质量不符合国家现行有关施工质量验收规范要求的，按低价风险担保金额的</w:t>
      </w:r>
      <w:r>
        <w:rPr>
          <w:rFonts w:hint="eastAsia" w:ascii="宋体" w:hAnsi="宋体" w:cs="宋体"/>
          <w:color w:val="000000"/>
          <w:szCs w:val="21"/>
          <w:highlight w:val="none"/>
          <w:u w:val="single"/>
        </w:rPr>
        <w:t>50～100%</w:t>
      </w:r>
      <w:r>
        <w:rPr>
          <w:rFonts w:hint="eastAsia" w:ascii="宋体" w:hAnsi="宋体" w:cs="宋体"/>
          <w:color w:val="000000"/>
          <w:szCs w:val="21"/>
          <w:highlight w:val="none"/>
        </w:rPr>
        <w:t>扣减，直至解除合同；</w:t>
      </w:r>
    </w:p>
    <w:p w14:paraId="5D19AD2B">
      <w:pPr>
        <w:pStyle w:val="2"/>
        <w:spacing w:after="0" w:line="360" w:lineRule="auto"/>
        <w:ind w:firstLine="64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③承包人因16.2.3项原因被解除合同的，低价风险担保将全额扣除；</w:t>
      </w:r>
    </w:p>
    <w:p w14:paraId="5C17BC76">
      <w:pPr>
        <w:pStyle w:val="7"/>
        <w:spacing w:before="0" w:beforeAutospacing="0" w:after="0" w:afterAutospacing="0" w:line="360" w:lineRule="auto"/>
        <w:ind w:firstLine="560" w:firstLineChars="200"/>
        <w:rPr>
          <w:rFonts w:hint="eastAsia"/>
          <w:color w:val="000000"/>
          <w:highlight w:val="none"/>
        </w:rPr>
      </w:pPr>
      <w:r>
        <w:rPr>
          <w:rFonts w:hint="eastAsia"/>
          <w:b w:val="0"/>
          <w:bCs w:val="0"/>
          <w:color w:val="000000"/>
          <w:szCs w:val="21"/>
          <w:highlight w:val="none"/>
        </w:rPr>
        <w:t>④因承包人过错导致的其他情形：</w:t>
      </w:r>
      <w:r>
        <w:rPr>
          <w:rFonts w:hint="eastAsia"/>
          <w:b w:val="0"/>
          <w:bCs w:val="0"/>
          <w:color w:val="000000"/>
          <w:szCs w:val="21"/>
          <w:highlight w:val="none"/>
          <w:u w:val="single"/>
        </w:rPr>
        <w:t xml:space="preserve">  /      </w:t>
      </w:r>
      <w:r>
        <w:rPr>
          <w:rFonts w:hint="eastAsia"/>
          <w:b w:val="0"/>
          <w:bCs w:val="0"/>
          <w:color w:val="000000"/>
          <w:szCs w:val="21"/>
          <w:highlight w:val="none"/>
        </w:rPr>
        <w:t>。</w:t>
      </w:r>
    </w:p>
    <w:p w14:paraId="33FDD65A">
      <w:pPr>
        <w:pStyle w:val="7"/>
        <w:spacing w:before="0" w:beforeAutospacing="0" w:after="0" w:afterAutospacing="0" w:line="360" w:lineRule="auto"/>
        <w:ind w:left="0" w:leftChars="0" w:firstLine="0" w:firstLineChars="0"/>
        <w:rPr>
          <w:rFonts w:hint="eastAsia"/>
          <w:color w:val="000000"/>
          <w:sz w:val="21"/>
          <w:szCs w:val="21"/>
          <w:highlight w:val="none"/>
          <w:u w:val="single"/>
        </w:rPr>
      </w:pPr>
      <w:r>
        <w:rPr>
          <w:rFonts w:hint="eastAsia"/>
          <w:color w:val="000000"/>
          <w:sz w:val="21"/>
          <w:szCs w:val="21"/>
          <w:highlight w:val="none"/>
        </w:rPr>
        <w:t>21.4 关于不平衡报价的约定：</w:t>
      </w:r>
      <w:r>
        <w:rPr>
          <w:rFonts w:hint="eastAsia"/>
          <w:color w:val="000000"/>
          <w:sz w:val="21"/>
          <w:szCs w:val="21"/>
          <w:highlight w:val="none"/>
          <w:u w:val="single"/>
        </w:rPr>
        <w:t xml:space="preserve">    </w:t>
      </w:r>
      <w:r>
        <w:rPr>
          <w:rFonts w:hint="eastAsia"/>
          <w:color w:val="000000"/>
          <w:sz w:val="21"/>
          <w:szCs w:val="21"/>
          <w:highlight w:val="none"/>
          <w:u w:val="single"/>
          <w:lang w:val="en-US" w:eastAsia="zh-CN"/>
        </w:rPr>
        <w:t xml:space="preserve">  </w:t>
      </w:r>
      <w:r>
        <w:rPr>
          <w:rFonts w:hint="eastAsia"/>
          <w:color w:val="000000"/>
          <w:sz w:val="21"/>
          <w:szCs w:val="21"/>
          <w:highlight w:val="none"/>
          <w:u w:val="single"/>
        </w:rPr>
        <w:t xml:space="preserve">   </w:t>
      </w:r>
    </w:p>
    <w:p w14:paraId="3EBBC662">
      <w:pPr>
        <w:pStyle w:val="7"/>
        <w:spacing w:before="0" w:beforeAutospacing="0" w:after="0" w:afterAutospacing="0" w:line="360" w:lineRule="auto"/>
        <w:ind w:left="0" w:leftChars="0" w:firstLine="0" w:firstLineChars="0"/>
        <w:rPr>
          <w:rFonts w:hint="eastAsia"/>
          <w:color w:val="000000"/>
          <w:sz w:val="21"/>
          <w:szCs w:val="21"/>
          <w:highlight w:val="none"/>
        </w:rPr>
      </w:pPr>
      <w:r>
        <w:rPr>
          <w:rFonts w:hint="eastAsia"/>
          <w:color w:val="000000"/>
          <w:sz w:val="21"/>
          <w:szCs w:val="21"/>
          <w:highlight w:val="none"/>
        </w:rPr>
        <w:t xml:space="preserve">21.5 </w:t>
      </w:r>
      <w:r>
        <w:rPr>
          <w:rFonts w:hint="eastAsia"/>
          <w:color w:val="000000"/>
          <w:sz w:val="21"/>
          <w:szCs w:val="21"/>
          <w:highlight w:val="none"/>
          <w:u w:val="single"/>
        </w:rPr>
        <w:t xml:space="preserve">    /   </w:t>
      </w:r>
    </w:p>
    <w:p w14:paraId="3F57D8D8">
      <w:pPr>
        <w:pStyle w:val="6"/>
        <w:keepNext/>
        <w:keepLines/>
        <w:spacing w:before="221" w:beforeLines="50" w:beforeAutospacing="0" w:after="221" w:afterLines="50" w:afterAutospacing="0" w:line="360" w:lineRule="auto"/>
        <w:jc w:val="both"/>
        <w:rPr>
          <w:rFonts w:hint="eastAsia"/>
          <w:bCs w:val="0"/>
          <w:color w:val="000000"/>
          <w:kern w:val="2"/>
          <w:sz w:val="21"/>
          <w:szCs w:val="21"/>
          <w:highlight w:val="none"/>
        </w:rPr>
      </w:pPr>
      <w:bookmarkStart w:id="949" w:name="baidusnap3"/>
      <w:bookmarkEnd w:id="949"/>
      <w:bookmarkStart w:id="950" w:name="baidusnap7"/>
      <w:bookmarkEnd w:id="950"/>
      <w:bookmarkStart w:id="951" w:name="_Toc25538"/>
      <w:bookmarkStart w:id="952" w:name="_Toc532375686"/>
      <w:bookmarkStart w:id="953" w:name="_Toc532377425"/>
      <w:r>
        <w:rPr>
          <w:rFonts w:hint="eastAsia"/>
          <w:color w:val="000000"/>
          <w:kern w:val="2"/>
          <w:sz w:val="21"/>
          <w:szCs w:val="21"/>
          <w:highlight w:val="none"/>
        </w:rPr>
        <w:t>22. 合同附件</w:t>
      </w:r>
      <w:bookmarkEnd w:id="951"/>
      <w:bookmarkEnd w:id="952"/>
      <w:bookmarkEnd w:id="953"/>
    </w:p>
    <w:p w14:paraId="1A70FDCB">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以下附件是本合同的有效组成部分：</w:t>
      </w:r>
    </w:p>
    <w:p w14:paraId="24D1FEC6">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附件1：工程质量保修书</w:t>
      </w:r>
    </w:p>
    <w:p w14:paraId="183DAF55">
      <w:pPr>
        <w:spacing w:line="360" w:lineRule="auto"/>
        <w:ind w:right="140" w:rightChars="50"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附件</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：履约担保（如有）</w:t>
      </w:r>
    </w:p>
    <w:p w14:paraId="784B726A">
      <w:pPr>
        <w:spacing w:line="360" w:lineRule="auto"/>
        <w:ind w:right="140" w:rightChars="50" w:firstLine="560" w:firstLineChars="200"/>
        <w:jc w:val="left"/>
        <w:rPr>
          <w:rFonts w:hint="eastAsia"/>
          <w:color w:val="000000"/>
          <w:highlight w:val="none"/>
          <w:lang w:val="en-US" w:eastAsia="zh-CN"/>
        </w:rPr>
      </w:pPr>
      <w:r>
        <w:rPr>
          <w:rFonts w:hint="eastAsia" w:ascii="宋体" w:hAnsi="宋体" w:cs="宋体"/>
          <w:color w:val="000000"/>
          <w:szCs w:val="21"/>
          <w:highlight w:val="none"/>
        </w:rPr>
        <w:t>附件</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：安全管理协议</w:t>
      </w:r>
    </w:p>
    <w:p w14:paraId="315E8199">
      <w:pPr>
        <w:rPr>
          <w:rFonts w:hint="eastAsia"/>
          <w:color w:val="000000"/>
          <w:highlight w:val="none"/>
          <w:lang w:val="en-US" w:eastAsia="zh-CN"/>
        </w:rPr>
      </w:pPr>
    </w:p>
    <w:p w14:paraId="682ABCAB">
      <w:pPr>
        <w:pStyle w:val="2"/>
        <w:rPr>
          <w:rFonts w:hint="eastAsia"/>
          <w:color w:val="000000"/>
          <w:highlight w:val="none"/>
          <w:lang w:val="en-US" w:eastAsia="zh-CN"/>
        </w:rPr>
      </w:pPr>
    </w:p>
    <w:p w14:paraId="00D87CEF">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附</w:t>
      </w:r>
      <w:bookmarkStart w:id="954" w:name="_Toc296891054"/>
      <w:bookmarkStart w:id="955" w:name="_Toc296944565"/>
      <w:bookmarkStart w:id="956" w:name="_Toc296346727"/>
      <w:bookmarkStart w:id="957" w:name="_Toc296891266"/>
      <w:bookmarkStart w:id="958" w:name="_Toc267261693"/>
      <w:bookmarkStart w:id="959" w:name="_Toc296503226"/>
      <w:bookmarkStart w:id="960" w:name="_Toc296347225"/>
      <w:r>
        <w:rPr>
          <w:rFonts w:hint="eastAsia" w:ascii="宋体" w:hAnsi="宋体" w:cs="宋体"/>
          <w:color w:val="000000"/>
          <w:szCs w:val="21"/>
          <w:highlight w:val="none"/>
        </w:rPr>
        <w:t>件1：</w:t>
      </w:r>
      <w:bookmarkEnd w:id="954"/>
      <w:bookmarkEnd w:id="955"/>
      <w:bookmarkEnd w:id="956"/>
      <w:bookmarkEnd w:id="957"/>
      <w:bookmarkEnd w:id="958"/>
      <w:bookmarkEnd w:id="959"/>
      <w:bookmarkEnd w:id="960"/>
    </w:p>
    <w:p w14:paraId="2F3FEFBF">
      <w:pPr>
        <w:spacing w:before="221" w:beforeLines="50" w:after="221" w:afterLines="50"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工程质量保修书</w:t>
      </w:r>
    </w:p>
    <w:p w14:paraId="7EA8C1CF">
      <w:pPr>
        <w:snapToGrid w:val="0"/>
        <w:spacing w:line="360" w:lineRule="auto"/>
        <w:ind w:firstLine="562" w:firstLineChars="200"/>
        <w:rPr>
          <w:rFonts w:hint="eastAsia" w:ascii="宋体" w:hAnsi="宋体" w:cs="宋体"/>
          <w:b/>
          <w:color w:val="000000"/>
          <w:szCs w:val="21"/>
          <w:highlight w:val="none"/>
          <w:u w:val="single"/>
        </w:rPr>
      </w:pPr>
      <w:r>
        <w:rPr>
          <w:rFonts w:hint="eastAsia" w:ascii="宋体" w:hAnsi="宋体" w:cs="宋体"/>
          <w:b/>
          <w:color w:val="000000"/>
          <w:szCs w:val="21"/>
          <w:highlight w:val="none"/>
        </w:rPr>
        <w:t>发包人（全称）：</w:t>
      </w:r>
      <w:r>
        <w:rPr>
          <w:rFonts w:hint="eastAsia" w:ascii="宋体" w:hAnsi="宋体" w:cs="宋体"/>
          <w:color w:val="000000"/>
          <w:szCs w:val="21"/>
          <w:highlight w:val="none"/>
          <w:u w:val="single"/>
        </w:rPr>
        <w:t xml:space="preserve">                             </w:t>
      </w:r>
    </w:p>
    <w:p w14:paraId="6427F1DD">
      <w:pPr>
        <w:snapToGrid w:val="0"/>
        <w:spacing w:line="360" w:lineRule="auto"/>
        <w:ind w:firstLine="562" w:firstLineChars="200"/>
        <w:rPr>
          <w:rFonts w:hint="eastAsia" w:ascii="宋体" w:hAnsi="宋体" w:cs="宋体"/>
          <w:b/>
          <w:color w:val="000000"/>
          <w:szCs w:val="21"/>
          <w:highlight w:val="none"/>
          <w:u w:val="single"/>
        </w:rPr>
      </w:pPr>
      <w:r>
        <w:rPr>
          <w:rFonts w:hint="eastAsia" w:ascii="宋体" w:hAnsi="宋体" w:cs="宋体"/>
          <w:b/>
          <w:color w:val="000000"/>
          <w:szCs w:val="21"/>
          <w:highlight w:val="none"/>
        </w:rPr>
        <w:t>承包人（全称）：</w:t>
      </w:r>
      <w:r>
        <w:rPr>
          <w:rFonts w:hint="eastAsia" w:ascii="宋体" w:hAnsi="宋体" w:cs="宋体"/>
          <w:color w:val="000000"/>
          <w:szCs w:val="21"/>
          <w:highlight w:val="none"/>
          <w:u w:val="single"/>
        </w:rPr>
        <w:t xml:space="preserve">                             </w:t>
      </w:r>
    </w:p>
    <w:p w14:paraId="3B21470F">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发包人和承包人根据《中华人民共和国建筑法》和《建设工程质量管理条例》，经协商一致就</w:t>
      </w:r>
    </w:p>
    <w:p w14:paraId="46406BA6">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（工程全称）签订工程质量保修书。</w:t>
      </w:r>
    </w:p>
    <w:p w14:paraId="24221771">
      <w:pPr>
        <w:spacing w:line="360" w:lineRule="auto"/>
        <w:ind w:firstLine="560" w:firstLineChars="200"/>
        <w:rPr>
          <w:rFonts w:hint="eastAsia" w:ascii="宋体" w:hAnsi="宋体" w:cs="宋体"/>
          <w:color w:val="000000"/>
          <w:szCs w:val="21"/>
          <w:highlight w:val="none"/>
        </w:rPr>
      </w:pPr>
      <w:bookmarkStart w:id="961" w:name="_Toc532375687"/>
      <w:r>
        <w:rPr>
          <w:rFonts w:hint="eastAsia" w:ascii="宋体" w:hAnsi="宋体" w:cs="宋体"/>
          <w:color w:val="000000"/>
          <w:szCs w:val="21"/>
          <w:highlight w:val="none"/>
        </w:rPr>
        <w:t>一、工程质量保修范围和内容</w:t>
      </w:r>
      <w:bookmarkEnd w:id="961"/>
    </w:p>
    <w:p w14:paraId="78FC2B09">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承包人在质量保修期内，按照有关法律规定和合同约定，承担工程质量保修责任。</w:t>
      </w:r>
    </w:p>
    <w:p w14:paraId="542A9CBB">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2FE2614">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承包人承包范围内容均属质量保修范围内容；其中：</w:t>
      </w:r>
    </w:p>
    <w:p w14:paraId="577F1657">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1.属于设计原因造成的质量问题，承包人负责维修，不留隐患，费用由发包人承担；</w:t>
      </w:r>
    </w:p>
    <w:p w14:paraId="12262D16">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2.属于施工造成的质量问题，承包人负责维修，不留隐患；</w:t>
      </w:r>
    </w:p>
    <w:p w14:paraId="49DD0CA3">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3.属于业主使用不当造成的质量问题，配合抢修，费用由发包人承担。</w:t>
      </w:r>
    </w:p>
    <w:p w14:paraId="362041F9">
      <w:pPr>
        <w:spacing w:line="360" w:lineRule="auto"/>
        <w:ind w:firstLine="560" w:firstLineChars="200"/>
        <w:rPr>
          <w:rFonts w:hint="eastAsia" w:ascii="宋体" w:hAnsi="宋体" w:cs="宋体"/>
          <w:color w:val="000000"/>
          <w:szCs w:val="21"/>
          <w:highlight w:val="none"/>
        </w:rPr>
      </w:pPr>
      <w:bookmarkStart w:id="962" w:name="_Toc532375688"/>
      <w:r>
        <w:rPr>
          <w:rFonts w:hint="eastAsia" w:ascii="宋体" w:hAnsi="宋体" w:cs="宋体"/>
          <w:color w:val="000000"/>
          <w:szCs w:val="21"/>
          <w:highlight w:val="none"/>
        </w:rPr>
        <w:t>二、质量保修期</w:t>
      </w:r>
      <w:bookmarkEnd w:id="962"/>
    </w:p>
    <w:p w14:paraId="138298D8">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根据《建设工程质量管理条例》及有关规定，本工程质量保修期约定如下：</w:t>
      </w:r>
    </w:p>
    <w:p w14:paraId="0E886005">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1.基础设施工程、房屋建筑的地基基础工程和主体结构工程，为设计文件规定的该工程的合理使用年限；</w:t>
      </w:r>
    </w:p>
    <w:p w14:paraId="3FF7EACE">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2.屋面防水工程、有防水要求的卫生间、房间和外墙面的防渗漏，为5年；</w:t>
      </w:r>
    </w:p>
    <w:p w14:paraId="222EC03B">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3.供热与供冷系统，为2个采暖期、供冷期；</w:t>
      </w:r>
    </w:p>
    <w:p w14:paraId="50699C87">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4.电气管线、给排水管道、设备安装和装修工程，为2年；</w:t>
      </w:r>
    </w:p>
    <w:p w14:paraId="34B51C5E">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5.其他项目保修期限：2年；</w:t>
      </w:r>
      <w:r>
        <w:rPr>
          <w:rFonts w:hint="eastAsia" w:ascii="宋体" w:hAnsi="宋体" w:cs="宋体"/>
          <w:i/>
          <w:color w:val="000000"/>
          <w:szCs w:val="21"/>
          <w:highlight w:val="none"/>
        </w:rPr>
        <w:t>[提示：如有不同，根据具体情况修改]</w:t>
      </w:r>
    </w:p>
    <w:p w14:paraId="2375B8DA">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建设工程的保修期，自工程竣工验收合格之日起计算。</w:t>
      </w:r>
    </w:p>
    <w:p w14:paraId="259EB5E1">
      <w:pPr>
        <w:spacing w:line="360" w:lineRule="auto"/>
        <w:ind w:firstLine="560" w:firstLineChars="200"/>
        <w:rPr>
          <w:rFonts w:hint="eastAsia" w:ascii="宋体" w:hAnsi="宋体" w:cs="宋体"/>
          <w:color w:val="000000"/>
          <w:szCs w:val="21"/>
          <w:highlight w:val="none"/>
        </w:rPr>
      </w:pPr>
      <w:bookmarkStart w:id="963" w:name="_Toc532375689"/>
      <w:r>
        <w:rPr>
          <w:rFonts w:hint="eastAsia" w:ascii="宋体" w:hAnsi="宋体" w:cs="宋体"/>
          <w:color w:val="000000"/>
          <w:szCs w:val="21"/>
          <w:highlight w:val="none"/>
        </w:rPr>
        <w:t>三、质量保修责任</w:t>
      </w:r>
      <w:bookmarkEnd w:id="963"/>
    </w:p>
    <w:p w14:paraId="5C4A4AB3">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1.属于保修范围、内容的项目，承包人应当在接到保修通知之日起7天内派人保修。承包人不在约定期限内派人保修的，发包人可以委托他人修理。</w:t>
      </w:r>
    </w:p>
    <w:p w14:paraId="76F74B9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2.发生紧急事故需抢修的，承包人在接到事故通知后，应当立即到达事故现场抢修。</w:t>
      </w:r>
    </w:p>
    <w:p w14:paraId="0A1EC2FF">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4CA50F65">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4.质量保修完成后，由发包人组织验收。</w:t>
      </w:r>
    </w:p>
    <w:p w14:paraId="38A04080">
      <w:pPr>
        <w:spacing w:line="360" w:lineRule="auto"/>
        <w:ind w:firstLine="560" w:firstLineChars="200"/>
        <w:rPr>
          <w:rFonts w:hint="eastAsia" w:ascii="宋体" w:hAnsi="宋体" w:cs="宋体"/>
          <w:color w:val="000000"/>
          <w:szCs w:val="21"/>
          <w:highlight w:val="none"/>
        </w:rPr>
      </w:pPr>
      <w:bookmarkStart w:id="964" w:name="_Toc532375690"/>
      <w:r>
        <w:rPr>
          <w:rFonts w:hint="eastAsia" w:ascii="宋体" w:hAnsi="宋体" w:cs="宋体"/>
          <w:color w:val="000000"/>
          <w:szCs w:val="21"/>
          <w:highlight w:val="none"/>
        </w:rPr>
        <w:t>四、保修费用</w:t>
      </w:r>
      <w:bookmarkEnd w:id="964"/>
    </w:p>
    <w:p w14:paraId="31616CE6">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保修费用由质量缺陷的责任方承担。</w:t>
      </w:r>
    </w:p>
    <w:p w14:paraId="40933C6A">
      <w:pPr>
        <w:spacing w:line="360" w:lineRule="auto"/>
        <w:ind w:firstLine="560" w:firstLineChars="200"/>
        <w:rPr>
          <w:rFonts w:hint="eastAsia" w:ascii="宋体" w:hAnsi="宋体" w:cs="宋体"/>
          <w:color w:val="000000"/>
          <w:szCs w:val="21"/>
          <w:highlight w:val="none"/>
        </w:rPr>
      </w:pPr>
      <w:bookmarkStart w:id="965" w:name="_Toc532375691"/>
      <w:r>
        <w:rPr>
          <w:rFonts w:hint="eastAsia" w:ascii="宋体" w:hAnsi="宋体" w:cs="宋体"/>
          <w:color w:val="000000"/>
          <w:szCs w:val="21"/>
          <w:highlight w:val="none"/>
        </w:rPr>
        <w:t>五、双方约定的其他工程质量保修事项</w:t>
      </w:r>
    </w:p>
    <w:p w14:paraId="2683146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u w:val="single"/>
        </w:rPr>
        <w:t>按国家相关法律和规定执行</w:t>
      </w:r>
      <w:r>
        <w:rPr>
          <w:rFonts w:hint="eastAsia" w:ascii="宋体" w:hAnsi="宋体" w:cs="宋体"/>
          <w:color w:val="000000"/>
          <w:szCs w:val="21"/>
          <w:highlight w:val="none"/>
        </w:rPr>
        <w:t>。</w:t>
      </w:r>
      <w:bookmarkEnd w:id="965"/>
    </w:p>
    <w:p w14:paraId="38BF84ED">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本工程质量保修书由发包人、承包人在工程竣工验收前共同签署，作为施工合同附件，其有效期限至保修期满。</w:t>
      </w:r>
    </w:p>
    <w:p w14:paraId="641DD8E6">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六、本文件生效</w:t>
      </w:r>
    </w:p>
    <w:p w14:paraId="16F62407">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本工程质量保修书经发包人与承包人盖章后生效。</w:t>
      </w:r>
    </w:p>
    <w:p w14:paraId="4F13A30F">
      <w:pPr>
        <w:pStyle w:val="2"/>
        <w:spacing w:line="360" w:lineRule="auto"/>
        <w:ind w:firstLine="640" w:firstLineChars="200"/>
        <w:rPr>
          <w:rFonts w:hint="eastAsia" w:ascii="宋体" w:hAnsi="宋体" w:cs="宋体"/>
          <w:color w:val="000000"/>
          <w:szCs w:val="21"/>
          <w:highlight w:val="none"/>
        </w:rPr>
      </w:pPr>
    </w:p>
    <w:p w14:paraId="41A2BC44">
      <w:pPr>
        <w:spacing w:line="360" w:lineRule="auto"/>
        <w:ind w:firstLine="560" w:firstLineChars="200"/>
        <w:rPr>
          <w:rFonts w:hint="eastAsia"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发包人：</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（盖单位公章）</w:t>
      </w:r>
    </w:p>
    <w:p w14:paraId="1C469D00">
      <w:pPr>
        <w:spacing w:line="360" w:lineRule="auto"/>
        <w:ind w:firstLine="560" w:firstLineChars="200"/>
        <w:rPr>
          <w:rFonts w:hint="eastAsia" w:ascii="宋体" w:hAnsi="宋体" w:cs="宋体"/>
          <w:snapToGrid w:val="0"/>
          <w:color w:val="000000"/>
          <w:kern w:val="0"/>
          <w:szCs w:val="21"/>
          <w:highlight w:val="none"/>
        </w:rPr>
      </w:pPr>
    </w:p>
    <w:p w14:paraId="52F07531">
      <w:pPr>
        <w:spacing w:line="360" w:lineRule="auto"/>
        <w:ind w:firstLine="560" w:firstLineChars="200"/>
        <w:rPr>
          <w:rFonts w:hint="eastAsia" w:ascii="宋体" w:hAnsi="宋体" w:cs="宋体"/>
          <w:snapToGrid w:val="0"/>
          <w:color w:val="000000"/>
          <w:kern w:val="0"/>
          <w:szCs w:val="21"/>
          <w:highlight w:val="none"/>
        </w:rPr>
      </w:pPr>
    </w:p>
    <w:p w14:paraId="4B67EDDB">
      <w:pPr>
        <w:spacing w:line="360" w:lineRule="auto"/>
        <w:ind w:firstLine="560" w:firstLineChars="200"/>
        <w:rPr>
          <w:rFonts w:hint="eastAsia"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法定代表人或其委托代理人：</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（签名）</w:t>
      </w:r>
    </w:p>
    <w:p w14:paraId="69C111AE">
      <w:pPr>
        <w:spacing w:line="360" w:lineRule="auto"/>
        <w:ind w:firstLine="560" w:firstLineChars="200"/>
        <w:rPr>
          <w:rFonts w:hint="eastAsia" w:ascii="宋体" w:hAnsi="宋体" w:cs="宋体"/>
          <w:snapToGrid w:val="0"/>
          <w:color w:val="000000"/>
          <w:kern w:val="0"/>
          <w:szCs w:val="21"/>
          <w:highlight w:val="none"/>
        </w:rPr>
      </w:pPr>
    </w:p>
    <w:p w14:paraId="143D77A7">
      <w:pPr>
        <w:spacing w:line="360" w:lineRule="auto"/>
        <w:ind w:firstLine="560" w:firstLineChars="200"/>
        <w:rPr>
          <w:rFonts w:hint="eastAsia" w:ascii="宋体" w:hAnsi="宋体" w:cs="宋体"/>
          <w:snapToGrid w:val="0"/>
          <w:color w:val="000000"/>
          <w:kern w:val="0"/>
          <w:szCs w:val="21"/>
          <w:highlight w:val="none"/>
        </w:rPr>
      </w:pPr>
    </w:p>
    <w:p w14:paraId="7FF793A5">
      <w:pPr>
        <w:spacing w:line="360" w:lineRule="auto"/>
        <w:ind w:firstLine="560" w:firstLineChars="200"/>
        <w:rPr>
          <w:rFonts w:hint="eastAsia" w:ascii="宋体" w:hAnsi="宋体" w:cs="宋体"/>
          <w:color w:val="000000"/>
          <w:szCs w:val="21"/>
          <w:highlight w:val="none"/>
        </w:rPr>
      </w:pPr>
      <w:r>
        <w:rPr>
          <w:rFonts w:hint="eastAsia" w:ascii="宋体" w:hAnsi="宋体" w:cs="宋体"/>
          <w:snapToGrid w:val="0"/>
          <w:color w:val="000000"/>
          <w:kern w:val="0"/>
          <w:szCs w:val="21"/>
          <w:highlight w:val="none"/>
        </w:rPr>
        <w:t>承包人：</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（盖单位公章）</w:t>
      </w:r>
    </w:p>
    <w:p w14:paraId="570F9854">
      <w:pPr>
        <w:spacing w:line="360" w:lineRule="auto"/>
        <w:ind w:firstLine="560" w:firstLineChars="200"/>
        <w:rPr>
          <w:rFonts w:hint="eastAsia" w:ascii="宋体" w:hAnsi="宋体" w:cs="宋体"/>
          <w:snapToGrid w:val="0"/>
          <w:color w:val="000000"/>
          <w:kern w:val="0"/>
          <w:szCs w:val="21"/>
          <w:highlight w:val="none"/>
        </w:rPr>
      </w:pPr>
    </w:p>
    <w:p w14:paraId="7D447002">
      <w:pPr>
        <w:spacing w:line="360" w:lineRule="auto"/>
        <w:ind w:firstLine="560" w:firstLineChars="200"/>
        <w:rPr>
          <w:rFonts w:hint="eastAsia" w:ascii="宋体" w:hAnsi="宋体" w:cs="宋体"/>
          <w:snapToGrid w:val="0"/>
          <w:color w:val="000000"/>
          <w:kern w:val="0"/>
          <w:szCs w:val="21"/>
          <w:highlight w:val="none"/>
        </w:rPr>
      </w:pPr>
    </w:p>
    <w:p w14:paraId="640AAA91">
      <w:pPr>
        <w:spacing w:line="360" w:lineRule="auto"/>
        <w:ind w:firstLine="560" w:firstLineChars="200"/>
        <w:rPr>
          <w:rFonts w:hint="eastAsia" w:ascii="宋体" w:hAnsi="宋体" w:cs="宋体"/>
          <w:bCs/>
          <w:color w:val="000000"/>
          <w:kern w:val="0"/>
          <w:szCs w:val="21"/>
          <w:highlight w:val="none"/>
        </w:rPr>
      </w:pPr>
      <w:r>
        <w:rPr>
          <w:rFonts w:hint="eastAsia" w:ascii="宋体" w:hAnsi="宋体" w:cs="宋体"/>
          <w:snapToGrid w:val="0"/>
          <w:color w:val="000000"/>
          <w:kern w:val="0"/>
          <w:szCs w:val="21"/>
          <w:highlight w:val="none"/>
        </w:rPr>
        <w:t>法定代表人或其委托代理人：</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（签名）</w:t>
      </w:r>
    </w:p>
    <w:p w14:paraId="6F4A78DC">
      <w:pPr>
        <w:spacing w:line="360" w:lineRule="auto"/>
        <w:ind w:firstLine="558" w:firstLineChars="200"/>
        <w:rPr>
          <w:rFonts w:hint="eastAsia" w:ascii="宋体" w:hAnsi="宋体" w:cs="宋体"/>
          <w:snapToGrid w:val="0"/>
          <w:color w:val="000000"/>
          <w:spacing w:val="1"/>
          <w:w w:val="99"/>
          <w:kern w:val="0"/>
          <w:position w:val="-2"/>
          <w:szCs w:val="21"/>
          <w:highlight w:val="none"/>
        </w:rPr>
      </w:pPr>
    </w:p>
    <w:p w14:paraId="4B2CCD9E">
      <w:pPr>
        <w:spacing w:line="360" w:lineRule="auto"/>
        <w:ind w:firstLine="558" w:firstLineChars="200"/>
        <w:rPr>
          <w:rFonts w:hint="eastAsia" w:ascii="宋体" w:hAnsi="宋体" w:cs="宋体"/>
          <w:snapToGrid w:val="0"/>
          <w:color w:val="000000"/>
          <w:spacing w:val="1"/>
          <w:w w:val="99"/>
          <w:kern w:val="0"/>
          <w:position w:val="-2"/>
          <w:szCs w:val="21"/>
          <w:highlight w:val="none"/>
        </w:rPr>
      </w:pPr>
    </w:p>
    <w:p w14:paraId="6CBF1994">
      <w:pPr>
        <w:spacing w:line="360" w:lineRule="auto"/>
        <w:ind w:firstLine="560" w:firstLineChars="200"/>
        <w:rPr>
          <w:rFonts w:hint="eastAsia"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签约时间：</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年</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月</w:t>
      </w:r>
      <w:r>
        <w:rPr>
          <w:rFonts w:hint="eastAsia" w:ascii="宋体" w:hAnsi="宋体" w:cs="宋体"/>
          <w:snapToGrid w:val="0"/>
          <w:color w:val="000000"/>
          <w:kern w:val="0"/>
          <w:szCs w:val="21"/>
          <w:highlight w:val="none"/>
          <w:u w:val="single"/>
        </w:rPr>
        <w:t xml:space="preserve">     </w:t>
      </w:r>
      <w:r>
        <w:rPr>
          <w:rFonts w:hint="eastAsia" w:ascii="宋体" w:hAnsi="宋体" w:cs="宋体"/>
          <w:snapToGrid w:val="0"/>
          <w:color w:val="000000"/>
          <w:kern w:val="0"/>
          <w:szCs w:val="21"/>
          <w:highlight w:val="none"/>
        </w:rPr>
        <w:t>日</w:t>
      </w:r>
    </w:p>
    <w:p w14:paraId="2CA6F7ED">
      <w:pPr>
        <w:spacing w:line="480" w:lineRule="auto"/>
        <w:rPr>
          <w:rFonts w:hint="eastAsia" w:ascii="宋体" w:hAnsi="宋体" w:cs="宋体"/>
          <w:color w:val="000000"/>
          <w:szCs w:val="21"/>
          <w:highlight w:val="none"/>
        </w:rPr>
      </w:pPr>
      <w:r>
        <w:rPr>
          <w:rFonts w:hint="eastAsia" w:ascii="宋体" w:hAnsi="宋体" w:cs="宋体"/>
          <w:color w:val="000000"/>
          <w:szCs w:val="21"/>
          <w:highlight w:val="none"/>
        </w:rPr>
        <w:br w:type="page"/>
      </w:r>
      <w:bookmarkStart w:id="966" w:name="_Toc267261701"/>
      <w:r>
        <w:rPr>
          <w:rFonts w:hint="eastAsia" w:ascii="宋体" w:hAnsi="宋体" w:cs="宋体"/>
          <w:color w:val="000000"/>
          <w:szCs w:val="21"/>
          <w:highlight w:val="none"/>
        </w:rPr>
        <w:t>附</w:t>
      </w:r>
      <w:bookmarkStart w:id="967" w:name="_Toc296891271"/>
      <w:bookmarkStart w:id="968" w:name="_Toc296347230"/>
      <w:bookmarkStart w:id="969" w:name="_Toc296503231"/>
      <w:bookmarkStart w:id="970" w:name="_Toc296346732"/>
      <w:bookmarkStart w:id="971" w:name="_Toc296944570"/>
      <w:bookmarkStart w:id="972" w:name="_Toc296891059"/>
      <w:r>
        <w:rPr>
          <w:rFonts w:hint="eastAsia" w:ascii="宋体" w:hAnsi="宋体" w:cs="宋体"/>
          <w:color w:val="000000"/>
          <w:szCs w:val="21"/>
          <w:highlight w:val="none"/>
        </w:rPr>
        <w:t>件</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w:t>
      </w:r>
    </w:p>
    <w:bookmarkEnd w:id="966"/>
    <w:bookmarkEnd w:id="967"/>
    <w:bookmarkEnd w:id="968"/>
    <w:bookmarkEnd w:id="969"/>
    <w:bookmarkEnd w:id="970"/>
    <w:bookmarkEnd w:id="971"/>
    <w:bookmarkEnd w:id="972"/>
    <w:p w14:paraId="51AC95CF">
      <w:pPr>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履约保函示范文本</w:t>
      </w:r>
    </w:p>
    <w:p w14:paraId="3B680745">
      <w:pPr>
        <w:spacing w:line="360" w:lineRule="auto"/>
        <w:rPr>
          <w:rFonts w:hint="eastAsia" w:ascii="宋体" w:hAnsi="宋体" w:cs="宋体"/>
          <w:color w:val="000000"/>
          <w:szCs w:val="21"/>
          <w:highlight w:val="none"/>
        </w:rPr>
      </w:pPr>
    </w:p>
    <w:p w14:paraId="5089719C">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申请人：</w:t>
      </w:r>
    </w:p>
    <w:p w14:paraId="46D82ED2">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地  址：</w:t>
      </w:r>
    </w:p>
    <w:p w14:paraId="6D598CC4">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受益人：</w:t>
      </w:r>
    </w:p>
    <w:p w14:paraId="38FEF34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地  址：</w:t>
      </w:r>
    </w:p>
    <w:p w14:paraId="372E6B06">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开立人：</w:t>
      </w:r>
    </w:p>
    <w:p w14:paraId="2558FC6E">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地  址：</w:t>
      </w:r>
    </w:p>
    <w:p w14:paraId="48A6939E">
      <w:pPr>
        <w:spacing w:line="360" w:lineRule="auto"/>
        <w:rPr>
          <w:rFonts w:hint="eastAsia" w:ascii="宋体" w:hAnsi="宋体" w:cs="宋体"/>
          <w:color w:val="000000"/>
          <w:szCs w:val="21"/>
          <w:highlight w:val="none"/>
        </w:rPr>
      </w:pPr>
    </w:p>
    <w:p w14:paraId="06A1AB7E">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（受益人名称）：</w:t>
      </w:r>
    </w:p>
    <w:p w14:paraId="106C56D7">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鉴于</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（以下简称“受益人”）与</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（以下简称“申请人”）就工程</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以下简称“本工程”）施工和有关事项协商一致，根据本工程中选通知书、比价文件和比价申请文件，了解到申请人为本工程项下之承包人、受益人为本工程项下之发包人，基于申请人的请求，我方（即“开立人”）同意就申请人履行本工程依据中选通知书、比价文件和比价申请文件签订的</w:t>
      </w:r>
      <w:r>
        <w:rPr>
          <w:rFonts w:hint="eastAsia" w:ascii="宋体" w:hAnsi="宋体" w:cs="宋体"/>
          <w:color w:val="000000"/>
          <w:szCs w:val="21"/>
          <w:highlight w:val="none"/>
          <w:u w:val="single"/>
        </w:rPr>
        <w:t>《        》</w:t>
      </w:r>
      <w:r>
        <w:rPr>
          <w:rFonts w:hint="eastAsia" w:ascii="宋体" w:hAnsi="宋体" w:cs="宋体"/>
          <w:color w:val="000000"/>
          <w:szCs w:val="21"/>
          <w:highlight w:val="none"/>
        </w:rPr>
        <w:t>（以下简称“基础合同”）约定的义务，向贵方提供不可撤销、不可转让的见索即付保函（以下简称“本保函”）。</w:t>
      </w:r>
    </w:p>
    <w:p w14:paraId="3BF45686">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一、本保函担保范围：承包人未按照基础合同的约定履行义务，应当向贵方承担的违约责任和赔偿因此造成的损失、利息、律师费、诉讼费用等实现债权的费用。</w:t>
      </w:r>
    </w:p>
    <w:p w14:paraId="422C468B">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二、本保函担保金额最高不超过人民币（大写）</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元（¥</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2DEB33EF">
      <w:pPr>
        <w:spacing w:line="360" w:lineRule="auto"/>
        <w:ind w:firstLine="560" w:firstLineChars="200"/>
        <w:rPr>
          <w:rFonts w:hint="eastAsia" w:ascii="宋体" w:hAnsi="宋体" w:cs="宋体"/>
          <w:color w:val="000000"/>
          <w:spacing w:val="6"/>
          <w:szCs w:val="21"/>
          <w:highlight w:val="none"/>
        </w:rPr>
      </w:pPr>
      <w:r>
        <w:rPr>
          <w:rFonts w:hint="eastAsia" w:ascii="宋体" w:hAnsi="宋体" w:cs="宋体"/>
          <w:color w:val="000000"/>
          <w:szCs w:val="21"/>
          <w:highlight w:val="none"/>
        </w:rPr>
        <w:t>三、</w:t>
      </w:r>
      <w:r>
        <w:rPr>
          <w:rFonts w:hint="eastAsia" w:ascii="宋体" w:hAnsi="宋体" w:cs="宋体"/>
          <w:color w:val="000000"/>
          <w:spacing w:val="6"/>
          <w:szCs w:val="21"/>
          <w:highlight w:val="none"/>
        </w:rPr>
        <w:t>本保函有效期自受益人与申请人签订的合同生效之日</w:t>
      </w:r>
      <w:r>
        <w:rPr>
          <w:rFonts w:hint="eastAsia" w:ascii="宋体" w:hAnsi="宋体" w:cs="宋体"/>
          <w:color w:val="000000"/>
          <w:szCs w:val="21"/>
          <w:highlight w:val="none"/>
        </w:rPr>
        <w:t>起至合同约定的工期截止日后</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天，最迟不超过</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月</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日。</w:t>
      </w:r>
    </w:p>
    <w:p w14:paraId="3397568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四、我方承诺，在收到受益人发来的书面索赔通知和本保函原件后的</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个工作日内无条件支付至受益人指定账户，前述书面索赔通知即为付款要求之单据，且应满足以下要求：</w:t>
      </w:r>
    </w:p>
    <w:p w14:paraId="6D309F82">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（1）索赔通知到达的日期在本保函的有效期内；</w:t>
      </w:r>
    </w:p>
    <w:p w14:paraId="379A5FCF">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（2）载明要求支付的金额；</w:t>
      </w:r>
    </w:p>
    <w:p w14:paraId="004D124E">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（3）载明申请人违反合同义务的条款和内容；</w:t>
      </w:r>
    </w:p>
    <w:p w14:paraId="208F3999">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（4）声明不存在合同文件约定或我国法律规定免除申请人或开立人支付责任的情形；</w:t>
      </w:r>
    </w:p>
    <w:p w14:paraId="6D559328">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（5）索赔通知应在本保函有效期内到达的地址是：</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21A3DA5B">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受益人发出的书面索赔通知应由其为鉴明受益人法定代表人（负责人）或授权代理人签名或盖个人名章并加盖公章。</w:t>
      </w:r>
    </w:p>
    <w:p w14:paraId="3476D64A">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五、本保函项下的权利不得转让，不得设定担保。贵方未经我方书面同意转让本保函或其项下任何权利，对我方不发生法律效力。</w:t>
      </w:r>
    </w:p>
    <w:p w14:paraId="53FF063D">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六、与本保函有关的基础合同不成立、不生效、无效、被撤销、被解除，不影响本保函的独立有效。</w:t>
      </w:r>
    </w:p>
    <w:p w14:paraId="547426C9">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七、贵方应在本保函到期后的七个工作日内将本保函正本退回我方注销，但是不论贵方是否按此要求将本保函正本退回我方，我方在本保函项下的义务和责任均在保函有效期到期后自动消灭。</w:t>
      </w:r>
    </w:p>
    <w:p w14:paraId="6A5925C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八、本保函适用的法律为中华人民共和国法律，争议裁判管辖地为中华人民共和国</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395F691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九、本保函自我方法定代表人或授权代表签名或盖个人名章并加盖公章或合同专用章之日起生效。</w:t>
      </w:r>
    </w:p>
    <w:p w14:paraId="21B2199C">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十、本保函在重庆市辖区范围内的核验地点：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；核验方式：</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3EA2EAA2">
      <w:pPr>
        <w:spacing w:line="360" w:lineRule="auto"/>
        <w:rPr>
          <w:rFonts w:hint="eastAsia" w:ascii="宋体" w:hAnsi="宋体" w:cs="宋体"/>
          <w:color w:val="000000"/>
          <w:szCs w:val="21"/>
          <w:highlight w:val="none"/>
        </w:rPr>
      </w:pPr>
    </w:p>
    <w:p w14:paraId="220B7A54">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开 立 人：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（公章）</w:t>
      </w:r>
    </w:p>
    <w:p w14:paraId="5567BB6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法定代表人（或授权代表）：</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（签名或盖个人名章）</w:t>
      </w:r>
    </w:p>
    <w:p w14:paraId="1D217118">
      <w:pPr>
        <w:spacing w:line="360" w:lineRule="auto"/>
        <w:ind w:firstLine="560" w:firstLineChars="200"/>
        <w:rPr>
          <w:rFonts w:hint="eastAsia" w:ascii="宋体" w:hAnsi="宋体" w:cs="宋体"/>
          <w:color w:val="000000"/>
          <w:szCs w:val="21"/>
          <w:highlight w:val="none"/>
          <w:u w:val="single"/>
        </w:rPr>
      </w:pPr>
      <w:r>
        <w:rPr>
          <w:rFonts w:hint="eastAsia" w:ascii="宋体" w:hAnsi="宋体" w:cs="宋体"/>
          <w:color w:val="000000"/>
          <w:szCs w:val="21"/>
          <w:highlight w:val="none"/>
        </w:rPr>
        <w:t>地    址：</w:t>
      </w:r>
      <w:r>
        <w:rPr>
          <w:rFonts w:hint="eastAsia" w:ascii="宋体" w:hAnsi="宋体" w:cs="宋体"/>
          <w:color w:val="000000"/>
          <w:szCs w:val="21"/>
          <w:highlight w:val="none"/>
          <w:u w:val="single"/>
        </w:rPr>
        <w:t xml:space="preserve">                                          </w:t>
      </w:r>
    </w:p>
    <w:p w14:paraId="0AB09F90">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邮政编码：</w:t>
      </w:r>
      <w:r>
        <w:rPr>
          <w:rFonts w:hint="eastAsia" w:ascii="宋体" w:hAnsi="宋体" w:cs="宋体"/>
          <w:color w:val="000000"/>
          <w:szCs w:val="21"/>
          <w:highlight w:val="none"/>
          <w:u w:val="single"/>
        </w:rPr>
        <w:t xml:space="preserve">                                          </w:t>
      </w:r>
    </w:p>
    <w:p w14:paraId="64F2680B">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电    话：</w:t>
      </w:r>
      <w:r>
        <w:rPr>
          <w:rFonts w:hint="eastAsia" w:ascii="宋体" w:hAnsi="宋体" w:cs="宋体"/>
          <w:color w:val="000000"/>
          <w:szCs w:val="21"/>
          <w:highlight w:val="none"/>
          <w:u w:val="single"/>
        </w:rPr>
        <w:t xml:space="preserve">                                          </w:t>
      </w:r>
    </w:p>
    <w:p w14:paraId="1FB2F2EE">
      <w:pPr>
        <w:spacing w:line="360" w:lineRule="auto"/>
        <w:ind w:firstLine="560" w:firstLineChars="200"/>
        <w:rPr>
          <w:rFonts w:hint="eastAsia" w:ascii="宋体" w:hAnsi="宋体" w:cs="宋体"/>
          <w:color w:val="000000"/>
          <w:szCs w:val="21"/>
          <w:highlight w:val="none"/>
        </w:rPr>
      </w:pPr>
      <w:r>
        <w:rPr>
          <w:rFonts w:hint="eastAsia" w:ascii="宋体" w:hAnsi="宋体" w:cs="宋体"/>
          <w:color w:val="000000"/>
          <w:szCs w:val="21"/>
          <w:highlight w:val="none"/>
        </w:rPr>
        <w:t>传    真：</w:t>
      </w:r>
      <w:r>
        <w:rPr>
          <w:rFonts w:hint="eastAsia" w:ascii="宋体" w:hAnsi="宋体" w:cs="宋体"/>
          <w:color w:val="000000"/>
          <w:szCs w:val="21"/>
          <w:highlight w:val="none"/>
          <w:u w:val="single"/>
        </w:rPr>
        <w:t xml:space="preserve">                                          </w:t>
      </w:r>
    </w:p>
    <w:p w14:paraId="5D20FBF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开立时间：    年    月    日</w:t>
      </w:r>
    </w:p>
    <w:p w14:paraId="04CCD2C8">
      <w:pPr>
        <w:spacing w:line="480" w:lineRule="auto"/>
        <w:rPr>
          <w:rFonts w:hint="eastAsia" w:ascii="宋体" w:hAnsi="宋体" w:cs="宋体"/>
          <w:color w:val="000000"/>
          <w:szCs w:val="21"/>
          <w:highlight w:val="none"/>
        </w:rPr>
      </w:pPr>
    </w:p>
    <w:p w14:paraId="5694B75E">
      <w:pPr>
        <w:spacing w:line="480" w:lineRule="auto"/>
        <w:rPr>
          <w:rFonts w:hint="eastAsia" w:ascii="宋体" w:hAnsi="宋体" w:cs="宋体"/>
          <w:color w:val="000000"/>
          <w:szCs w:val="21"/>
          <w:highlight w:val="none"/>
        </w:rPr>
      </w:pPr>
      <w:r>
        <w:rPr>
          <w:rFonts w:hint="eastAsia" w:ascii="宋体" w:hAnsi="宋体" w:cs="宋体"/>
          <w:color w:val="000000"/>
          <w:szCs w:val="21"/>
          <w:highlight w:val="none"/>
        </w:rPr>
        <w:t>附件</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w:t>
      </w:r>
    </w:p>
    <w:p w14:paraId="0458A5CE">
      <w:pPr>
        <w:spacing w:before="221" w:beforeLines="50" w:after="221" w:afterLines="50" w:line="480" w:lineRule="auto"/>
        <w:jc w:val="center"/>
        <w:rPr>
          <w:rFonts w:hint="eastAsia" w:ascii="宋体" w:hAnsi="宋体" w:cs="宋体"/>
          <w:color w:val="000000"/>
          <w:szCs w:val="21"/>
          <w:highlight w:val="none"/>
        </w:rPr>
      </w:pPr>
      <w:bookmarkStart w:id="973" w:name="_Toc435689499"/>
      <w:bookmarkStart w:id="974" w:name="_Toc247431422"/>
      <w:bookmarkStart w:id="975" w:name="_Toc435690184"/>
      <w:bookmarkStart w:id="976" w:name="_Toc239510288"/>
      <w:bookmarkStart w:id="977" w:name="_Toc448406299"/>
      <w:bookmarkStart w:id="978" w:name="_Toc336680145"/>
      <w:r>
        <w:rPr>
          <w:rFonts w:hint="eastAsia" w:ascii="宋体" w:hAnsi="宋体" w:cs="宋体"/>
          <w:color w:val="000000"/>
          <w:szCs w:val="21"/>
          <w:highlight w:val="none"/>
        </w:rPr>
        <w:t>安全管理协议</w:t>
      </w:r>
      <w:bookmarkEnd w:id="973"/>
      <w:bookmarkEnd w:id="974"/>
      <w:bookmarkEnd w:id="975"/>
      <w:bookmarkEnd w:id="976"/>
      <w:bookmarkEnd w:id="977"/>
      <w:bookmarkEnd w:id="978"/>
    </w:p>
    <w:p w14:paraId="270D1EC4">
      <w:pPr>
        <w:snapToGrid w:val="0"/>
        <w:spacing w:line="360" w:lineRule="auto"/>
        <w:ind w:firstLine="562" w:firstLineChars="200"/>
        <w:rPr>
          <w:rFonts w:hint="eastAsia" w:ascii="宋体" w:hAnsi="宋体" w:cs="宋体"/>
          <w:b/>
          <w:color w:val="000000"/>
          <w:szCs w:val="21"/>
          <w:highlight w:val="none"/>
          <w:u w:val="single"/>
        </w:rPr>
      </w:pPr>
      <w:r>
        <w:rPr>
          <w:rFonts w:hint="eastAsia" w:ascii="宋体" w:hAnsi="宋体" w:cs="宋体"/>
          <w:b/>
          <w:color w:val="000000"/>
          <w:szCs w:val="21"/>
          <w:highlight w:val="none"/>
        </w:rPr>
        <w:t>发包人（全称）：</w:t>
      </w:r>
      <w:r>
        <w:rPr>
          <w:rFonts w:hint="eastAsia" w:ascii="宋体" w:hAnsi="宋体" w:cs="宋体"/>
          <w:color w:val="000000"/>
          <w:szCs w:val="21"/>
          <w:highlight w:val="none"/>
          <w:u w:val="single"/>
        </w:rPr>
        <w:t xml:space="preserve">                             </w:t>
      </w:r>
    </w:p>
    <w:p w14:paraId="127991A1">
      <w:pPr>
        <w:snapToGrid w:val="0"/>
        <w:spacing w:line="360" w:lineRule="auto"/>
        <w:ind w:firstLine="562" w:firstLineChars="200"/>
        <w:rPr>
          <w:rFonts w:hint="eastAsia" w:ascii="宋体" w:hAnsi="宋体" w:cs="宋体"/>
          <w:b/>
          <w:color w:val="000000"/>
          <w:szCs w:val="21"/>
          <w:highlight w:val="none"/>
          <w:u w:val="single"/>
        </w:rPr>
      </w:pPr>
      <w:r>
        <w:rPr>
          <w:rFonts w:hint="eastAsia" w:ascii="宋体" w:hAnsi="宋体" w:cs="宋体"/>
          <w:b/>
          <w:color w:val="000000"/>
          <w:szCs w:val="21"/>
          <w:highlight w:val="none"/>
        </w:rPr>
        <w:t>承包人（全称）：</w:t>
      </w:r>
      <w:r>
        <w:rPr>
          <w:rFonts w:hint="eastAsia" w:ascii="宋体" w:hAnsi="宋体" w:cs="宋体"/>
          <w:color w:val="000000"/>
          <w:szCs w:val="21"/>
          <w:highlight w:val="none"/>
          <w:u w:val="single"/>
        </w:rPr>
        <w:t xml:space="preserve">                             </w:t>
      </w:r>
    </w:p>
    <w:p w14:paraId="2449DBB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为了确保实现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安全生产目标，进一步明确双方的安全管理责任，加强安全生产管理工作的协调、管理力度，</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（以下简称“发包人”）与</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以下简称“承包人”）依据国家安全生产相关的法律、法规和安全方面的强制性国家标准或行业标准，双方同意签订该协议作为正式合同安全管理方面的补充规定，并承诺本协议具有与合同相同的法律效力。具体条款如下：</w:t>
      </w:r>
    </w:p>
    <w:p w14:paraId="0BA27198">
      <w:pPr>
        <w:spacing w:line="360" w:lineRule="auto"/>
        <w:ind w:firstLine="560" w:firstLineChars="200"/>
        <w:rPr>
          <w:rFonts w:hint="eastAsia" w:ascii="宋体" w:hAnsi="宋体" w:cs="宋体"/>
          <w:color w:val="000000"/>
          <w:szCs w:val="21"/>
          <w:highlight w:val="none"/>
        </w:rPr>
      </w:pPr>
      <w:bookmarkStart w:id="979" w:name="_Toc247418263"/>
      <w:bookmarkStart w:id="980" w:name="_Toc239510289"/>
      <w:bookmarkStart w:id="981" w:name="_Toc247431423"/>
      <w:bookmarkStart w:id="982" w:name="_Toc532375700"/>
      <w:r>
        <w:rPr>
          <w:rFonts w:hint="eastAsia" w:ascii="宋体" w:hAnsi="宋体" w:cs="宋体"/>
          <w:color w:val="000000"/>
          <w:szCs w:val="21"/>
          <w:highlight w:val="none"/>
        </w:rPr>
        <w:t>一、协议有效期限</w:t>
      </w:r>
      <w:bookmarkEnd w:id="979"/>
      <w:bookmarkEnd w:id="980"/>
      <w:bookmarkEnd w:id="981"/>
      <w:bookmarkEnd w:id="982"/>
    </w:p>
    <w:p w14:paraId="67DC34A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本协议中所涉及的安全管理责任自合同签订之日起开始生效，至合同工程全部完工验收且经发包人与承包人签订移交协议生效后之日终止。</w:t>
      </w:r>
    </w:p>
    <w:p w14:paraId="4DC89030">
      <w:pPr>
        <w:spacing w:line="360" w:lineRule="auto"/>
        <w:ind w:firstLine="560" w:firstLineChars="200"/>
        <w:rPr>
          <w:rFonts w:hint="eastAsia" w:ascii="宋体" w:hAnsi="宋体" w:cs="宋体"/>
          <w:color w:val="000000"/>
          <w:szCs w:val="21"/>
          <w:highlight w:val="none"/>
        </w:rPr>
      </w:pPr>
      <w:bookmarkStart w:id="983" w:name="_Toc532375701"/>
      <w:bookmarkStart w:id="984" w:name="_Toc247418264"/>
      <w:bookmarkStart w:id="985" w:name="_Toc247431424"/>
      <w:bookmarkStart w:id="986" w:name="_Toc239510290"/>
      <w:r>
        <w:rPr>
          <w:rFonts w:hint="eastAsia" w:ascii="宋体" w:hAnsi="宋体" w:cs="宋体"/>
          <w:color w:val="000000"/>
          <w:szCs w:val="21"/>
          <w:highlight w:val="none"/>
        </w:rPr>
        <w:t>二、责任目标</w:t>
      </w:r>
      <w:bookmarkEnd w:id="983"/>
      <w:bookmarkEnd w:id="984"/>
      <w:bookmarkEnd w:id="985"/>
      <w:bookmarkEnd w:id="986"/>
    </w:p>
    <w:p w14:paraId="53B03E9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（一）承包人承诺承担和履行合同和发包人所规定的安全责任，且满足要求。</w:t>
      </w:r>
    </w:p>
    <w:p w14:paraId="0636B00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（二）承包人的安全控制目标是确保本工程在实施过程中：</w:t>
      </w:r>
    </w:p>
    <w:p w14:paraId="657C932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1．不发生人身重伤事故；</w:t>
      </w:r>
    </w:p>
    <w:p w14:paraId="33DC2C8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2．不发生火灾事故；</w:t>
      </w:r>
    </w:p>
    <w:p w14:paraId="3FB4B8E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3．不发生负有同等及以上事故责任的造成人身重伤的一般交通事故；</w:t>
      </w:r>
    </w:p>
    <w:p w14:paraId="24B8F28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4．不发生集体食物中毒事件（同时5人及以上的食物中毒）；</w:t>
      </w:r>
    </w:p>
    <w:p w14:paraId="31274A3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5．不发生流行性传染病 （无甲型传染病、其他常见传染病未形成多人同时患病）；</w:t>
      </w:r>
    </w:p>
    <w:p w14:paraId="7B55F6B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6．不发生重大环境污染事件（生活、工业垃圾及其他污染物造成环境污染和大面积水土流失）；</w:t>
      </w:r>
    </w:p>
    <w:p w14:paraId="373D403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7．不发生对施工区附近生产、生活造成重大影响的事件（如造成重大设备损坏、重大财产损失、人员伤害等）；</w:t>
      </w:r>
    </w:p>
    <w:p w14:paraId="28F8D98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8．不发生治安保卫事件（构成刑事拘留及以上的事件、盗窃直接损失超过1万元人民币的事件）。</w:t>
      </w:r>
    </w:p>
    <w:p w14:paraId="5B1D394E">
      <w:pPr>
        <w:spacing w:line="360" w:lineRule="auto"/>
        <w:ind w:firstLine="560" w:firstLineChars="200"/>
        <w:jc w:val="left"/>
        <w:rPr>
          <w:rFonts w:hint="eastAsia" w:ascii="宋体" w:hAnsi="宋体" w:cs="宋体"/>
          <w:color w:val="000000"/>
          <w:szCs w:val="21"/>
          <w:highlight w:val="none"/>
        </w:rPr>
      </w:pPr>
      <w:bookmarkStart w:id="987" w:name="_Toc247431425"/>
      <w:bookmarkStart w:id="988" w:name="_Toc239510291"/>
      <w:bookmarkStart w:id="989" w:name="_Toc247418265"/>
      <w:r>
        <w:rPr>
          <w:rFonts w:hint="eastAsia" w:ascii="宋体" w:hAnsi="宋体" w:cs="宋体"/>
          <w:color w:val="000000"/>
          <w:szCs w:val="21"/>
          <w:highlight w:val="none"/>
        </w:rPr>
        <w:t>（三）承包人承诺在施工中控制以下安全事故的发生：</w:t>
      </w:r>
      <w:bookmarkEnd w:id="987"/>
      <w:bookmarkEnd w:id="988"/>
      <w:bookmarkEnd w:id="989"/>
    </w:p>
    <w:p w14:paraId="3125559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1．人员轻伤事故。</w:t>
      </w:r>
    </w:p>
    <w:p w14:paraId="29D8DDD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2．负有同等及以上事故责任的人身轻伤交通事故。</w:t>
      </w:r>
    </w:p>
    <w:p w14:paraId="30B4938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3．其他安全未遂事故和异常事件。</w:t>
      </w:r>
    </w:p>
    <w:p w14:paraId="3AEFDFDC">
      <w:pPr>
        <w:spacing w:line="360" w:lineRule="auto"/>
        <w:ind w:firstLine="560" w:firstLineChars="200"/>
        <w:rPr>
          <w:rFonts w:hint="eastAsia" w:ascii="宋体" w:hAnsi="宋体" w:cs="宋体"/>
          <w:color w:val="000000"/>
          <w:szCs w:val="21"/>
          <w:highlight w:val="none"/>
        </w:rPr>
      </w:pPr>
      <w:bookmarkStart w:id="990" w:name="_Toc532375702"/>
      <w:bookmarkStart w:id="991" w:name="_Toc239510292"/>
      <w:bookmarkStart w:id="992" w:name="_Toc247418266"/>
      <w:bookmarkStart w:id="993" w:name="_Toc247431426"/>
      <w:r>
        <w:rPr>
          <w:rFonts w:hint="eastAsia" w:ascii="宋体" w:hAnsi="宋体" w:cs="宋体"/>
          <w:color w:val="000000"/>
          <w:szCs w:val="21"/>
          <w:highlight w:val="none"/>
        </w:rPr>
        <w:t>三、安全责任</w:t>
      </w:r>
      <w:bookmarkEnd w:id="990"/>
      <w:bookmarkEnd w:id="991"/>
      <w:bookmarkEnd w:id="992"/>
      <w:bookmarkEnd w:id="993"/>
    </w:p>
    <w:p w14:paraId="4DA14A0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1．承包人负有安全生产的管理责任和直接责任。</w:t>
      </w:r>
    </w:p>
    <w:p w14:paraId="7829DD6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2．承包人的法人或签署合同的公司总经理或受委托的代理人对合同安全负有全面的领导责任。</w:t>
      </w:r>
    </w:p>
    <w:p w14:paraId="0754642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3．承包人项目经理对施工现场的安全工作负有全面的直接领导责任。</w:t>
      </w:r>
    </w:p>
    <w:p w14:paraId="0AA7624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4．承包人保证执行“谁施工、谁负责”的施工安全原则。</w:t>
      </w:r>
    </w:p>
    <w:p w14:paraId="235ED8E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5．承包人保证服从发包人对安全工作的统一协调和管理。</w:t>
      </w:r>
    </w:p>
    <w:p w14:paraId="4B77203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6．承包人保证对本工程项目安全生产条件及其管理资源自行投入，保证安全资金的专款专用。</w:t>
      </w:r>
    </w:p>
    <w:p w14:paraId="71295E8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7．承包人保证建立本工程项目的安全管理体系及安全保证体系（注：项目安全管理大纲/手册、管理性的程序文件等）。</w:t>
      </w:r>
    </w:p>
    <w:p w14:paraId="5BB691B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8．承包人保证现场的安全管理专职人员必须持有建设主管部门安全生产培训考核合格证书。</w:t>
      </w:r>
    </w:p>
    <w:p w14:paraId="0E70FAF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9．承包人保证为现场所有工作人员（含分包商员工及劳务人员）配备符合国家标准的有承包人和/或其下属分包商标志的个人基本劳动保护用品。</w:t>
      </w:r>
    </w:p>
    <w:p w14:paraId="3D34FFC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10．承包人保证按照国家法律规定为现场所有工作人员（含分包商员工及劳务人员）购买意外伤害保险。</w:t>
      </w:r>
    </w:p>
    <w:p w14:paraId="43B2A23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11．承包人保证施工生活营地（包括自建的和租用的营地）满足消防、安全用电、卫生防疫、防暴雨、防雷击等方面的安全要求。</w:t>
      </w:r>
    </w:p>
    <w:p w14:paraId="3B64747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12．承包人保证对带入现场的设备、工具、材料按照国家法规和标准进行检测、试验，并持有法定部门出具的检验证书。</w:t>
      </w:r>
    </w:p>
    <w:p w14:paraId="1130FE3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13．承包人保证制订施工现场的文明施工措施，保护环境、树木和植被，保持施工现场的良好秩序和整洁的作业环境。</w:t>
      </w:r>
    </w:p>
    <w:p w14:paraId="5AAD470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14．承包人负责在施工过程中与当地政府、周边群众及其他承包商保持良好的沟通和交流。承包人遇到与周边群众发生纠纷时，应负责协调工作，确保工程能够顺利进行。</w:t>
      </w:r>
    </w:p>
    <w:p w14:paraId="06522AE5">
      <w:pPr>
        <w:spacing w:line="360" w:lineRule="auto"/>
        <w:ind w:firstLine="560" w:firstLineChars="200"/>
        <w:rPr>
          <w:rFonts w:hint="eastAsia" w:ascii="宋体" w:hAnsi="宋体" w:cs="宋体"/>
          <w:color w:val="000000"/>
          <w:szCs w:val="21"/>
          <w:highlight w:val="none"/>
        </w:rPr>
      </w:pPr>
      <w:bookmarkStart w:id="994" w:name="_Toc532375703"/>
      <w:bookmarkStart w:id="995" w:name="_Toc247431427"/>
      <w:bookmarkStart w:id="996" w:name="_Toc247418267"/>
      <w:bookmarkStart w:id="997" w:name="_Toc239510293"/>
      <w:r>
        <w:rPr>
          <w:rFonts w:hint="eastAsia" w:ascii="宋体" w:hAnsi="宋体" w:cs="宋体"/>
          <w:color w:val="000000"/>
          <w:szCs w:val="21"/>
          <w:highlight w:val="none"/>
        </w:rPr>
        <w:t>四、接口及协调</w:t>
      </w:r>
      <w:bookmarkEnd w:id="994"/>
      <w:bookmarkEnd w:id="995"/>
      <w:bookmarkEnd w:id="996"/>
      <w:bookmarkEnd w:id="997"/>
    </w:p>
    <w:p w14:paraId="7141A58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1．发包人委托监理公司对该工程实施监理，监理公司在安全管理方面代表发包人行使监督检查职能，承包人必须给予配合和支持。</w:t>
      </w:r>
    </w:p>
    <w:p w14:paraId="166A09C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2．承包人人员、车辆的出入，带入现场的设备、机具、材料，在现场使用的或直接管理的办公、生活、生产性设施的安全管理须满足发包人现场管理的基本要求。</w:t>
      </w:r>
    </w:p>
    <w:p w14:paraId="148515A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3．承包人应指定专职安全管理人员与发包人委托的监理公司接口，参与安全协调和管理。安全协调和管理的内容包括职业健康、工业安全、消防安全、卫生防疫、交通安全、环境保护、治安保卫等各方面。</w:t>
      </w:r>
    </w:p>
    <w:p w14:paraId="0E82652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112F79B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5．承包人指定的专职安全管理人员应与发包人委托的监理公司建立联系，在业务上接受发包人委托的监理公司的协调和指导。</w:t>
      </w:r>
    </w:p>
    <w:p w14:paraId="30251F8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6．开工后承包人的专职安全管理人员应按照发包人委托的监理公司的规定，定期报送安全月度快报、季报、年报和各种专项事故报告等。</w:t>
      </w:r>
    </w:p>
    <w:p w14:paraId="19C98E6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7．在工程实体未全部正式移交发包人施工管理部门之前，承包人依旧对施工范围内的安全管理负责。</w:t>
      </w:r>
    </w:p>
    <w:p w14:paraId="619C12FE">
      <w:pPr>
        <w:spacing w:line="360" w:lineRule="auto"/>
        <w:ind w:firstLine="560" w:firstLineChars="200"/>
        <w:rPr>
          <w:rFonts w:hint="eastAsia" w:ascii="宋体" w:hAnsi="宋体" w:cs="宋体"/>
          <w:color w:val="000000"/>
          <w:szCs w:val="21"/>
          <w:highlight w:val="none"/>
        </w:rPr>
      </w:pPr>
      <w:bookmarkStart w:id="998" w:name="_Toc239510294"/>
      <w:bookmarkStart w:id="999" w:name="_Toc247431428"/>
      <w:bookmarkStart w:id="1000" w:name="_Toc247418268"/>
      <w:bookmarkStart w:id="1001" w:name="_Toc532375704"/>
      <w:r>
        <w:rPr>
          <w:rFonts w:hint="eastAsia" w:ascii="宋体" w:hAnsi="宋体" w:cs="宋体"/>
          <w:color w:val="000000"/>
          <w:szCs w:val="21"/>
          <w:highlight w:val="none"/>
        </w:rPr>
        <w:t>五、安全资质审查</w:t>
      </w:r>
      <w:bookmarkEnd w:id="998"/>
      <w:bookmarkEnd w:id="999"/>
      <w:bookmarkEnd w:id="1000"/>
      <w:bookmarkEnd w:id="1001"/>
    </w:p>
    <w:p w14:paraId="7823787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承包人在项目开工前5个工作天内向发包人委托的监理公司提供以下安全资质供审查和存档：</w:t>
      </w:r>
    </w:p>
    <w:p w14:paraId="3264509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1．企业安全生产许可证书复印件。</w:t>
      </w:r>
    </w:p>
    <w:p w14:paraId="2BE800A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2．企业近三年的施工简历及安全施工业绩证明文件。</w:t>
      </w:r>
    </w:p>
    <w:p w14:paraId="5A79B1C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3．企业主要安全管理人员（包括项目经理、专职安全管理人员）经建设主管部门安全生产知识考核合格证书。</w:t>
      </w:r>
    </w:p>
    <w:p w14:paraId="22853F5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4．特种作业人员资格证书。</w:t>
      </w:r>
    </w:p>
    <w:p w14:paraId="00E594F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5．项目安全管理机构及其人员配备（承包人必须配有专职的安全员）。</w:t>
      </w:r>
    </w:p>
    <w:p w14:paraId="1BAF9A9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6．适用于项目的安全管理体系及保证体系文件（安全管理大纲及管理程序文件）。</w:t>
      </w:r>
    </w:p>
    <w:p w14:paraId="4A6545AD">
      <w:pPr>
        <w:spacing w:line="360" w:lineRule="auto"/>
        <w:ind w:firstLine="560" w:firstLineChars="200"/>
        <w:rPr>
          <w:rFonts w:hint="eastAsia" w:ascii="宋体" w:hAnsi="宋体" w:cs="宋体"/>
          <w:color w:val="000000"/>
          <w:szCs w:val="21"/>
          <w:highlight w:val="none"/>
        </w:rPr>
      </w:pPr>
      <w:bookmarkStart w:id="1002" w:name="_Toc239510295"/>
      <w:bookmarkStart w:id="1003" w:name="_Toc247418269"/>
      <w:bookmarkStart w:id="1004" w:name="_Toc247431429"/>
      <w:bookmarkStart w:id="1005" w:name="_Toc532375705"/>
      <w:r>
        <w:rPr>
          <w:rFonts w:hint="eastAsia" w:ascii="宋体" w:hAnsi="宋体" w:cs="宋体"/>
          <w:color w:val="000000"/>
          <w:szCs w:val="21"/>
          <w:highlight w:val="none"/>
        </w:rPr>
        <w:t>六、人员基本素质</w:t>
      </w:r>
      <w:bookmarkEnd w:id="1002"/>
      <w:bookmarkEnd w:id="1003"/>
      <w:bookmarkEnd w:id="1004"/>
      <w:bookmarkEnd w:id="1005"/>
    </w:p>
    <w:p w14:paraId="05E0E33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承包人提供的人员必须满足下列要求：</w:t>
      </w:r>
    </w:p>
    <w:p w14:paraId="216CA2A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1．身体健康，无影响工作的精神疾病、无传染病和其他重大疾病；承包人需对其雇用的施工人员签发健康声明并保证其健康。其中体检证明材料（县级以上医院）和健康声明作为人员办理入场证件的必备材料。</w:t>
      </w:r>
    </w:p>
    <w:p w14:paraId="79E57D8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2．无刑事案件牵连。</w:t>
      </w:r>
    </w:p>
    <w:p w14:paraId="031DF37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3．无吸毒、酗酒、赌博、嫖娼等恶习及违法行为。</w:t>
      </w:r>
    </w:p>
    <w:p w14:paraId="4694E038">
      <w:pPr>
        <w:spacing w:line="360" w:lineRule="auto"/>
        <w:ind w:firstLine="560" w:firstLineChars="200"/>
        <w:rPr>
          <w:rFonts w:hint="eastAsia" w:ascii="宋体" w:hAnsi="宋体" w:cs="宋体"/>
          <w:color w:val="000000"/>
          <w:szCs w:val="21"/>
          <w:highlight w:val="none"/>
        </w:rPr>
      </w:pPr>
      <w:bookmarkStart w:id="1006" w:name="_Toc532375706"/>
      <w:bookmarkStart w:id="1007" w:name="_Toc239510296"/>
      <w:bookmarkStart w:id="1008" w:name="_Toc247418270"/>
      <w:bookmarkStart w:id="1009" w:name="_Toc247431430"/>
      <w:r>
        <w:rPr>
          <w:rFonts w:hint="eastAsia" w:ascii="宋体" w:hAnsi="宋体" w:cs="宋体"/>
          <w:color w:val="000000"/>
          <w:szCs w:val="21"/>
          <w:highlight w:val="none"/>
        </w:rPr>
        <w:t>七、劳动保护</w:t>
      </w:r>
      <w:bookmarkEnd w:id="1006"/>
      <w:bookmarkEnd w:id="1007"/>
      <w:bookmarkEnd w:id="1008"/>
      <w:bookmarkEnd w:id="1009"/>
    </w:p>
    <w:p w14:paraId="5C2C40D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1．承包人负责为本单位任何用工形式的员工提供个人劳动保护用品（包括工作服、安全帽、安全鞋等）。</w:t>
      </w:r>
    </w:p>
    <w:p w14:paraId="3540C57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2．承包人负责向特殊工种的员工提供特殊劳动保护，否则不得从事特殊工种作业。</w:t>
      </w:r>
    </w:p>
    <w:p w14:paraId="7374656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3．发包人委托的监理公司有权检查承包人的个人劳动保护用品是否符合国家的相应标准。</w:t>
      </w:r>
    </w:p>
    <w:p w14:paraId="456633D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 承包人在特殊风险场所作业而需要特殊防护用品或安全仪表时，必须在上述防护用品全部到位后才能开工。</w:t>
      </w:r>
    </w:p>
    <w:p w14:paraId="69BF15F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5．承包人应配备临时安全围栏、警示带、警告标志、防火布等集体防护用品。</w:t>
      </w:r>
    </w:p>
    <w:p w14:paraId="5DC9F9B3">
      <w:pPr>
        <w:spacing w:line="360" w:lineRule="auto"/>
        <w:ind w:firstLine="560" w:firstLineChars="200"/>
        <w:rPr>
          <w:rFonts w:hint="eastAsia" w:ascii="宋体" w:hAnsi="宋体" w:cs="宋体"/>
          <w:color w:val="000000"/>
          <w:szCs w:val="21"/>
          <w:highlight w:val="none"/>
        </w:rPr>
      </w:pPr>
      <w:bookmarkStart w:id="1010" w:name="_Toc532375707"/>
      <w:bookmarkStart w:id="1011" w:name="_Toc239510297"/>
      <w:bookmarkStart w:id="1012" w:name="_Toc247418271"/>
      <w:bookmarkStart w:id="1013" w:name="_Toc247431431"/>
      <w:r>
        <w:rPr>
          <w:rFonts w:hint="eastAsia" w:ascii="宋体" w:hAnsi="宋体" w:cs="宋体"/>
          <w:color w:val="000000"/>
          <w:szCs w:val="21"/>
          <w:highlight w:val="none"/>
        </w:rPr>
        <w:t>八、施工机具与材料</w:t>
      </w:r>
      <w:bookmarkEnd w:id="1010"/>
      <w:bookmarkEnd w:id="1011"/>
      <w:bookmarkEnd w:id="1012"/>
      <w:bookmarkEnd w:id="1013"/>
    </w:p>
    <w:p w14:paraId="15BBE2A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1．承包人对带入现场的施工机械和工器具的安全负责。</w:t>
      </w:r>
    </w:p>
    <w:p w14:paraId="1B46DBA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2．对于承包人带入现场的特殊工器具，如起重设备、索具、机动车辆、压缩气瓶等，承包人必须按国家法规和标准进行检测、试验，并持有法定部门出具的检验证书。</w:t>
      </w:r>
    </w:p>
    <w:p w14:paraId="33ECB5E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3．对于不属于法定检测的工器具，承包人也必须建立相应的管理、检测制度，这些工器具包括登高工具、脚手架材料、电动工具、安全防护设备及用具等。</w:t>
      </w:r>
    </w:p>
    <w:p w14:paraId="39CCDB55">
      <w:pPr>
        <w:spacing w:line="360" w:lineRule="auto"/>
        <w:ind w:firstLine="560" w:firstLineChars="200"/>
        <w:rPr>
          <w:rFonts w:hint="eastAsia" w:ascii="宋体" w:hAnsi="宋体" w:cs="宋体"/>
          <w:color w:val="000000"/>
          <w:szCs w:val="21"/>
          <w:highlight w:val="none"/>
        </w:rPr>
      </w:pPr>
      <w:bookmarkStart w:id="1014" w:name="_Toc247418272"/>
      <w:bookmarkStart w:id="1015" w:name="_Toc532375708"/>
      <w:bookmarkStart w:id="1016" w:name="_Toc239510298"/>
      <w:bookmarkStart w:id="1017" w:name="_Toc247431432"/>
      <w:r>
        <w:rPr>
          <w:rFonts w:hint="eastAsia" w:ascii="宋体" w:hAnsi="宋体" w:cs="宋体"/>
          <w:color w:val="000000"/>
          <w:szCs w:val="21"/>
          <w:highlight w:val="none"/>
        </w:rPr>
        <w:t>九、开工前安全条件检查</w:t>
      </w:r>
      <w:bookmarkEnd w:id="1014"/>
      <w:bookmarkEnd w:id="1015"/>
      <w:bookmarkEnd w:id="1016"/>
      <w:bookmarkEnd w:id="1017"/>
    </w:p>
    <w:p w14:paraId="605086B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4AF9B84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045A8D1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3．发包人委托的监理公司检查发现的缺陷，承包人应在规定期限内完成整改。对于重大缺陷，发包人委托的监理公司有权要求承包人推迟开工，由此对工期产生的影响或经济损失，由承包人承担。</w:t>
      </w:r>
    </w:p>
    <w:p w14:paraId="549CE9A5">
      <w:pPr>
        <w:spacing w:line="360" w:lineRule="auto"/>
        <w:ind w:firstLine="560" w:firstLineChars="200"/>
        <w:rPr>
          <w:rFonts w:hint="eastAsia" w:ascii="宋体" w:hAnsi="宋体" w:cs="宋体"/>
          <w:color w:val="000000"/>
          <w:szCs w:val="21"/>
          <w:highlight w:val="none"/>
        </w:rPr>
      </w:pPr>
      <w:bookmarkStart w:id="1018" w:name="_Toc247431433"/>
      <w:bookmarkStart w:id="1019" w:name="_Toc532375709"/>
      <w:bookmarkStart w:id="1020" w:name="_Toc247418273"/>
      <w:bookmarkStart w:id="1021" w:name="_Toc239510299"/>
      <w:r>
        <w:rPr>
          <w:rFonts w:hint="eastAsia" w:ascii="宋体" w:hAnsi="宋体" w:cs="宋体"/>
          <w:color w:val="000000"/>
          <w:szCs w:val="21"/>
          <w:highlight w:val="none"/>
        </w:rPr>
        <w:t>十、安全监督</w:t>
      </w:r>
      <w:bookmarkEnd w:id="1018"/>
      <w:bookmarkEnd w:id="1019"/>
      <w:bookmarkEnd w:id="1020"/>
      <w:bookmarkEnd w:id="1021"/>
    </w:p>
    <w:p w14:paraId="32ACD5E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1．承包人应配备有满足项目安全管理需要的专职安全管理人员。</w:t>
      </w:r>
    </w:p>
    <w:p w14:paraId="674A74E2">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2．承包人的专职安全管理人员必须持建设主管部门颁发的安全生产知识考核合格证书。</w:t>
      </w:r>
    </w:p>
    <w:p w14:paraId="219ED01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3．承包人的专职安全管理人员在业务上接受发包人委托的监理公司和发包人安全管理部门的协调和指导。</w:t>
      </w:r>
    </w:p>
    <w:p w14:paraId="65872F4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4．承包人应建立班前安全交底制度；施工期间坚持开展安全检查和日常安全监督并形成相应的记录。</w:t>
      </w:r>
    </w:p>
    <w:p w14:paraId="736DBDF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5．承包人应在每个作业区任命兼职安全员，赋予兼职安全员相应的授权和义务，并对兼职安全员进行定期考核。</w:t>
      </w:r>
    </w:p>
    <w:p w14:paraId="0E5128A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6．承包人应接受和配合发包人专业部门及委托的监理公司的监督与安全评价。</w:t>
      </w:r>
    </w:p>
    <w:p w14:paraId="65927D3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7．发包人和委托的监理公司有权对承包人履行安全管理协议的情况进行监督，并有权对违章行为实行停工和处罚，处罚情况将通知承包人。涉及经济处罚时将直接通知合同管理部门从合同结算中扣除。</w:t>
      </w:r>
    </w:p>
    <w:p w14:paraId="4E7DA3C5">
      <w:pPr>
        <w:spacing w:line="360" w:lineRule="auto"/>
        <w:ind w:firstLine="560" w:firstLineChars="200"/>
        <w:rPr>
          <w:rFonts w:hint="eastAsia" w:ascii="宋体" w:hAnsi="宋体" w:cs="宋体"/>
          <w:color w:val="000000"/>
          <w:szCs w:val="21"/>
          <w:highlight w:val="none"/>
        </w:rPr>
      </w:pPr>
      <w:bookmarkStart w:id="1022" w:name="_Toc247418274"/>
      <w:bookmarkStart w:id="1023" w:name="_Toc239510300"/>
      <w:bookmarkStart w:id="1024" w:name="_Toc247431434"/>
      <w:bookmarkStart w:id="1025" w:name="_Toc532375710"/>
      <w:r>
        <w:rPr>
          <w:rFonts w:hint="eastAsia" w:ascii="宋体" w:hAnsi="宋体" w:cs="宋体"/>
          <w:color w:val="000000"/>
          <w:szCs w:val="21"/>
          <w:highlight w:val="none"/>
        </w:rPr>
        <w:t>十一、安全培训与授权</w:t>
      </w:r>
      <w:bookmarkEnd w:id="1022"/>
      <w:bookmarkEnd w:id="1023"/>
      <w:bookmarkEnd w:id="1024"/>
      <w:bookmarkEnd w:id="1025"/>
    </w:p>
    <w:p w14:paraId="5D46534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1．承包人所有特殊工种人员必须持证上岗，发包人和发包人委托的监理公司有权对其进行抽查。承包人要建立特殊工种定期培训和检查计划，这些工种包括但不限于：机动车驾驶员、焊工、起重工、电工等。</w:t>
      </w:r>
    </w:p>
    <w:p w14:paraId="3811613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2．承包人应在特殊工种之外的其他工种中，筛选出高风险工种，并对其开展针对性的专题安全培训。</w:t>
      </w:r>
    </w:p>
    <w:p w14:paraId="1B4C0AF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3．承包人应组织 “入场培训”和考核。发包人委托的监理公司有权监督培训、考核情况或组织抽查考核。</w:t>
      </w:r>
    </w:p>
    <w:p w14:paraId="104ED9C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4．承包人应建立安全培训和考核机制，编制培训教材和培训滚动计划。承包人应组织安全考试/考核，建立培训考核记录，发包人委托的监理公司有权查看这些记录。</w:t>
      </w:r>
    </w:p>
    <w:p w14:paraId="6897C22E">
      <w:pPr>
        <w:spacing w:line="360" w:lineRule="auto"/>
        <w:ind w:firstLine="560" w:firstLineChars="200"/>
        <w:rPr>
          <w:rFonts w:hint="eastAsia" w:ascii="宋体" w:hAnsi="宋体" w:cs="宋体"/>
          <w:color w:val="000000"/>
          <w:szCs w:val="21"/>
          <w:highlight w:val="none"/>
        </w:rPr>
      </w:pPr>
      <w:bookmarkStart w:id="1026" w:name="_Toc247418275"/>
      <w:bookmarkStart w:id="1027" w:name="_Toc532375711"/>
      <w:bookmarkStart w:id="1028" w:name="_Toc239510301"/>
      <w:bookmarkStart w:id="1029" w:name="_Toc247431435"/>
      <w:r>
        <w:rPr>
          <w:rFonts w:hint="eastAsia" w:ascii="宋体" w:hAnsi="宋体" w:cs="宋体"/>
          <w:color w:val="000000"/>
          <w:szCs w:val="21"/>
          <w:highlight w:val="none"/>
        </w:rPr>
        <w:t>十二、职业健康与卫生防疫</w:t>
      </w:r>
      <w:bookmarkEnd w:id="1026"/>
      <w:bookmarkEnd w:id="1027"/>
      <w:bookmarkEnd w:id="1028"/>
      <w:bookmarkEnd w:id="1029"/>
    </w:p>
    <w:p w14:paraId="5051AEF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1．承包人应有特殊健康检查制度，预防有禁忌症患者从事有关职业，如恐高症患者不得从事高空作业，患有心血管疾病的人员不得从事繁重的体力劳动，特殊工种人员的体检应符合国家的规定。</w:t>
      </w:r>
    </w:p>
    <w:p w14:paraId="2587A43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2．承包人应保证卫生防疫基本设施的投入，以满足医疗、急救的要求，建立外部医疗支持渠道。</w:t>
      </w:r>
    </w:p>
    <w:p w14:paraId="7E9BBA6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47CC1E53">
      <w:pPr>
        <w:spacing w:line="360" w:lineRule="auto"/>
        <w:ind w:firstLine="560" w:firstLineChars="200"/>
        <w:rPr>
          <w:rFonts w:hint="eastAsia" w:ascii="宋体" w:hAnsi="宋体" w:cs="宋体"/>
          <w:color w:val="000000"/>
          <w:szCs w:val="21"/>
          <w:highlight w:val="none"/>
        </w:rPr>
      </w:pPr>
      <w:bookmarkStart w:id="1030" w:name="_Toc239510302"/>
      <w:bookmarkStart w:id="1031" w:name="_Toc532375712"/>
      <w:bookmarkStart w:id="1032" w:name="_Toc247418276"/>
      <w:bookmarkStart w:id="1033" w:name="_Toc247431436"/>
      <w:r>
        <w:rPr>
          <w:rFonts w:hint="eastAsia" w:ascii="宋体" w:hAnsi="宋体" w:cs="宋体"/>
          <w:color w:val="000000"/>
          <w:szCs w:val="21"/>
          <w:highlight w:val="none"/>
        </w:rPr>
        <w:t>十三、文明施工与环保要求</w:t>
      </w:r>
      <w:bookmarkEnd w:id="1030"/>
      <w:bookmarkEnd w:id="1031"/>
      <w:bookmarkEnd w:id="1032"/>
      <w:bookmarkEnd w:id="1033"/>
    </w:p>
    <w:p w14:paraId="26445D0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1．承包人需制订施工现场的文明施工措施，保持良好的施工现场秩序。施工现场的物料堆放要摆放整齐，安全标志和宣传标志要清楚醒目，废料、废物要分类收集，安全通道要畅通。</w:t>
      </w:r>
    </w:p>
    <w:p w14:paraId="267DF47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2．承包人作业时应避免建筑材料抛洒、飞扬、流淌；应尽可能降低噪音、震动。</w:t>
      </w:r>
    </w:p>
    <w:p w14:paraId="4EAC6AC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3．承包人应根据实际需要，在施工现场布置临时卫生设施（洗手间、卫生间等），施工作业不破坏环境卫生，不污染现场环境。</w:t>
      </w:r>
    </w:p>
    <w:p w14:paraId="378E3FE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4．承包人在施工中应充分重视对环境的保护，保护绿色植被，保护古树。施工如需伤害古树，必须报告发包人委托的监理公司，在未得到指令前，禁止擅自伤害古树。</w:t>
      </w:r>
    </w:p>
    <w:p w14:paraId="62500BB4">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承包人应及时清理现场废物和垃圾。工业废料与生活垃圾必须分开，有害废物与普通废物必须分开（如油品废物、电池灯管等，必须单独收集、存放）；禁止在非指定场所乱倒、乱堆垃圾。禁止违章处理危险化学品和工业垃圾。</w:t>
      </w:r>
    </w:p>
    <w:p w14:paraId="2821F7E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6．承包人在施工中应禁止向环境，排放工业污水、生活污水、废油或其他有害物质。</w:t>
      </w:r>
    </w:p>
    <w:p w14:paraId="429EAF2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48934955">
      <w:pPr>
        <w:spacing w:line="360" w:lineRule="auto"/>
        <w:ind w:firstLine="560" w:firstLineChars="200"/>
        <w:rPr>
          <w:rFonts w:hint="eastAsia" w:ascii="宋体" w:hAnsi="宋体" w:cs="宋体"/>
          <w:color w:val="000000"/>
          <w:szCs w:val="21"/>
          <w:highlight w:val="none"/>
        </w:rPr>
      </w:pPr>
      <w:bookmarkStart w:id="1034" w:name="_Toc532375713"/>
      <w:bookmarkStart w:id="1035" w:name="_Toc247431437"/>
      <w:bookmarkStart w:id="1036" w:name="_Toc247418277"/>
      <w:bookmarkStart w:id="1037" w:name="_Toc239510303"/>
      <w:r>
        <w:rPr>
          <w:rFonts w:hint="eastAsia" w:ascii="宋体" w:hAnsi="宋体" w:cs="宋体"/>
          <w:color w:val="000000"/>
          <w:szCs w:val="21"/>
          <w:highlight w:val="none"/>
        </w:rPr>
        <w:t>十四、工程风险管理与事故预防</w:t>
      </w:r>
      <w:bookmarkEnd w:id="1034"/>
      <w:bookmarkEnd w:id="1035"/>
      <w:bookmarkEnd w:id="1036"/>
      <w:bookmarkEnd w:id="1037"/>
    </w:p>
    <w:p w14:paraId="7662EC9C">
      <w:pPr>
        <w:spacing w:line="360" w:lineRule="auto"/>
        <w:ind w:firstLine="560" w:firstLineChars="200"/>
        <w:jc w:val="left"/>
        <w:rPr>
          <w:rFonts w:hint="eastAsia" w:ascii="宋体" w:hAnsi="宋体" w:cs="宋体"/>
          <w:color w:val="000000"/>
          <w:szCs w:val="21"/>
          <w:highlight w:val="none"/>
        </w:rPr>
      </w:pPr>
      <w:bookmarkStart w:id="1038" w:name="_Toc239510304"/>
      <w:bookmarkStart w:id="1039" w:name="_Toc247431438"/>
      <w:bookmarkStart w:id="1040" w:name="_Toc247418278"/>
      <w:r>
        <w:rPr>
          <w:rFonts w:hint="eastAsia" w:ascii="宋体" w:hAnsi="宋体" w:cs="宋体"/>
          <w:color w:val="000000"/>
          <w:szCs w:val="21"/>
          <w:highlight w:val="none"/>
        </w:rPr>
        <w:t>（一）基本要求</w:t>
      </w:r>
      <w:bookmarkEnd w:id="1038"/>
      <w:bookmarkEnd w:id="1039"/>
      <w:bookmarkEnd w:id="1040"/>
    </w:p>
    <w:p w14:paraId="53D02D86">
      <w:pPr>
        <w:spacing w:line="360" w:lineRule="auto"/>
        <w:ind w:firstLine="560" w:firstLineChars="200"/>
        <w:jc w:val="left"/>
        <w:rPr>
          <w:rFonts w:hint="eastAsia" w:ascii="宋体" w:hAnsi="宋体" w:cs="宋体"/>
          <w:color w:val="000000"/>
          <w:szCs w:val="21"/>
          <w:highlight w:val="none"/>
        </w:rPr>
      </w:pPr>
      <w:bookmarkStart w:id="1041" w:name="_Toc532375714"/>
      <w:r>
        <w:rPr>
          <w:rFonts w:hint="eastAsia" w:ascii="宋体" w:hAnsi="宋体" w:cs="宋体"/>
          <w:color w:val="000000"/>
          <w:szCs w:val="21"/>
          <w:highlight w:val="none"/>
        </w:rPr>
        <w:t>1．承包人应对施工过程进行全面、深入的危险源识别和风险分析。在施工安全组织设计中提供危险源及重要危险源清单、作业风险分析报告，该报告应包括（但不限于）如下信息：</w:t>
      </w:r>
      <w:bookmarkEnd w:id="1041"/>
    </w:p>
    <w:p w14:paraId="32A1CFE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（1）高风险作业和工种清单：作业名称、类别和数量、主要事故风险。</w:t>
      </w:r>
    </w:p>
    <w:p w14:paraId="6DE4BB6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（2）施工能源和机械的种类、数量和主要事故风险。</w:t>
      </w:r>
    </w:p>
    <w:p w14:paraId="12556D7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（3）施工作业条件的类型和主要事故风险。</w:t>
      </w:r>
    </w:p>
    <w:p w14:paraId="6EA95CB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（4）主要工艺过程（或施工活动）的类别及其相关的事故风险。</w:t>
      </w:r>
    </w:p>
    <w:p w14:paraId="1B6B69E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（5）主要火灾危险（可燃物、点火源）。</w:t>
      </w:r>
    </w:p>
    <w:p w14:paraId="184778A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（6）主要自然灾害（洪水、大风、雷暴、暴雨、地质灾害等）。</w:t>
      </w:r>
    </w:p>
    <w:p w14:paraId="2F1B3DE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（7）主要环境保护事件（有害垃圾、机械的跑冒滴漏、原材料流失、水土流失等）。</w:t>
      </w:r>
    </w:p>
    <w:p w14:paraId="1F3C64C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（8）其他。</w:t>
      </w:r>
    </w:p>
    <w:p w14:paraId="3E109AF8">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2．承包人应针对识别出的危险源制定有针对性的事故预防措施并确保在施工中得到有效落实。</w:t>
      </w:r>
    </w:p>
    <w:p w14:paraId="16C091F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3．承包人应建立日常施工活动的动态作业风险分析和安全交底制度。该制度应明确规定风险分析的方法、责任和交底的内容、时间及记录。</w:t>
      </w:r>
    </w:p>
    <w:p w14:paraId="3C2355E4">
      <w:pPr>
        <w:spacing w:line="360" w:lineRule="auto"/>
        <w:ind w:firstLine="560" w:firstLineChars="200"/>
        <w:jc w:val="left"/>
        <w:rPr>
          <w:rFonts w:hint="eastAsia" w:ascii="宋体" w:hAnsi="宋体" w:cs="宋体"/>
          <w:color w:val="000000"/>
          <w:szCs w:val="21"/>
          <w:highlight w:val="none"/>
        </w:rPr>
      </w:pPr>
      <w:bookmarkStart w:id="1042" w:name="_Toc247431439"/>
      <w:bookmarkStart w:id="1043" w:name="_Toc239510305"/>
      <w:bookmarkStart w:id="1044" w:name="_Toc247418279"/>
      <w:r>
        <w:rPr>
          <w:rFonts w:hint="eastAsia" w:ascii="宋体" w:hAnsi="宋体" w:cs="宋体"/>
          <w:color w:val="000000"/>
          <w:szCs w:val="21"/>
          <w:highlight w:val="none"/>
        </w:rPr>
        <w:t>（二）现场作业基本安全条件</w:t>
      </w:r>
      <w:bookmarkEnd w:id="1042"/>
      <w:bookmarkEnd w:id="1043"/>
      <w:bookmarkEnd w:id="1044"/>
    </w:p>
    <w:p w14:paraId="36AEA33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020CA2C4">
      <w:pPr>
        <w:spacing w:line="360" w:lineRule="auto"/>
        <w:ind w:firstLine="560" w:firstLineChars="200"/>
        <w:rPr>
          <w:rFonts w:hint="eastAsia" w:ascii="宋体" w:hAnsi="宋体" w:cs="宋体"/>
          <w:color w:val="000000"/>
          <w:szCs w:val="21"/>
          <w:highlight w:val="none"/>
        </w:rPr>
      </w:pPr>
      <w:bookmarkStart w:id="1045" w:name="_Toc247431440"/>
      <w:bookmarkStart w:id="1046" w:name="_Toc532375715"/>
      <w:bookmarkStart w:id="1047" w:name="_Toc247418280"/>
      <w:bookmarkStart w:id="1048" w:name="_Toc239510306"/>
      <w:r>
        <w:rPr>
          <w:rFonts w:hint="eastAsia" w:ascii="宋体" w:hAnsi="宋体" w:cs="宋体"/>
          <w:color w:val="000000"/>
          <w:szCs w:val="21"/>
          <w:highlight w:val="none"/>
        </w:rPr>
        <w:t>十五、事故报告与应急救援</w:t>
      </w:r>
      <w:bookmarkEnd w:id="1045"/>
      <w:bookmarkEnd w:id="1046"/>
      <w:bookmarkEnd w:id="1047"/>
      <w:bookmarkEnd w:id="1048"/>
    </w:p>
    <w:p w14:paraId="311CA09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1．承包人应制定对于未遂事故及以上级别的安全事件和事故，定期报送安全月度快报、季报、年报和各种专项事故报告等。</w:t>
      </w:r>
    </w:p>
    <w:p w14:paraId="286D22A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2．承包人应建立安全事故统计记录、未遂事故统计记录、违章统计记录，并根据统计情况进行分析，并就分析结果制定相应的预防措施。</w:t>
      </w:r>
    </w:p>
    <w:p w14:paraId="2446B6DD">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3．承包人应建立事故应急救援机制，明确事故处置的基本原则，即现场发生事故时，首先抢救生命，向救援组织报警，并采取措施限制事故扩大。</w:t>
      </w:r>
    </w:p>
    <w:p w14:paraId="0A3B090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4．承包人应建立相应的应急响应组织，以便能迅速处理突发意外。</w:t>
      </w:r>
    </w:p>
    <w:p w14:paraId="6FC6326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5．承包人应建立专项应急响应预案，包括重大人身伤亡事故的救护预案、火灾响应预案、“四防”预案（防风、防冻、防雷、防暴雨）、重大疫病防护预案、环境污染防护预案、地质灾害防护预案等。</w:t>
      </w:r>
    </w:p>
    <w:p w14:paraId="7B1674A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6．承包人应对应急预案进行适当演练，保证应急预案的可操作性。</w:t>
      </w:r>
    </w:p>
    <w:p w14:paraId="0610C1CF">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7．在工地的其他施工单位发生重大事故时，承包人应无条件立即配合、支持事故抢险。</w:t>
      </w:r>
    </w:p>
    <w:p w14:paraId="30C995B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8．承包人必须为事故处置支付各项费用，包括受伤者的抚恤、补偿等费用，并按合同要求赔偿对发包人造成的损失。</w:t>
      </w:r>
    </w:p>
    <w:p w14:paraId="198ACE1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9．由于发包人原因而造成的事故，发包人应负责按事故的具体损失情况给予承包人经济赔偿。</w:t>
      </w:r>
    </w:p>
    <w:p w14:paraId="246ECA2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10．涉及承包人员工的伤害事故，承包人除要报告发包人委托的监理公司外，还应负责按照国家、行业和本单位上级公司的要求，上报事故。</w:t>
      </w:r>
    </w:p>
    <w:p w14:paraId="77783A22">
      <w:pPr>
        <w:spacing w:line="360" w:lineRule="auto"/>
        <w:ind w:firstLine="560" w:firstLineChars="200"/>
        <w:rPr>
          <w:rFonts w:hint="eastAsia" w:ascii="宋体" w:hAnsi="宋体" w:cs="宋体"/>
          <w:color w:val="000000"/>
          <w:szCs w:val="21"/>
          <w:highlight w:val="none"/>
        </w:rPr>
      </w:pPr>
      <w:bookmarkStart w:id="1049" w:name="_Toc247431441"/>
      <w:bookmarkStart w:id="1050" w:name="_Toc239510307"/>
      <w:bookmarkStart w:id="1051" w:name="_Toc247418281"/>
      <w:bookmarkStart w:id="1052" w:name="_Toc532375716"/>
      <w:r>
        <w:rPr>
          <w:rFonts w:hint="eastAsia" w:ascii="宋体" w:hAnsi="宋体" w:cs="宋体"/>
          <w:color w:val="000000"/>
          <w:szCs w:val="21"/>
          <w:highlight w:val="none"/>
        </w:rPr>
        <w:t>十六、安全业绩考核</w:t>
      </w:r>
      <w:bookmarkEnd w:id="1049"/>
      <w:bookmarkEnd w:id="1050"/>
      <w:bookmarkEnd w:id="1051"/>
      <w:bookmarkEnd w:id="1052"/>
    </w:p>
    <w:p w14:paraId="058FC5E9">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为了落实安全管理的责任，承包人在施工过程中发生安全事故时，承包人除应按国家有关规定承担责任和处罚外，发包人还将按照以下标准进行考核：</w:t>
      </w:r>
    </w:p>
    <w:tbl>
      <w:tblPr>
        <w:tblStyle w:val="63"/>
        <w:tblW w:w="0" w:type="auto"/>
        <w:jc w:val="center"/>
        <w:tblLayout w:type="fixed"/>
        <w:tblCellMar>
          <w:top w:w="0" w:type="dxa"/>
          <w:left w:w="0" w:type="dxa"/>
          <w:bottom w:w="0" w:type="dxa"/>
          <w:right w:w="0" w:type="dxa"/>
        </w:tblCellMar>
      </w:tblPr>
      <w:tblGrid>
        <w:gridCol w:w="3240"/>
        <w:gridCol w:w="3765"/>
      </w:tblGrid>
      <w:tr w14:paraId="090F01DB">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93563D6">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D489837">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违约金额</w:t>
            </w:r>
          </w:p>
        </w:tc>
      </w:tr>
      <w:tr w14:paraId="1A55E27A">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6F0EFDC">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5515927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kern w:val="0"/>
                <w:szCs w:val="21"/>
                <w:highlight w:val="none"/>
              </w:rPr>
              <w:t>签约合同价</w:t>
            </w:r>
            <w:r>
              <w:rPr>
                <w:rFonts w:hint="eastAsia" w:ascii="宋体" w:hAnsi="宋体" w:cs="宋体"/>
                <w:color w:val="000000"/>
                <w:szCs w:val="21"/>
                <w:highlight w:val="none"/>
              </w:rPr>
              <w:t>的0.5‰</w:t>
            </w:r>
          </w:p>
        </w:tc>
      </w:tr>
      <w:tr w14:paraId="26332E4D">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C917FB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1D461A2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签约合同价的2‰</w:t>
            </w:r>
          </w:p>
        </w:tc>
      </w:tr>
      <w:tr w14:paraId="05096285">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BA610A">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12BE3C1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签约合同价的4‰</w:t>
            </w:r>
          </w:p>
        </w:tc>
      </w:tr>
    </w:tbl>
    <w:p w14:paraId="14E42F8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（1）较大事故，是指造成3人以上10人以下死亡，或者10人以上50人以下重伤，或者1000万元以上5000万元以下直接经济损失的事故；</w:t>
      </w:r>
    </w:p>
    <w:p w14:paraId="475A40AB">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（2）重大事故，是指造成10人以上30人以下死亡，或者50人以上100人以下重伤，或者5000万元以上1亿元以下直接经济损失的事故；</w:t>
      </w:r>
    </w:p>
    <w:p w14:paraId="0AE218D0">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（3）特别重大事故，是指造成30人以上死亡，或者100人以上重伤（包括急性工业中毒，下同），或者1亿元以上直接经济损失的事故；</w:t>
      </w:r>
    </w:p>
    <w:p w14:paraId="5A71E1D8">
      <w:pPr>
        <w:spacing w:line="276"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（4）所称的“以上”包括本数，所称的“以下”不包括本数。</w:t>
      </w:r>
    </w:p>
    <w:p w14:paraId="5D7F5DD7">
      <w:pPr>
        <w:spacing w:line="276"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（5）如整个施工过程未发生以上安全事故，则给予承包人建安费总额的1‰的安全奖励。</w:t>
      </w:r>
    </w:p>
    <w:p w14:paraId="6A1A9502">
      <w:pPr>
        <w:spacing w:line="276"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同时也作为是否可接受承包人再次参加发包人项目投标的依据之一。 </w:t>
      </w:r>
    </w:p>
    <w:p w14:paraId="49252BF5">
      <w:pPr>
        <w:spacing w:line="276" w:lineRule="auto"/>
        <w:ind w:firstLine="560" w:firstLineChars="200"/>
        <w:rPr>
          <w:rFonts w:hint="eastAsia" w:ascii="宋体" w:hAnsi="宋体" w:cs="宋体"/>
          <w:color w:val="000000"/>
          <w:szCs w:val="21"/>
          <w:highlight w:val="none"/>
        </w:rPr>
      </w:pPr>
      <w:bookmarkStart w:id="1053" w:name="_Toc247431442"/>
      <w:bookmarkStart w:id="1054" w:name="_Toc247418282"/>
      <w:bookmarkStart w:id="1055" w:name="_Toc532375717"/>
      <w:bookmarkStart w:id="1056" w:name="_Toc239510308"/>
      <w:r>
        <w:rPr>
          <w:rFonts w:hint="eastAsia" w:ascii="宋体" w:hAnsi="宋体" w:cs="宋体"/>
          <w:color w:val="000000"/>
          <w:szCs w:val="21"/>
          <w:highlight w:val="none"/>
        </w:rPr>
        <w:t>十七、协议条款的修订</w:t>
      </w:r>
      <w:bookmarkEnd w:id="1053"/>
      <w:bookmarkEnd w:id="1054"/>
      <w:bookmarkEnd w:id="1055"/>
      <w:bookmarkEnd w:id="1056"/>
    </w:p>
    <w:p w14:paraId="7F6C05CB">
      <w:pPr>
        <w:spacing w:line="276"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在项目实施过程中，经双方友好协商，本协议的有关条款也可做出相应的修改。</w:t>
      </w:r>
    </w:p>
    <w:p w14:paraId="732FE352">
      <w:pPr>
        <w:spacing w:line="276"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本工程安全管理协议，由发包人、承包人双方在施工承包合同签订后7天内共同签署，作为施工合同附件。</w:t>
      </w:r>
    </w:p>
    <w:p w14:paraId="5C8B3693">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发  包  人（单位公章）：</w:t>
      </w:r>
      <w:r>
        <w:rPr>
          <w:rFonts w:hint="eastAsia" w:ascii="宋体" w:hAnsi="宋体" w:cs="宋体"/>
          <w:color w:val="000000"/>
          <w:szCs w:val="21"/>
          <w:highlight w:val="none"/>
          <w:u w:val="single"/>
        </w:rPr>
        <w:t xml:space="preserve">                   </w:t>
      </w:r>
    </w:p>
    <w:p w14:paraId="2FD961F5">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法定代表人（签名）：</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6C1E72CE">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或其委托代理人（签名）：</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2825A30C">
      <w:pPr>
        <w:spacing w:line="360" w:lineRule="auto"/>
        <w:ind w:firstLine="560" w:firstLineChars="200"/>
        <w:jc w:val="left"/>
        <w:rPr>
          <w:rFonts w:hint="eastAsia" w:ascii="宋体" w:hAnsi="宋体" w:cs="宋体"/>
          <w:color w:val="000000"/>
          <w:szCs w:val="21"/>
          <w:highlight w:val="none"/>
        </w:rPr>
      </w:pPr>
    </w:p>
    <w:p w14:paraId="64BB2587">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szCs w:val="21"/>
          <w:highlight w:val="none"/>
        </w:rPr>
        <w:t>承  包  人（单位公章）：</w:t>
      </w:r>
      <w:r>
        <w:rPr>
          <w:rFonts w:hint="eastAsia" w:ascii="宋体" w:hAnsi="宋体" w:cs="宋体"/>
          <w:color w:val="000000"/>
          <w:szCs w:val="21"/>
          <w:highlight w:val="none"/>
          <w:u w:val="single"/>
        </w:rPr>
        <w:t xml:space="preserve">                   </w:t>
      </w:r>
    </w:p>
    <w:p w14:paraId="385DDF41">
      <w:pPr>
        <w:spacing w:line="360" w:lineRule="auto"/>
        <w:ind w:firstLine="56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法定代表人（签名）：</w:t>
      </w:r>
      <w:r>
        <w:rPr>
          <w:rFonts w:hint="eastAsia" w:ascii="宋体" w:hAnsi="宋体" w:cs="宋体"/>
          <w:color w:val="000000"/>
          <w:szCs w:val="21"/>
          <w:highlight w:val="none"/>
          <w:u w:val="single"/>
        </w:rPr>
        <w:t xml:space="preserve">                       </w:t>
      </w:r>
    </w:p>
    <w:p w14:paraId="4E8FC365">
      <w:pPr>
        <w:spacing w:line="360" w:lineRule="auto"/>
        <w:ind w:firstLine="560" w:firstLineChars="200"/>
        <w:jc w:val="left"/>
        <w:rPr>
          <w:rFonts w:hint="eastAsia" w:ascii="宋体" w:hAnsi="宋体" w:cs="宋体"/>
          <w:color w:val="000000"/>
          <w:kern w:val="0"/>
          <w:szCs w:val="21"/>
          <w:highlight w:val="none"/>
        </w:rPr>
      </w:pPr>
      <w:r>
        <w:rPr>
          <w:rFonts w:hint="eastAsia" w:ascii="宋体" w:hAnsi="宋体" w:cs="宋体"/>
          <w:color w:val="000000"/>
          <w:szCs w:val="21"/>
          <w:highlight w:val="none"/>
        </w:rPr>
        <w:t>或其委托代理人（签名）：</w:t>
      </w:r>
      <w:r>
        <w:rPr>
          <w:rFonts w:hint="eastAsia" w:ascii="宋体" w:hAnsi="宋体" w:cs="宋体"/>
          <w:color w:val="000000"/>
          <w:szCs w:val="21"/>
          <w:highlight w:val="none"/>
          <w:u w:val="single"/>
        </w:rPr>
        <w:t xml:space="preserve">                   </w:t>
      </w:r>
    </w:p>
    <w:p w14:paraId="5A80C310">
      <w:pPr>
        <w:snapToGrid w:val="0"/>
        <w:spacing w:line="360" w:lineRule="auto"/>
        <w:jc w:val="left"/>
        <w:rPr>
          <w:rFonts w:hint="eastAsia" w:ascii="宋体" w:hAnsi="宋体" w:cs="宋体"/>
          <w:color w:val="000000"/>
          <w:kern w:val="0"/>
          <w:szCs w:val="21"/>
          <w:highlight w:val="none"/>
        </w:rPr>
      </w:pPr>
    </w:p>
    <w:p w14:paraId="074D449C">
      <w:pPr>
        <w:pStyle w:val="2"/>
        <w:rPr>
          <w:rFonts w:hint="eastAsia" w:ascii="宋体" w:hAnsi="宋体" w:cs="宋体"/>
          <w:color w:val="000000"/>
          <w:kern w:val="0"/>
          <w:szCs w:val="21"/>
          <w:highlight w:val="none"/>
        </w:rPr>
      </w:pPr>
    </w:p>
    <w:p w14:paraId="711C1400">
      <w:pPr>
        <w:rPr>
          <w:rFonts w:hint="eastAsia" w:ascii="宋体" w:hAnsi="宋体" w:cs="宋体"/>
          <w:color w:val="000000"/>
          <w:kern w:val="0"/>
          <w:szCs w:val="21"/>
          <w:highlight w:val="none"/>
        </w:rPr>
      </w:pPr>
    </w:p>
    <w:p w14:paraId="02580AF7">
      <w:pPr>
        <w:pStyle w:val="2"/>
        <w:rPr>
          <w:rFonts w:hint="eastAsia" w:ascii="宋体" w:hAnsi="宋体" w:cs="宋体"/>
          <w:color w:val="000000"/>
          <w:kern w:val="0"/>
          <w:szCs w:val="21"/>
          <w:highlight w:val="none"/>
        </w:rPr>
      </w:pPr>
    </w:p>
    <w:p w14:paraId="21429343">
      <w:pPr>
        <w:pStyle w:val="2"/>
        <w:rPr>
          <w:rFonts w:hint="eastAsia"/>
          <w:color w:val="000000"/>
          <w:highlight w:val="none"/>
        </w:rPr>
      </w:pPr>
    </w:p>
    <w:p w14:paraId="5A69E51D">
      <w:pPr>
        <w:widowControl/>
        <w:snapToGrid w:val="0"/>
        <w:spacing w:after="100" w:afterAutospacing="1" w:line="480" w:lineRule="auto"/>
        <w:jc w:val="both"/>
        <w:rPr>
          <w:rFonts w:hint="eastAsia" w:ascii="仿宋" w:hAnsi="仿宋" w:eastAsia="仿宋" w:cs="仿宋"/>
          <w:color w:val="000000" w:themeColor="text1"/>
          <w:sz w:val="28"/>
          <w:szCs w:val="28"/>
          <w:lang w:eastAsia="zh-CN"/>
          <w14:textFill>
            <w14:solidFill>
              <w14:schemeClr w14:val="tx1"/>
            </w14:solidFill>
          </w14:textFill>
        </w:rPr>
      </w:pPr>
      <w:r>
        <w:rPr>
          <w:rFonts w:hint="eastAsia" w:ascii="宋体" w:hAnsi="宋体" w:cs="宋体"/>
          <w:color w:val="000000"/>
          <w:szCs w:val="21"/>
          <w:highlight w:val="none"/>
        </w:rPr>
        <w:br w:type="page"/>
      </w:r>
    </w:p>
    <w:p w14:paraId="07665BDB">
      <w:pPr>
        <w:rPr>
          <w:rFonts w:hint="eastAsia"/>
          <w:color w:val="000000" w:themeColor="text1"/>
          <w:sz w:val="28"/>
          <w:szCs w:val="28"/>
          <w14:textFill>
            <w14:solidFill>
              <w14:schemeClr w14:val="tx1"/>
            </w14:solidFill>
          </w14:textFill>
        </w:rPr>
      </w:pPr>
    </w:p>
    <w:p w14:paraId="332A79B4">
      <w:pPr>
        <w:pStyle w:val="4"/>
        <w:spacing w:line="360" w:lineRule="auto"/>
        <w:jc w:val="center"/>
        <w:rPr>
          <w:rFonts w:hint="eastAsia" w:ascii="仿宋" w:hAnsi="仿宋" w:eastAsia="仿宋" w:cs="仿宋"/>
          <w:color w:val="000000" w:themeColor="text1"/>
          <w:sz w:val="28"/>
          <w:szCs w:val="28"/>
          <w14:textFill>
            <w14:solidFill>
              <w14:schemeClr w14:val="tx1"/>
            </w14:solidFill>
          </w14:textFill>
        </w:rPr>
      </w:pPr>
      <w:bookmarkStart w:id="1057" w:name="_Toc26697"/>
      <w:r>
        <w:rPr>
          <w:rFonts w:hint="eastAsia" w:ascii="仿宋" w:hAnsi="仿宋" w:eastAsia="仿宋" w:cs="仿宋"/>
          <w:color w:val="000000" w:themeColor="text1"/>
          <w:sz w:val="28"/>
          <w:szCs w:val="28"/>
          <w14:textFill>
            <w14:solidFill>
              <w14:schemeClr w14:val="tx1"/>
            </w14:solidFill>
          </w14:textFill>
        </w:rPr>
        <w:t>第七篇  响应文件编制要求</w:t>
      </w:r>
      <w:bookmarkEnd w:id="84"/>
      <w:bookmarkEnd w:id="1057"/>
    </w:p>
    <w:p w14:paraId="77BC6CD1">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一</w:t>
      </w:r>
      <w:r>
        <w:rPr>
          <w:rFonts w:hint="eastAsia" w:ascii="仿宋" w:hAnsi="仿宋" w:eastAsia="仿宋" w:cs="仿宋"/>
          <w:color w:val="000000" w:themeColor="text1"/>
          <w:sz w:val="24"/>
          <w:szCs w:val="24"/>
          <w14:textFill>
            <w14:solidFill>
              <w14:schemeClr w14:val="tx1"/>
            </w14:solidFill>
          </w14:textFill>
        </w:rPr>
        <w:t>、报价部分</w:t>
      </w:r>
    </w:p>
    <w:p w14:paraId="6E6C2CFB">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（一）采购报价函</w:t>
      </w:r>
    </w:p>
    <w:p w14:paraId="27F746DF">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（二）已标工程量清单</w:t>
      </w:r>
    </w:p>
    <w:p w14:paraId="260A08BC">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二</w:t>
      </w:r>
      <w:r>
        <w:rPr>
          <w:rFonts w:hint="eastAsia" w:ascii="仿宋" w:hAnsi="仿宋" w:eastAsia="仿宋" w:cs="仿宋"/>
          <w:color w:val="000000" w:themeColor="text1"/>
          <w:sz w:val="24"/>
          <w:szCs w:val="24"/>
          <w14:textFill>
            <w14:solidFill>
              <w14:schemeClr w14:val="tx1"/>
            </w14:solidFill>
          </w14:textFill>
        </w:rPr>
        <w:t>、技术部分</w:t>
      </w:r>
    </w:p>
    <w:p w14:paraId="71144A4E">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（一）技术方案（建议按照评审标准技术部分内容编写）</w:t>
      </w:r>
    </w:p>
    <w:p w14:paraId="65BBB628">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（二）技术响应偏离表</w:t>
      </w:r>
    </w:p>
    <w:p w14:paraId="1F26A0FE">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三</w:t>
      </w:r>
      <w:r>
        <w:rPr>
          <w:rFonts w:hint="eastAsia" w:ascii="仿宋" w:hAnsi="仿宋" w:eastAsia="仿宋" w:cs="仿宋"/>
          <w:color w:val="000000" w:themeColor="text1"/>
          <w:sz w:val="24"/>
          <w:szCs w:val="24"/>
          <w14:textFill>
            <w14:solidFill>
              <w14:schemeClr w14:val="tx1"/>
            </w14:solidFill>
          </w14:textFill>
        </w:rPr>
        <w:t>、商务部分</w:t>
      </w:r>
    </w:p>
    <w:p w14:paraId="4979FEF8">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一</w:t>
      </w:r>
      <w:r>
        <w:rPr>
          <w:rFonts w:hint="eastAsia" w:ascii="仿宋" w:hAnsi="仿宋" w:eastAsia="仿宋" w:cs="仿宋"/>
          <w:color w:val="000000" w:themeColor="text1"/>
          <w:sz w:val="24"/>
          <w:szCs w:val="24"/>
          <w14:textFill>
            <w14:solidFill>
              <w14:schemeClr w14:val="tx1"/>
            </w14:solidFill>
          </w14:textFill>
        </w:rPr>
        <w:t>）商务响应偏离表</w:t>
      </w:r>
    </w:p>
    <w:p w14:paraId="3D7B03AE">
      <w:pPr>
        <w:spacing w:line="360" w:lineRule="auto"/>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（二）人员要求</w:t>
      </w:r>
    </w:p>
    <w:p w14:paraId="71075FD3">
      <w:pPr>
        <w:spacing w:line="360" w:lineRule="auto"/>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四、资格条件及其他</w:t>
      </w:r>
    </w:p>
    <w:p w14:paraId="0B0F9792">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（一）供应商法人营业执照（副本）或事业单位法人证书（副本）或个体工商户营业执照或有效的自然人身份证明或社会团体法人登记证书复印件</w:t>
      </w:r>
    </w:p>
    <w:p w14:paraId="0A2A4CDD">
      <w:pPr>
        <w:spacing w:line="360" w:lineRule="auto"/>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（二）法定代表人身份证明书（格式）</w:t>
      </w:r>
    </w:p>
    <w:p w14:paraId="558E48C4">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（三）法定代表人授权委托书（格式）</w:t>
      </w:r>
    </w:p>
    <w:p w14:paraId="33C75EEF">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（四）基本资格条件承诺函</w:t>
      </w:r>
    </w:p>
    <w:p w14:paraId="0AEAD0C7">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五</w:t>
      </w:r>
      <w:r>
        <w:rPr>
          <w:rFonts w:hint="eastAsia" w:ascii="仿宋" w:hAnsi="仿宋" w:eastAsia="仿宋" w:cs="仿宋"/>
          <w:color w:val="000000" w:themeColor="text1"/>
          <w:sz w:val="24"/>
          <w:szCs w:val="24"/>
          <w14:textFill>
            <w14:solidFill>
              <w14:schemeClr w14:val="tx1"/>
            </w14:solidFill>
          </w14:textFill>
        </w:rPr>
        <w:t>）特定资格条件证书或证明文件</w:t>
      </w:r>
    </w:p>
    <w:p w14:paraId="2AE3954B">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五</w:t>
      </w:r>
      <w:r>
        <w:rPr>
          <w:rFonts w:hint="eastAsia" w:ascii="仿宋" w:hAnsi="仿宋" w:eastAsia="仿宋" w:cs="仿宋"/>
          <w:color w:val="000000" w:themeColor="text1"/>
          <w:sz w:val="24"/>
          <w:szCs w:val="24"/>
          <w14:textFill>
            <w14:solidFill>
              <w14:schemeClr w14:val="tx1"/>
            </w14:solidFill>
          </w14:textFill>
        </w:rPr>
        <w:t>、其他应提供的资料</w:t>
      </w:r>
    </w:p>
    <w:p w14:paraId="441EF307">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其他与项目有关的资料（自附）</w:t>
      </w:r>
    </w:p>
    <w:p w14:paraId="4E8C270F">
      <w:pPr>
        <w:widowControl/>
        <w:spacing w:line="360" w:lineRule="auto"/>
        <w:jc w:val="left"/>
        <w:rPr>
          <w:rFonts w:hint="eastAsia" w:ascii="仿宋" w:hAnsi="仿宋" w:eastAsia="仿宋" w:cs="仿宋"/>
          <w:b/>
          <w:color w:val="000000" w:themeColor="text1"/>
          <w:sz w:val="24"/>
          <w:szCs w:val="24"/>
          <w14:textFill>
            <w14:solidFill>
              <w14:schemeClr w14:val="tx1"/>
            </w14:solidFill>
          </w14:textFill>
        </w:rPr>
        <w:sectPr>
          <w:footerReference r:id="rId7" w:type="default"/>
          <w:pgSz w:w="11907" w:h="16840"/>
          <w:pgMar w:top="1134" w:right="1191" w:bottom="1134" w:left="1304" w:header="851" w:footer="794" w:gutter="0"/>
          <w:pgNumType w:fmt="decimal"/>
          <w:cols w:space="720" w:num="1"/>
          <w:docGrid w:linePitch="381" w:charSpace="-5735"/>
        </w:sectPr>
      </w:pPr>
      <w:bookmarkStart w:id="1058" w:name="_Toc294083526"/>
      <w:bookmarkStart w:id="1059" w:name="_Toc377402559"/>
      <w:bookmarkStart w:id="1060" w:name="_Toc29985636"/>
      <w:bookmarkStart w:id="1061" w:name="_Toc20656408"/>
      <w:bookmarkStart w:id="1062" w:name="_Toc350435647"/>
      <w:bookmarkStart w:id="1063" w:name="_Toc350093071"/>
      <w:bookmarkStart w:id="1064" w:name="_Toc328052593"/>
      <w:bookmarkStart w:id="1065" w:name="_Toc30668156"/>
      <w:bookmarkStart w:id="1066" w:name="_Toc375666796"/>
      <w:bookmarkStart w:id="1067" w:name="_Toc375840799"/>
      <w:bookmarkStart w:id="1068" w:name="_Toc332630166"/>
      <w:bookmarkStart w:id="1069" w:name="_Toc23185485"/>
      <w:bookmarkStart w:id="1070" w:name="_Toc21936037"/>
      <w:bookmarkStart w:id="1071" w:name="_Toc6818910"/>
      <w:bookmarkStart w:id="1072" w:name="_Toc375841207"/>
      <w:bookmarkStart w:id="1073" w:name="_Toc433792168"/>
      <w:bookmarkStart w:id="1074" w:name="_Toc51660749"/>
      <w:bookmarkStart w:id="1075" w:name="_Toc333412485"/>
      <w:bookmarkStart w:id="1076" w:name="_Toc313008356"/>
      <w:bookmarkStart w:id="1077" w:name="_Toc342913419"/>
      <w:bookmarkStart w:id="1078" w:name="_Toc313888360"/>
      <w:bookmarkStart w:id="1079" w:name="_Toc12789073"/>
      <w:bookmarkStart w:id="1080" w:name="_Toc283382454"/>
      <w:r>
        <w:rPr>
          <w:rFonts w:hint="eastAsia" w:ascii="仿宋" w:hAnsi="仿宋" w:eastAsia="仿宋" w:cs="仿宋"/>
          <w:b/>
          <w:color w:val="000000" w:themeColor="text1"/>
          <w:sz w:val="24"/>
          <w:szCs w:val="24"/>
          <w14:textFill>
            <w14:solidFill>
              <w14:schemeClr w14:val="tx1"/>
            </w14:solidFill>
          </w14:textFill>
        </w:rPr>
        <w:br w:type="page"/>
      </w:r>
    </w:p>
    <w:p w14:paraId="42F1FD21">
      <w:pPr>
        <w:spacing w:line="360" w:lineRule="auto"/>
        <w:jc w:val="both"/>
        <w:rPr>
          <w:rStyle w:val="66"/>
          <w:rFonts w:hint="eastAsia" w:ascii="仿宋" w:hAnsi="仿宋" w:eastAsia="仿宋" w:cs="仿宋"/>
          <w:b w:val="0"/>
          <w:bCs/>
          <w:color w:val="000000" w:themeColor="text1"/>
          <w:sz w:val="28"/>
          <w:szCs w:val="28"/>
          <w:highlight w:val="none"/>
          <w:u w:val="none"/>
          <w:lang w:val="en-US" w:eastAsia="zh-CN"/>
          <w14:textFill>
            <w14:solidFill>
              <w14:schemeClr w14:val="tx1"/>
            </w14:solidFill>
          </w14:textFill>
        </w:rPr>
      </w:pPr>
      <w:r>
        <w:rPr>
          <w:rStyle w:val="66"/>
          <w:rFonts w:hint="eastAsia" w:ascii="仿宋" w:hAnsi="仿宋" w:eastAsia="仿宋" w:cs="仿宋"/>
          <w:b/>
          <w:bCs w:val="0"/>
          <w:color w:val="000000" w:themeColor="text1"/>
          <w:sz w:val="28"/>
          <w:szCs w:val="28"/>
          <w:highlight w:val="none"/>
          <w:lang w:val="en-US" w:eastAsia="zh-CN"/>
          <w14:textFill>
            <w14:solidFill>
              <w14:schemeClr w14:val="tx1"/>
            </w14:solidFill>
          </w14:textFill>
        </w:rPr>
        <w:t>项目名称：</w:t>
      </w:r>
      <w:r>
        <w:rPr>
          <w:rStyle w:val="66"/>
          <w:rFonts w:hint="eastAsia" w:ascii="仿宋" w:hAnsi="仿宋" w:eastAsia="仿宋" w:cs="仿宋"/>
          <w:b w:val="0"/>
          <w:bCs/>
          <w:color w:val="000000" w:themeColor="text1"/>
          <w:sz w:val="28"/>
          <w:szCs w:val="28"/>
          <w:highlight w:val="none"/>
          <w:u w:val="none"/>
          <w:lang w:val="en-US" w:eastAsia="zh-CN"/>
          <w14:textFill>
            <w14:solidFill>
              <w14:schemeClr w14:val="tx1"/>
            </w14:solidFill>
          </w14:textFill>
        </w:rPr>
        <w:t xml:space="preserve">                                 </w:t>
      </w:r>
    </w:p>
    <w:p w14:paraId="4F6C6C7C">
      <w:pPr>
        <w:spacing w:line="360" w:lineRule="auto"/>
        <w:jc w:val="both"/>
        <w:rPr>
          <w:rStyle w:val="66"/>
          <w:rFonts w:hint="eastAsia" w:ascii="仿宋" w:hAnsi="仿宋" w:eastAsia="仿宋" w:cs="仿宋"/>
          <w:color w:val="000000" w:themeColor="text1"/>
          <w:sz w:val="36"/>
          <w:szCs w:val="36"/>
          <w:highlight w:val="none"/>
          <w:u w:val="single"/>
          <w:lang w:val="en-US" w:eastAsia="zh-CN"/>
          <w14:textFill>
            <w14:solidFill>
              <w14:schemeClr w14:val="tx1"/>
            </w14:solidFill>
          </w14:textFill>
        </w:rPr>
      </w:pPr>
      <w:r>
        <w:rPr>
          <w:rStyle w:val="66"/>
          <w:rFonts w:hint="eastAsia" w:ascii="仿宋" w:hAnsi="仿宋" w:eastAsia="仿宋" w:cs="仿宋"/>
          <w:b/>
          <w:bCs w:val="0"/>
          <w:color w:val="000000" w:themeColor="text1"/>
          <w:sz w:val="28"/>
          <w:szCs w:val="28"/>
          <w:highlight w:val="none"/>
          <w:lang w:val="en-US" w:eastAsia="zh-CN"/>
          <w14:textFill>
            <w14:solidFill>
              <w14:schemeClr w14:val="tx1"/>
            </w14:solidFill>
          </w14:textFill>
        </w:rPr>
        <w:t>项目编号：</w:t>
      </w:r>
      <w:r>
        <w:rPr>
          <w:rStyle w:val="66"/>
          <w:rFonts w:hint="eastAsia" w:ascii="仿宋" w:hAnsi="仿宋" w:eastAsia="仿宋" w:cs="仿宋"/>
          <w:b w:val="0"/>
          <w:bCs/>
          <w:color w:val="000000" w:themeColor="text1"/>
          <w:sz w:val="28"/>
          <w:szCs w:val="28"/>
          <w:highlight w:val="none"/>
          <w:u w:val="none"/>
          <w:lang w:val="en-US" w:eastAsia="zh-CN"/>
          <w14:textFill>
            <w14:solidFill>
              <w14:schemeClr w14:val="tx1"/>
            </w14:solidFill>
          </w14:textFill>
        </w:rPr>
        <w:t xml:space="preserve">                                 </w:t>
      </w:r>
      <w:r>
        <w:rPr>
          <w:rStyle w:val="66"/>
          <w:rFonts w:hint="eastAsia" w:ascii="仿宋" w:hAnsi="仿宋" w:eastAsia="仿宋" w:cs="仿宋"/>
          <w:b w:val="0"/>
          <w:bCs/>
          <w:color w:val="000000" w:themeColor="text1"/>
          <w:sz w:val="28"/>
          <w:szCs w:val="28"/>
          <w:highlight w:val="none"/>
          <w:lang w:val="en-US" w:eastAsia="zh-CN"/>
          <w14:textFill>
            <w14:solidFill>
              <w14:schemeClr w14:val="tx1"/>
            </w14:solidFill>
          </w14:textFill>
        </w:rPr>
        <w:t xml:space="preserve"> </w:t>
      </w:r>
      <w:r>
        <w:rPr>
          <w:rStyle w:val="66"/>
          <w:rFonts w:hint="eastAsia" w:ascii="仿宋" w:hAnsi="仿宋" w:eastAsia="仿宋" w:cs="仿宋"/>
          <w:color w:val="000000" w:themeColor="text1"/>
          <w:sz w:val="36"/>
          <w:szCs w:val="36"/>
          <w:highlight w:val="none"/>
          <w:lang w:val="en-US" w:eastAsia="zh-CN"/>
          <w14:textFill>
            <w14:solidFill>
              <w14:schemeClr w14:val="tx1"/>
            </w14:solidFill>
          </w14:textFill>
        </w:rPr>
        <w:t xml:space="preserve">       </w:t>
      </w:r>
    </w:p>
    <w:p w14:paraId="2B84AA17">
      <w:pPr>
        <w:spacing w:line="360" w:lineRule="auto"/>
        <w:jc w:val="center"/>
        <w:rPr>
          <w:rStyle w:val="66"/>
          <w:rFonts w:hint="eastAsia" w:ascii="仿宋" w:hAnsi="仿宋" w:eastAsia="仿宋" w:cs="仿宋"/>
          <w:color w:val="000000" w:themeColor="text1"/>
          <w:sz w:val="36"/>
          <w:szCs w:val="36"/>
          <w:highlight w:val="none"/>
          <w:lang w:val="en-US" w:eastAsia="zh-CN"/>
          <w14:textFill>
            <w14:solidFill>
              <w14:schemeClr w14:val="tx1"/>
            </w14:solidFill>
          </w14:textFill>
        </w:rPr>
      </w:pPr>
      <w:r>
        <w:rPr>
          <w:rStyle w:val="66"/>
          <w:rFonts w:hint="eastAsia" w:ascii="仿宋" w:hAnsi="仿宋" w:eastAsia="仿宋" w:cs="仿宋"/>
          <w:color w:val="000000" w:themeColor="text1"/>
          <w:sz w:val="36"/>
          <w:szCs w:val="36"/>
          <w:highlight w:val="none"/>
          <w:lang w:val="en-US" w:eastAsia="zh-CN"/>
          <w14:textFill>
            <w14:solidFill>
              <w14:schemeClr w14:val="tx1"/>
            </w14:solidFill>
          </w14:textFill>
        </w:rPr>
        <w:t xml:space="preserve"> </w:t>
      </w:r>
    </w:p>
    <w:p w14:paraId="6F8DC5EF">
      <w:pPr>
        <w:pStyle w:val="79"/>
        <w:spacing w:line="360" w:lineRule="auto"/>
        <w:rPr>
          <w:rFonts w:hint="eastAsia" w:ascii="仿宋" w:hAnsi="仿宋" w:eastAsia="仿宋" w:cs="仿宋"/>
          <w:color w:val="000000" w:themeColor="text1"/>
          <w14:textFill>
            <w14:solidFill>
              <w14:schemeClr w14:val="tx1"/>
            </w14:solidFill>
          </w14:textFill>
        </w:rPr>
      </w:pPr>
    </w:p>
    <w:p w14:paraId="48C623A2">
      <w:pPr>
        <w:pStyle w:val="79"/>
        <w:spacing w:line="360" w:lineRule="auto"/>
        <w:rPr>
          <w:rFonts w:hint="eastAsia" w:ascii="仿宋" w:hAnsi="仿宋" w:eastAsia="仿宋" w:cs="仿宋"/>
          <w:color w:val="000000" w:themeColor="text1"/>
          <w14:textFill>
            <w14:solidFill>
              <w14:schemeClr w14:val="tx1"/>
            </w14:solidFill>
          </w14:textFill>
        </w:rPr>
      </w:pPr>
    </w:p>
    <w:p w14:paraId="014A3EC6">
      <w:pPr>
        <w:spacing w:line="360" w:lineRule="auto"/>
        <w:jc w:val="center"/>
        <w:rPr>
          <w:rStyle w:val="66"/>
          <w:rFonts w:hint="eastAsia" w:ascii="仿宋" w:hAnsi="仿宋" w:eastAsia="仿宋" w:cs="仿宋"/>
          <w:color w:val="000000" w:themeColor="text1"/>
          <w:sz w:val="72"/>
          <w:szCs w:val="72"/>
          <w:highlight w:val="none"/>
          <w14:textFill>
            <w14:solidFill>
              <w14:schemeClr w14:val="tx1"/>
            </w14:solidFill>
          </w14:textFill>
        </w:rPr>
      </w:pPr>
      <w:r>
        <w:rPr>
          <w:rStyle w:val="66"/>
          <w:rFonts w:hint="eastAsia" w:ascii="仿宋" w:hAnsi="仿宋" w:eastAsia="仿宋" w:cs="仿宋"/>
          <w:color w:val="000000" w:themeColor="text1"/>
          <w:sz w:val="72"/>
          <w:szCs w:val="72"/>
          <w:highlight w:val="none"/>
          <w14:textFill>
            <w14:solidFill>
              <w14:schemeClr w14:val="tx1"/>
            </w14:solidFill>
          </w14:textFill>
        </w:rPr>
        <w:t>响</w:t>
      </w:r>
      <w:r>
        <w:rPr>
          <w:rStyle w:val="66"/>
          <w:rFonts w:hint="eastAsia" w:ascii="仿宋" w:hAnsi="仿宋" w:eastAsia="仿宋" w:cs="仿宋"/>
          <w:color w:val="000000" w:themeColor="text1"/>
          <w:sz w:val="72"/>
          <w:szCs w:val="72"/>
          <w:highlight w:val="none"/>
          <w:lang w:val="en-US" w:eastAsia="zh-CN"/>
          <w14:textFill>
            <w14:solidFill>
              <w14:schemeClr w14:val="tx1"/>
            </w14:solidFill>
          </w14:textFill>
        </w:rPr>
        <w:t xml:space="preserve"> </w:t>
      </w:r>
      <w:r>
        <w:rPr>
          <w:rStyle w:val="66"/>
          <w:rFonts w:hint="eastAsia" w:ascii="仿宋" w:hAnsi="仿宋" w:eastAsia="仿宋" w:cs="仿宋"/>
          <w:color w:val="000000" w:themeColor="text1"/>
          <w:sz w:val="72"/>
          <w:szCs w:val="72"/>
          <w:highlight w:val="none"/>
          <w14:textFill>
            <w14:solidFill>
              <w14:schemeClr w14:val="tx1"/>
            </w14:solidFill>
          </w14:textFill>
        </w:rPr>
        <w:t>应</w:t>
      </w:r>
      <w:r>
        <w:rPr>
          <w:rStyle w:val="66"/>
          <w:rFonts w:hint="eastAsia" w:ascii="仿宋" w:hAnsi="仿宋" w:eastAsia="仿宋" w:cs="仿宋"/>
          <w:color w:val="000000" w:themeColor="text1"/>
          <w:sz w:val="72"/>
          <w:szCs w:val="72"/>
          <w:highlight w:val="none"/>
          <w:lang w:val="en-US" w:eastAsia="zh-CN"/>
          <w14:textFill>
            <w14:solidFill>
              <w14:schemeClr w14:val="tx1"/>
            </w14:solidFill>
          </w14:textFill>
        </w:rPr>
        <w:t xml:space="preserve"> </w:t>
      </w:r>
      <w:r>
        <w:rPr>
          <w:rStyle w:val="66"/>
          <w:rFonts w:hint="eastAsia" w:ascii="仿宋" w:hAnsi="仿宋" w:eastAsia="仿宋" w:cs="仿宋"/>
          <w:color w:val="000000" w:themeColor="text1"/>
          <w:sz w:val="72"/>
          <w:szCs w:val="72"/>
          <w:highlight w:val="none"/>
          <w14:textFill>
            <w14:solidFill>
              <w14:schemeClr w14:val="tx1"/>
            </w14:solidFill>
          </w14:textFill>
        </w:rPr>
        <w:t>文</w:t>
      </w:r>
      <w:r>
        <w:rPr>
          <w:rStyle w:val="66"/>
          <w:rFonts w:hint="eastAsia" w:ascii="仿宋" w:hAnsi="仿宋" w:eastAsia="仿宋" w:cs="仿宋"/>
          <w:color w:val="000000" w:themeColor="text1"/>
          <w:sz w:val="72"/>
          <w:szCs w:val="72"/>
          <w:highlight w:val="none"/>
          <w:lang w:val="en-US" w:eastAsia="zh-CN"/>
          <w14:textFill>
            <w14:solidFill>
              <w14:schemeClr w14:val="tx1"/>
            </w14:solidFill>
          </w14:textFill>
        </w:rPr>
        <w:t xml:space="preserve"> </w:t>
      </w:r>
      <w:r>
        <w:rPr>
          <w:rStyle w:val="66"/>
          <w:rFonts w:hint="eastAsia" w:ascii="仿宋" w:hAnsi="仿宋" w:eastAsia="仿宋" w:cs="仿宋"/>
          <w:color w:val="000000" w:themeColor="text1"/>
          <w:sz w:val="72"/>
          <w:szCs w:val="72"/>
          <w:highlight w:val="none"/>
          <w14:textFill>
            <w14:solidFill>
              <w14:schemeClr w14:val="tx1"/>
            </w14:solidFill>
          </w14:textFill>
        </w:rPr>
        <w:t>件</w:t>
      </w:r>
    </w:p>
    <w:p w14:paraId="6503BFF9">
      <w:pPr>
        <w:pStyle w:val="37"/>
        <w:spacing w:line="360" w:lineRule="auto"/>
        <w:rPr>
          <w:rFonts w:hint="eastAsia" w:ascii="仿宋" w:hAnsi="仿宋" w:eastAsia="仿宋" w:cs="仿宋"/>
          <w:color w:val="000000" w:themeColor="text1"/>
          <w:sz w:val="72"/>
          <w:szCs w:val="72"/>
          <w:highlight w:val="none"/>
          <w14:textFill>
            <w14:solidFill>
              <w14:schemeClr w14:val="tx1"/>
            </w14:solidFill>
          </w14:textFill>
        </w:rPr>
      </w:pPr>
    </w:p>
    <w:p w14:paraId="145F3592">
      <w:pPr>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p>
    <w:p w14:paraId="72FDBC1B">
      <w:pPr>
        <w:spacing w:line="360" w:lineRule="auto"/>
        <w:jc w:val="center"/>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（正本</w:t>
      </w:r>
      <w:r>
        <w:rPr>
          <w:rFonts w:hint="eastAsia" w:ascii="仿宋" w:hAnsi="仿宋" w:eastAsia="仿宋" w:cs="仿宋"/>
          <w:color w:val="000000" w:themeColor="text1"/>
          <w:sz w:val="32"/>
          <w:szCs w:val="32"/>
          <w:highlight w:val="none"/>
          <w:lang w:val="en-US" w:eastAsia="zh-CN"/>
          <w14:textFill>
            <w14:solidFill>
              <w14:schemeClr w14:val="tx1"/>
            </w14:solidFill>
          </w14:textFill>
        </w:rPr>
        <w:t>/副本</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1F361CAB">
      <w:pPr>
        <w:spacing w:line="360" w:lineRule="auto"/>
        <w:jc w:val="center"/>
        <w:rPr>
          <w:rFonts w:hint="eastAsia" w:ascii="仿宋" w:hAnsi="仿宋" w:eastAsia="仿宋" w:cs="仿宋"/>
          <w:color w:val="000000" w:themeColor="text1"/>
          <w:sz w:val="18"/>
          <w:szCs w:val="18"/>
          <w:highlight w:val="none"/>
          <w14:textFill>
            <w14:solidFill>
              <w14:schemeClr w14:val="tx1"/>
            </w14:solidFill>
          </w14:textFill>
        </w:rPr>
      </w:pPr>
    </w:p>
    <w:p w14:paraId="515B7ADD">
      <w:pPr>
        <w:spacing w:line="360" w:lineRule="auto"/>
        <w:jc w:val="center"/>
        <w:rPr>
          <w:rFonts w:hint="eastAsia" w:ascii="仿宋" w:hAnsi="仿宋" w:eastAsia="仿宋" w:cs="仿宋"/>
          <w:color w:val="000000" w:themeColor="text1"/>
          <w:sz w:val="18"/>
          <w:szCs w:val="18"/>
          <w:highlight w:val="none"/>
          <w14:textFill>
            <w14:solidFill>
              <w14:schemeClr w14:val="tx1"/>
            </w14:solidFill>
          </w14:textFill>
        </w:rPr>
      </w:pPr>
    </w:p>
    <w:p w14:paraId="26F271A9">
      <w:pPr>
        <w:spacing w:line="360" w:lineRule="auto"/>
        <w:jc w:val="center"/>
        <w:rPr>
          <w:rFonts w:hint="eastAsia" w:ascii="仿宋" w:hAnsi="仿宋" w:eastAsia="仿宋" w:cs="仿宋"/>
          <w:color w:val="000000" w:themeColor="text1"/>
          <w:sz w:val="18"/>
          <w:szCs w:val="18"/>
          <w:highlight w:val="none"/>
          <w14:textFill>
            <w14:solidFill>
              <w14:schemeClr w14:val="tx1"/>
            </w14:solidFill>
          </w14:textFill>
        </w:rPr>
      </w:pPr>
    </w:p>
    <w:p w14:paraId="58E88FC8">
      <w:pPr>
        <w:spacing w:line="360" w:lineRule="auto"/>
        <w:jc w:val="center"/>
        <w:rPr>
          <w:rFonts w:hint="eastAsia" w:ascii="仿宋" w:hAnsi="仿宋" w:eastAsia="仿宋" w:cs="仿宋"/>
          <w:color w:val="000000" w:themeColor="text1"/>
          <w:sz w:val="18"/>
          <w:szCs w:val="18"/>
          <w:highlight w:val="none"/>
          <w14:textFill>
            <w14:solidFill>
              <w14:schemeClr w14:val="tx1"/>
            </w14:solidFill>
          </w14:textFill>
        </w:rPr>
      </w:pPr>
    </w:p>
    <w:p w14:paraId="64D76957">
      <w:pPr>
        <w:pStyle w:val="78"/>
        <w:spacing w:line="360" w:lineRule="auto"/>
        <w:rPr>
          <w:rFonts w:hint="eastAsia" w:ascii="仿宋" w:hAnsi="仿宋" w:eastAsia="仿宋" w:cs="仿宋"/>
          <w:color w:val="000000" w:themeColor="text1"/>
          <w:sz w:val="18"/>
          <w:szCs w:val="18"/>
          <w:highlight w:val="none"/>
          <w14:textFill>
            <w14:solidFill>
              <w14:schemeClr w14:val="tx1"/>
            </w14:solidFill>
          </w14:textFill>
        </w:rPr>
      </w:pPr>
    </w:p>
    <w:p w14:paraId="0C6CAA38">
      <w:pPr>
        <w:pStyle w:val="78"/>
        <w:spacing w:line="360" w:lineRule="auto"/>
        <w:rPr>
          <w:rFonts w:hint="eastAsia" w:ascii="仿宋" w:hAnsi="仿宋" w:eastAsia="仿宋" w:cs="仿宋"/>
          <w:color w:val="000000" w:themeColor="text1"/>
          <w:sz w:val="18"/>
          <w:szCs w:val="18"/>
          <w:highlight w:val="none"/>
          <w14:textFill>
            <w14:solidFill>
              <w14:schemeClr w14:val="tx1"/>
            </w14:solidFill>
          </w14:textFill>
        </w:rPr>
      </w:pPr>
    </w:p>
    <w:p w14:paraId="5712D499">
      <w:pPr>
        <w:pStyle w:val="78"/>
        <w:spacing w:line="360" w:lineRule="auto"/>
        <w:rPr>
          <w:rFonts w:hint="eastAsia" w:ascii="仿宋" w:hAnsi="仿宋" w:eastAsia="仿宋" w:cs="仿宋"/>
          <w:color w:val="000000" w:themeColor="text1"/>
          <w:sz w:val="18"/>
          <w:szCs w:val="18"/>
          <w:highlight w:val="none"/>
          <w14:textFill>
            <w14:solidFill>
              <w14:schemeClr w14:val="tx1"/>
            </w14:solidFill>
          </w14:textFill>
        </w:rPr>
      </w:pPr>
    </w:p>
    <w:p w14:paraId="14621FE7">
      <w:pPr>
        <w:pStyle w:val="78"/>
        <w:spacing w:line="360" w:lineRule="auto"/>
        <w:rPr>
          <w:rFonts w:hint="eastAsia" w:ascii="仿宋" w:hAnsi="仿宋" w:eastAsia="仿宋" w:cs="仿宋"/>
          <w:color w:val="000000" w:themeColor="text1"/>
          <w:sz w:val="18"/>
          <w:szCs w:val="18"/>
          <w:highlight w:val="none"/>
          <w14:textFill>
            <w14:solidFill>
              <w14:schemeClr w14:val="tx1"/>
            </w14:solidFill>
          </w14:textFill>
        </w:rPr>
      </w:pPr>
    </w:p>
    <w:p w14:paraId="5218A164">
      <w:pPr>
        <w:pStyle w:val="78"/>
        <w:spacing w:line="360" w:lineRule="auto"/>
        <w:rPr>
          <w:rFonts w:hint="eastAsia" w:ascii="仿宋" w:hAnsi="仿宋" w:eastAsia="仿宋" w:cs="仿宋"/>
          <w:color w:val="000000" w:themeColor="text1"/>
          <w:sz w:val="18"/>
          <w:szCs w:val="18"/>
          <w:highlight w:val="none"/>
          <w14:textFill>
            <w14:solidFill>
              <w14:schemeClr w14:val="tx1"/>
            </w14:solidFill>
          </w14:textFill>
        </w:rPr>
      </w:pPr>
    </w:p>
    <w:p w14:paraId="2D43BED1">
      <w:pPr>
        <w:spacing w:line="360" w:lineRule="auto"/>
        <w:jc w:val="center"/>
        <w:rPr>
          <w:rFonts w:hint="eastAsia" w:ascii="仿宋" w:hAnsi="仿宋" w:eastAsia="仿宋" w:cs="仿宋"/>
          <w:color w:val="000000" w:themeColor="text1"/>
          <w:sz w:val="18"/>
          <w:szCs w:val="18"/>
          <w:highlight w:val="none"/>
          <w14:textFill>
            <w14:solidFill>
              <w14:schemeClr w14:val="tx1"/>
            </w14:solidFill>
          </w14:textFill>
        </w:rPr>
      </w:pPr>
    </w:p>
    <w:p w14:paraId="6BCFBF43">
      <w:pPr>
        <w:spacing w:line="360" w:lineRule="auto"/>
        <w:jc w:val="center"/>
        <w:rPr>
          <w:rFonts w:hint="eastAsia" w:ascii="仿宋" w:hAnsi="仿宋" w:eastAsia="仿宋" w:cs="仿宋"/>
          <w:color w:val="000000" w:themeColor="text1"/>
          <w:sz w:val="18"/>
          <w:szCs w:val="18"/>
          <w:highlight w:val="none"/>
          <w14:textFill>
            <w14:solidFill>
              <w14:schemeClr w14:val="tx1"/>
            </w14:solidFill>
          </w14:textFill>
        </w:rPr>
      </w:pPr>
    </w:p>
    <w:p w14:paraId="01195412">
      <w:pPr>
        <w:spacing w:line="360" w:lineRule="auto"/>
        <w:jc w:val="center"/>
        <w:rPr>
          <w:rFonts w:hint="eastAsia" w:ascii="仿宋" w:hAnsi="仿宋" w:eastAsia="仿宋" w:cs="仿宋"/>
          <w:color w:val="000000" w:themeColor="text1"/>
          <w:szCs w:val="28"/>
          <w:highlight w:val="none"/>
          <w14:textFill>
            <w14:solidFill>
              <w14:schemeClr w14:val="tx1"/>
            </w14:solidFill>
          </w14:textFill>
        </w:rPr>
      </w:pPr>
    </w:p>
    <w:p w14:paraId="6071503B">
      <w:pPr>
        <w:spacing w:line="360" w:lineRule="auto"/>
        <w:jc w:val="center"/>
        <w:rPr>
          <w:rFonts w:hint="eastAsia" w:ascii="仿宋" w:hAnsi="仿宋" w:eastAsia="仿宋" w:cs="仿宋"/>
          <w:b/>
          <w:bCs/>
          <w:color w:val="000000" w:themeColor="text1"/>
          <w:szCs w:val="28"/>
          <w:highlight w:val="none"/>
          <w14:textFill>
            <w14:solidFill>
              <w14:schemeClr w14:val="tx1"/>
            </w14:solidFill>
          </w14:textFill>
        </w:rPr>
      </w:pPr>
      <w:r>
        <w:rPr>
          <w:rFonts w:hint="eastAsia" w:ascii="仿宋" w:hAnsi="仿宋" w:eastAsia="仿宋" w:cs="仿宋"/>
          <w:color w:val="000000" w:themeColor="text1"/>
          <w:szCs w:val="28"/>
          <w:highlight w:val="none"/>
          <w14:textFill>
            <w14:solidFill>
              <w14:schemeClr w14:val="tx1"/>
            </w14:solidFill>
          </w14:textFill>
        </w:rPr>
        <w:t xml:space="preserve"> </w:t>
      </w:r>
      <w:r>
        <w:rPr>
          <w:rFonts w:hint="eastAsia" w:ascii="仿宋" w:hAnsi="仿宋" w:eastAsia="仿宋" w:cs="仿宋"/>
          <w:color w:val="000000" w:themeColor="text1"/>
          <w:szCs w:val="28"/>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Cs w:val="28"/>
          <w:highlight w:val="none"/>
          <w14:textFill>
            <w14:solidFill>
              <w14:schemeClr w14:val="tx1"/>
            </w14:solidFill>
          </w14:textFill>
        </w:rPr>
        <w:t>供应商名称：</w:t>
      </w:r>
      <w:r>
        <w:rPr>
          <w:rFonts w:hint="eastAsia" w:ascii="仿宋" w:hAnsi="仿宋" w:eastAsia="仿宋" w:cs="仿宋"/>
          <w:b/>
          <w:bCs/>
          <w:color w:val="000000" w:themeColor="text1"/>
          <w:szCs w:val="28"/>
          <w:highlight w:val="none"/>
          <w:u w:val="single"/>
          <w14:textFill>
            <w14:solidFill>
              <w14:schemeClr w14:val="tx1"/>
            </w14:solidFill>
          </w14:textFill>
        </w:rPr>
        <w:t xml:space="preserve">                       </w:t>
      </w:r>
      <w:r>
        <w:rPr>
          <w:rFonts w:hint="eastAsia" w:ascii="仿宋" w:hAnsi="仿宋" w:eastAsia="仿宋" w:cs="仿宋"/>
          <w:b/>
          <w:bCs/>
          <w:color w:val="000000" w:themeColor="text1"/>
          <w:szCs w:val="28"/>
          <w:highlight w:val="none"/>
          <w14:textFill>
            <w14:solidFill>
              <w14:schemeClr w14:val="tx1"/>
            </w14:solidFill>
          </w14:textFill>
        </w:rPr>
        <w:t>(盖单位法人章)</w:t>
      </w:r>
    </w:p>
    <w:p w14:paraId="6B7EE1EA">
      <w:pPr>
        <w:spacing w:line="360" w:lineRule="auto"/>
        <w:jc w:val="center"/>
        <w:rPr>
          <w:rFonts w:hint="eastAsia" w:ascii="仿宋" w:hAnsi="仿宋" w:eastAsia="仿宋" w:cs="仿宋"/>
          <w:b/>
          <w:bCs/>
          <w:color w:val="000000" w:themeColor="text1"/>
          <w:sz w:val="25"/>
          <w:szCs w:val="25"/>
          <w:highlight w:val="none"/>
          <w14:textFill>
            <w14:solidFill>
              <w14:schemeClr w14:val="tx1"/>
            </w14:solidFill>
          </w14:textFill>
        </w:rPr>
      </w:pPr>
      <w:r>
        <w:rPr>
          <w:rFonts w:hint="eastAsia" w:ascii="仿宋" w:hAnsi="仿宋" w:eastAsia="仿宋" w:cs="仿宋"/>
          <w:b/>
          <w:bCs/>
          <w:color w:val="000000" w:themeColor="text1"/>
          <w:szCs w:val="28"/>
          <w:highlight w:val="none"/>
          <w14:textFill>
            <w14:solidFill>
              <w14:schemeClr w14:val="tx1"/>
            </w14:solidFill>
          </w14:textFill>
        </w:rPr>
        <w:t>法定代表人或其委托代理人：</w:t>
      </w:r>
      <w:r>
        <w:rPr>
          <w:rFonts w:hint="eastAsia" w:ascii="仿宋" w:hAnsi="仿宋" w:eastAsia="仿宋" w:cs="仿宋"/>
          <w:b/>
          <w:bCs/>
          <w:color w:val="000000" w:themeColor="text1"/>
          <w:szCs w:val="28"/>
          <w:highlight w:val="none"/>
          <w:u w:val="single"/>
          <w14:textFill>
            <w14:solidFill>
              <w14:schemeClr w14:val="tx1"/>
            </w14:solidFill>
          </w14:textFill>
        </w:rPr>
        <w:t xml:space="preserve">         </w:t>
      </w:r>
      <w:r>
        <w:rPr>
          <w:rFonts w:hint="eastAsia" w:ascii="仿宋" w:hAnsi="仿宋" w:eastAsia="仿宋" w:cs="仿宋"/>
          <w:b/>
          <w:bCs/>
          <w:color w:val="000000" w:themeColor="text1"/>
          <w:szCs w:val="28"/>
          <w:highlight w:val="none"/>
          <w14:textFill>
            <w14:solidFill>
              <w14:schemeClr w14:val="tx1"/>
            </w14:solidFill>
          </w14:textFill>
        </w:rPr>
        <w:t>(签字</w:t>
      </w:r>
      <w:r>
        <w:rPr>
          <w:rFonts w:hint="eastAsia" w:ascii="仿宋" w:hAnsi="仿宋" w:eastAsia="仿宋" w:cs="仿宋"/>
          <w:b/>
          <w:bCs/>
          <w:color w:val="000000" w:themeColor="text1"/>
          <w:szCs w:val="28"/>
          <w:highlight w:val="none"/>
          <w:lang w:eastAsia="zh-CN"/>
          <w14:textFill>
            <w14:solidFill>
              <w14:schemeClr w14:val="tx1"/>
            </w14:solidFill>
          </w14:textFill>
        </w:rPr>
        <w:t>或盖章</w:t>
      </w:r>
      <w:r>
        <w:rPr>
          <w:rFonts w:hint="eastAsia" w:ascii="仿宋" w:hAnsi="仿宋" w:eastAsia="仿宋" w:cs="仿宋"/>
          <w:b/>
          <w:bCs/>
          <w:color w:val="000000" w:themeColor="text1"/>
          <w:szCs w:val="28"/>
          <w:highlight w:val="none"/>
          <w14:textFill>
            <w14:solidFill>
              <w14:schemeClr w14:val="tx1"/>
            </w14:solidFill>
          </w14:textFill>
        </w:rPr>
        <w:t>)</w:t>
      </w:r>
    </w:p>
    <w:p w14:paraId="3AD0795C">
      <w:pPr>
        <w:spacing w:line="360" w:lineRule="auto"/>
        <w:jc w:val="center"/>
        <w:rPr>
          <w:rFonts w:hint="eastAsia" w:ascii="仿宋" w:hAnsi="仿宋" w:eastAsia="仿宋" w:cs="仿宋"/>
          <w:b/>
          <w:bCs/>
          <w:color w:val="000000" w:themeColor="text1"/>
          <w:szCs w:val="28"/>
          <w:highlight w:val="none"/>
          <w14:textFill>
            <w14:solidFill>
              <w14:schemeClr w14:val="tx1"/>
            </w14:solidFill>
          </w14:textFill>
        </w:rPr>
      </w:pPr>
      <w:r>
        <w:rPr>
          <w:rFonts w:hint="eastAsia" w:ascii="仿宋" w:hAnsi="仿宋" w:eastAsia="仿宋" w:cs="仿宋"/>
          <w:b/>
          <w:bCs/>
          <w:color w:val="000000" w:themeColor="text1"/>
          <w:szCs w:val="28"/>
          <w:highlight w:val="none"/>
          <w:u w:val="single"/>
          <w14:textFill>
            <w14:solidFill>
              <w14:schemeClr w14:val="tx1"/>
            </w14:solidFill>
          </w14:textFill>
        </w:rPr>
        <w:t xml:space="preserve">       </w:t>
      </w:r>
      <w:r>
        <w:rPr>
          <w:rFonts w:hint="eastAsia" w:ascii="仿宋" w:hAnsi="仿宋" w:eastAsia="仿宋" w:cs="仿宋"/>
          <w:b/>
          <w:bCs/>
          <w:color w:val="000000" w:themeColor="text1"/>
          <w:szCs w:val="28"/>
          <w:highlight w:val="none"/>
          <w14:textFill>
            <w14:solidFill>
              <w14:schemeClr w14:val="tx1"/>
            </w14:solidFill>
          </w14:textFill>
        </w:rPr>
        <w:t>年</w:t>
      </w:r>
      <w:r>
        <w:rPr>
          <w:rFonts w:hint="eastAsia" w:ascii="仿宋" w:hAnsi="仿宋" w:eastAsia="仿宋" w:cs="仿宋"/>
          <w:b/>
          <w:bCs/>
          <w:color w:val="000000" w:themeColor="text1"/>
          <w:szCs w:val="28"/>
          <w:highlight w:val="none"/>
          <w:u w:val="single"/>
          <w14:textFill>
            <w14:solidFill>
              <w14:schemeClr w14:val="tx1"/>
            </w14:solidFill>
          </w14:textFill>
        </w:rPr>
        <w:t xml:space="preserve">    </w:t>
      </w:r>
      <w:r>
        <w:rPr>
          <w:rFonts w:hint="eastAsia" w:ascii="仿宋" w:hAnsi="仿宋" w:eastAsia="仿宋" w:cs="仿宋"/>
          <w:b/>
          <w:bCs/>
          <w:color w:val="000000" w:themeColor="text1"/>
          <w:szCs w:val="28"/>
          <w:highlight w:val="none"/>
          <w14:textFill>
            <w14:solidFill>
              <w14:schemeClr w14:val="tx1"/>
            </w14:solidFill>
          </w14:textFill>
        </w:rPr>
        <w:t>月</w:t>
      </w:r>
      <w:r>
        <w:rPr>
          <w:rFonts w:hint="eastAsia" w:ascii="仿宋" w:hAnsi="仿宋" w:eastAsia="仿宋" w:cs="仿宋"/>
          <w:b/>
          <w:bCs/>
          <w:color w:val="000000" w:themeColor="text1"/>
          <w:szCs w:val="28"/>
          <w:highlight w:val="none"/>
          <w:u w:val="single"/>
          <w14:textFill>
            <w14:solidFill>
              <w14:schemeClr w14:val="tx1"/>
            </w14:solidFill>
          </w14:textFill>
        </w:rPr>
        <w:t xml:space="preserve">    </w:t>
      </w:r>
      <w:r>
        <w:rPr>
          <w:rFonts w:hint="eastAsia" w:ascii="仿宋" w:hAnsi="仿宋" w:eastAsia="仿宋" w:cs="仿宋"/>
          <w:b/>
          <w:bCs/>
          <w:color w:val="000000" w:themeColor="text1"/>
          <w:szCs w:val="28"/>
          <w:highlight w:val="none"/>
          <w14:textFill>
            <w14:solidFill>
              <w14:schemeClr w14:val="tx1"/>
            </w14:solidFill>
          </w14:textFill>
        </w:rPr>
        <w:t>日</w:t>
      </w:r>
    </w:p>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14:paraId="33450B59">
      <w:pPr>
        <w:pStyle w:val="61"/>
        <w:spacing w:line="360" w:lineRule="auto"/>
        <w:ind w:left="0" w:leftChars="0" w:firstLine="0" w:firstLineChars="0"/>
        <w:rPr>
          <w:rFonts w:hint="eastAsia" w:ascii="仿宋" w:hAnsi="仿宋" w:eastAsia="仿宋" w:cs="仿宋"/>
          <w:color w:val="000000" w:themeColor="text1"/>
          <w:sz w:val="24"/>
          <w:szCs w:val="24"/>
          <w14:textFill>
            <w14:solidFill>
              <w14:schemeClr w14:val="tx1"/>
            </w14:solidFill>
          </w14:textFill>
        </w:rPr>
      </w:pPr>
    </w:p>
    <w:p w14:paraId="33ED9B74">
      <w:pPr>
        <w:pStyle w:val="5"/>
        <w:spacing w:line="360" w:lineRule="auto"/>
        <w:rPr>
          <w:rFonts w:hint="eastAsia" w:ascii="仿宋" w:hAnsi="仿宋" w:eastAsia="仿宋" w:cs="仿宋"/>
          <w:color w:val="000000" w:themeColor="text1"/>
          <w:sz w:val="24"/>
          <w:szCs w:val="24"/>
          <w14:textFill>
            <w14:solidFill>
              <w14:schemeClr w14:val="tx1"/>
            </w14:solidFill>
          </w14:textFill>
        </w:rPr>
      </w:pPr>
      <w:bookmarkStart w:id="1081" w:name="_Toc433792169"/>
      <w:bookmarkStart w:id="1082" w:name="_Toc30668157"/>
      <w:bookmarkStart w:id="1083" w:name="_Toc6818911"/>
      <w:bookmarkStart w:id="1084" w:name="_Toc51660750"/>
      <w:bookmarkStart w:id="1085" w:name="_Toc29985637"/>
      <w:bookmarkStart w:id="1086" w:name="_Toc21936038"/>
      <w:bookmarkStart w:id="1087" w:name="_Toc20656409"/>
      <w:bookmarkStart w:id="1088" w:name="_Toc11002"/>
      <w:bookmarkStart w:id="1089" w:name="_Toc23185486"/>
      <w:r>
        <w:rPr>
          <w:rFonts w:hint="eastAsia" w:ascii="仿宋" w:hAnsi="仿宋" w:eastAsia="仿宋" w:cs="仿宋"/>
          <w:color w:val="000000" w:themeColor="text1"/>
          <w:sz w:val="24"/>
          <w:szCs w:val="24"/>
          <w:lang w:eastAsia="zh-CN"/>
          <w14:textFill>
            <w14:solidFill>
              <w14:schemeClr w14:val="tx1"/>
            </w14:solidFill>
          </w14:textFill>
        </w:rPr>
        <w:t>一</w:t>
      </w:r>
      <w:r>
        <w:rPr>
          <w:rFonts w:hint="eastAsia" w:ascii="仿宋" w:hAnsi="仿宋" w:eastAsia="仿宋" w:cs="仿宋"/>
          <w:color w:val="000000" w:themeColor="text1"/>
          <w:sz w:val="24"/>
          <w:szCs w:val="24"/>
          <w14:textFill>
            <w14:solidFill>
              <w14:schemeClr w14:val="tx1"/>
            </w14:solidFill>
          </w14:textFill>
        </w:rPr>
        <w:t>、报价部分</w:t>
      </w:r>
      <w:bookmarkEnd w:id="1076"/>
      <w:bookmarkEnd w:id="1077"/>
      <w:bookmarkEnd w:id="1078"/>
      <w:bookmarkEnd w:id="1081"/>
      <w:bookmarkEnd w:id="1082"/>
      <w:bookmarkEnd w:id="1083"/>
      <w:bookmarkEnd w:id="1084"/>
      <w:bookmarkEnd w:id="1085"/>
      <w:bookmarkEnd w:id="1086"/>
      <w:bookmarkEnd w:id="1087"/>
      <w:bookmarkEnd w:id="1088"/>
      <w:bookmarkEnd w:id="1089"/>
    </w:p>
    <w:bookmarkEnd w:id="1079"/>
    <w:bookmarkEnd w:id="1080"/>
    <w:p w14:paraId="31BD8204">
      <w:pPr>
        <w:tabs>
          <w:tab w:val="left" w:pos="6300"/>
        </w:tabs>
        <w:snapToGrid w:val="0"/>
        <w:spacing w:line="360" w:lineRule="auto"/>
        <w:ind w:firstLine="480" w:firstLineChars="2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w:t>
      </w:r>
      <w:r>
        <w:rPr>
          <w:rFonts w:hint="eastAsia" w:ascii="仿宋" w:hAnsi="仿宋" w:eastAsia="仿宋" w:cs="仿宋"/>
          <w:color w:val="000000" w:themeColor="text1"/>
          <w:sz w:val="24"/>
          <w:szCs w:val="24"/>
          <w:lang w:eastAsia="zh-CN"/>
          <w14:textFill>
            <w14:solidFill>
              <w14:schemeClr w14:val="tx1"/>
            </w14:solidFill>
          </w14:textFill>
        </w:rPr>
        <w:t>报价函</w:t>
      </w:r>
    </w:p>
    <w:p w14:paraId="0C3173F5">
      <w:pPr>
        <w:tabs>
          <w:tab w:val="left" w:pos="6300"/>
        </w:tabs>
        <w:snapToGrid w:val="0"/>
        <w:spacing w:line="360" w:lineRule="auto"/>
        <w:ind w:firstLine="480" w:firstLineChars="200"/>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报价函</w:t>
      </w:r>
    </w:p>
    <w:p w14:paraId="1671AB12">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p>
    <w:p w14:paraId="7F894847">
      <w:pPr>
        <w:tabs>
          <w:tab w:val="left" w:pos="6300"/>
        </w:tabs>
        <w:snapToGrid w:val="0"/>
        <w:spacing w:line="360" w:lineRule="auto"/>
        <w:ind w:firstLine="720" w:firstLineChars="300"/>
        <w:rPr>
          <w:rFonts w:hint="eastAsia" w:ascii="仿宋" w:hAnsi="仿宋" w:eastAsia="仿宋" w:cs="仿宋"/>
          <w:color w:val="000000" w:themeColor="text1"/>
          <w:sz w:val="24"/>
          <w:szCs w:val="24"/>
          <w:u w:val="single"/>
          <w:lang w:val="en-US" w:eastAsia="zh-CN"/>
          <w14:textFill>
            <w14:solidFill>
              <w14:schemeClr w14:val="tx1"/>
            </w14:solidFill>
          </w14:textFill>
        </w:rPr>
      </w:pP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（采购人名称）</w:t>
      </w:r>
      <w:r>
        <w:rPr>
          <w:rFonts w:hint="eastAsia" w:ascii="仿宋" w:hAnsi="仿宋" w:eastAsia="仿宋" w:cs="仿宋"/>
          <w:color w:val="000000" w:themeColor="text1"/>
          <w:sz w:val="24"/>
          <w:szCs w:val="24"/>
          <w:lang w:eastAsia="zh-CN"/>
          <w14:textFill>
            <w14:solidFill>
              <w14:schemeClr w14:val="tx1"/>
            </w14:solidFill>
          </w14:textFill>
        </w:rPr>
        <w:t>：</w:t>
      </w:r>
    </w:p>
    <w:p w14:paraId="14FEE8CC">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我方收到</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项目名称）的</w:t>
      </w:r>
      <w:r>
        <w:rPr>
          <w:rFonts w:hint="eastAsia" w:ascii="仿宋" w:hAnsi="仿宋" w:eastAsia="仿宋" w:cs="仿宋"/>
          <w:color w:val="000000" w:themeColor="text1"/>
          <w:sz w:val="24"/>
          <w:szCs w:val="24"/>
          <w:lang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文件，经详细研究，决定参加该项目的</w:t>
      </w:r>
      <w:r>
        <w:rPr>
          <w:rFonts w:hint="eastAsia" w:ascii="仿宋" w:hAnsi="仿宋" w:eastAsia="仿宋" w:cs="仿宋"/>
          <w:color w:val="000000" w:themeColor="text1"/>
          <w:sz w:val="24"/>
          <w:szCs w:val="24"/>
          <w:lang w:eastAsia="zh-CN"/>
          <w14:textFill>
            <w14:solidFill>
              <w14:schemeClr w14:val="tx1"/>
            </w14:solidFill>
          </w14:textFill>
        </w:rPr>
        <w:t>网上竞采</w:t>
      </w:r>
      <w:r>
        <w:rPr>
          <w:rFonts w:hint="eastAsia" w:ascii="仿宋" w:hAnsi="仿宋" w:eastAsia="仿宋" w:cs="仿宋"/>
          <w:color w:val="000000" w:themeColor="text1"/>
          <w:sz w:val="24"/>
          <w:szCs w:val="24"/>
          <w14:textFill>
            <w14:solidFill>
              <w14:schemeClr w14:val="tx1"/>
            </w14:solidFill>
          </w14:textFill>
        </w:rPr>
        <w:t>。</w:t>
      </w:r>
    </w:p>
    <w:p w14:paraId="5EC87F8B">
      <w:pPr>
        <w:numPr>
          <w:ilvl w:val="0"/>
          <w:numId w:val="19"/>
        </w:numPr>
        <w:tabs>
          <w:tab w:val="left" w:pos="6300"/>
        </w:tabs>
        <w:snapToGrid w:val="0"/>
        <w:spacing w:line="360" w:lineRule="auto"/>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愿意按照</w:t>
      </w:r>
      <w:r>
        <w:rPr>
          <w:rFonts w:hint="eastAsia" w:ascii="仿宋" w:hAnsi="仿宋" w:eastAsia="仿宋" w:cs="仿宋"/>
          <w:color w:val="000000" w:themeColor="text1"/>
          <w:sz w:val="24"/>
          <w:szCs w:val="24"/>
          <w:lang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文件中的一切要求，提供本项目的</w:t>
      </w:r>
      <w:r>
        <w:rPr>
          <w:rFonts w:hint="eastAsia" w:ascii="仿宋" w:hAnsi="仿宋" w:eastAsia="仿宋" w:cs="仿宋"/>
          <w:color w:val="000000" w:themeColor="text1"/>
          <w:sz w:val="24"/>
          <w:szCs w:val="24"/>
          <w:lang w:val="en-US" w:eastAsia="zh-CN"/>
          <w14:textFill>
            <w14:solidFill>
              <w14:schemeClr w14:val="tx1"/>
            </w14:solidFill>
          </w14:textFill>
        </w:rPr>
        <w:t>包括并不限于的工程</w:t>
      </w:r>
      <w:r>
        <w:rPr>
          <w:rFonts w:hint="eastAsia" w:ascii="仿宋" w:hAnsi="仿宋" w:eastAsia="仿宋" w:cs="仿宋"/>
          <w:color w:val="000000" w:themeColor="text1"/>
          <w:sz w:val="24"/>
          <w:szCs w:val="24"/>
          <w:lang w:eastAsia="zh-CN"/>
          <w14:textFill>
            <w14:solidFill>
              <w14:schemeClr w14:val="tx1"/>
            </w14:solidFill>
          </w14:textFill>
        </w:rPr>
        <w:t>施工</w:t>
      </w:r>
      <w:r>
        <w:rPr>
          <w:rFonts w:hint="eastAsia" w:ascii="仿宋" w:hAnsi="仿宋" w:eastAsia="仿宋" w:cs="仿宋"/>
          <w:color w:val="000000" w:themeColor="text1"/>
          <w:sz w:val="24"/>
          <w:szCs w:val="24"/>
          <w14:textFill>
            <w14:solidFill>
              <w14:schemeClr w14:val="tx1"/>
            </w14:solidFill>
          </w14:textFill>
        </w:rPr>
        <w:t>服务，报价为人民币</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大写</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eastAsia="zh-CN"/>
          <w14:textFill>
            <w14:solidFill>
              <w14:schemeClr w14:val="tx1"/>
            </w14:solidFill>
          </w14:textFill>
        </w:rPr>
        <w:t xml:space="preserve">（¥ </w:t>
      </w:r>
      <w:r>
        <w:rPr>
          <w:rFonts w:hint="eastAsia" w:ascii="仿宋" w:hAnsi="仿宋" w:eastAsia="仿宋" w:cs="仿宋"/>
          <w:color w:val="000000" w:themeColor="text1"/>
          <w:sz w:val="24"/>
          <w:szCs w:val="24"/>
          <w:u w:val="single"/>
          <w:lang w:eastAsia="zh-CN"/>
          <w14:textFill>
            <w14:solidFill>
              <w14:schemeClr w14:val="tx1"/>
            </w14:solidFill>
          </w14:textFill>
        </w:rPr>
        <w:t xml:space="preserve">   </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eastAsia="zh-CN"/>
          <w14:textFill>
            <w14:solidFill>
              <w14:schemeClr w14:val="tx1"/>
            </w14:solidFill>
          </w14:textFill>
        </w:rPr>
        <w:t>；其中</w:t>
      </w:r>
      <w:r>
        <w:rPr>
          <w:rFonts w:hint="default" w:ascii="仿宋" w:hAnsi="仿宋" w:eastAsia="仿宋" w:cs="仿宋"/>
          <w:color w:val="000000" w:themeColor="text1"/>
          <w:sz w:val="24"/>
          <w:szCs w:val="24"/>
          <w:highlight w:val="none"/>
          <w:lang w:val="en-US" w:eastAsia="zh-CN"/>
          <w14:textFill>
            <w14:solidFill>
              <w14:schemeClr w14:val="tx1"/>
            </w14:solidFill>
          </w14:textFill>
        </w:rPr>
        <w:t>安全生产费</w:t>
      </w:r>
      <w:r>
        <w:rPr>
          <w:rFonts w:hint="eastAsia" w:ascii="仿宋" w:hAnsi="仿宋" w:eastAsia="仿宋" w:cs="仿宋"/>
          <w:color w:val="000000" w:themeColor="text1"/>
          <w:sz w:val="24"/>
          <w:szCs w:val="24"/>
          <w:lang w:eastAsia="zh-CN"/>
          <w14:textFill>
            <w14:solidFill>
              <w14:schemeClr w14:val="tx1"/>
            </w14:solidFill>
          </w14:textFill>
        </w:rPr>
        <w:t>为人民币（大写）</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eastAsia="zh-CN"/>
          <w14:textFill>
            <w14:solidFill>
              <w14:schemeClr w14:val="tx1"/>
            </w14:solidFill>
          </w14:textFill>
        </w:rPr>
        <w:t xml:space="preserve">（¥ </w:t>
      </w:r>
      <w:r>
        <w:rPr>
          <w:rFonts w:hint="eastAsia" w:ascii="仿宋" w:hAnsi="仿宋" w:eastAsia="仿宋" w:cs="仿宋"/>
          <w:color w:val="000000" w:themeColor="text1"/>
          <w:sz w:val="24"/>
          <w:szCs w:val="24"/>
          <w:u w:val="single"/>
          <w:lang w:eastAsia="zh-CN"/>
          <w14:textFill>
            <w14:solidFill>
              <w14:schemeClr w14:val="tx1"/>
            </w14:solidFill>
          </w14:textFill>
        </w:rPr>
        <w:t xml:space="preserve">  </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single"/>
          <w:lang w:eastAsia="zh-CN"/>
          <w14:textFill>
            <w14:solidFill>
              <w14:schemeClr w14:val="tx1"/>
            </w14:solidFill>
          </w14:textFill>
        </w:rPr>
        <w:t xml:space="preserve"> </w:t>
      </w:r>
      <w:r>
        <w:rPr>
          <w:rFonts w:hint="eastAsia" w:ascii="仿宋" w:hAnsi="仿宋" w:eastAsia="仿宋" w:cs="仿宋"/>
          <w:color w:val="000000" w:themeColor="text1"/>
          <w:sz w:val="24"/>
          <w:szCs w:val="24"/>
          <w:lang w:eastAsia="zh-CN"/>
          <w14:textFill>
            <w14:solidFill>
              <w14:schemeClr w14:val="tx1"/>
            </w14:solidFill>
          </w14:textFill>
        </w:rPr>
        <w:t>）；该工程的项目经理为：</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 （名称及身份证号码）；工期： </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none"/>
          <w:lang w:val="en-US" w:eastAsia="zh-CN"/>
          <w14:textFill>
            <w14:solidFill>
              <w14:schemeClr w14:val="tx1"/>
            </w14:solidFill>
          </w14:textFill>
        </w:rPr>
        <w:t>日历天；工程质量要求：</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14:paraId="37A851AF">
      <w:pPr>
        <w:numPr>
          <w:ilvl w:val="0"/>
          <w:numId w:val="19"/>
        </w:num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我方现提交的响应文件为：响应文件</w:t>
      </w:r>
      <w:r>
        <w:rPr>
          <w:rFonts w:hint="eastAsia" w:ascii="仿宋" w:hAnsi="仿宋" w:eastAsia="仿宋" w:cs="仿宋"/>
          <w:color w:val="000000" w:themeColor="text1"/>
          <w:sz w:val="24"/>
          <w:szCs w:val="24"/>
          <w:lang w:eastAsia="zh-CN"/>
          <w14:textFill>
            <w14:solidFill>
              <w14:schemeClr w14:val="tx1"/>
            </w14:solidFill>
          </w14:textFill>
        </w:rPr>
        <w:t>纸质档</w:t>
      </w:r>
      <w:r>
        <w:rPr>
          <w:rFonts w:hint="eastAsia" w:ascii="仿宋" w:hAnsi="仿宋" w:eastAsia="仿宋" w:cs="仿宋"/>
          <w:color w:val="000000" w:themeColor="text1"/>
          <w:sz w:val="24"/>
          <w:szCs w:val="24"/>
          <w14:textFill>
            <w14:solidFill>
              <w14:schemeClr w14:val="tx1"/>
            </w14:solidFill>
          </w14:textFill>
        </w:rPr>
        <w:t>正本</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份</w:t>
      </w:r>
      <w:r>
        <w:rPr>
          <w:rFonts w:hint="eastAsia" w:ascii="仿宋" w:hAnsi="仿宋" w:eastAsia="仿宋" w:cs="仿宋"/>
          <w:color w:val="000000" w:themeColor="text1"/>
          <w:sz w:val="24"/>
          <w:szCs w:val="24"/>
          <w:lang w:val="en-US" w:eastAsia="zh-CN"/>
          <w14:textFill>
            <w14:solidFill>
              <w14:schemeClr w14:val="tx1"/>
            </w14:solidFill>
          </w14:textFill>
        </w:rPr>
        <w:t>,副本</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份及线上电子文件</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份</w:t>
      </w:r>
      <w:r>
        <w:rPr>
          <w:rFonts w:hint="eastAsia" w:ascii="仿宋" w:hAnsi="仿宋" w:eastAsia="仿宋" w:cs="仿宋"/>
          <w:color w:val="000000" w:themeColor="text1"/>
          <w:sz w:val="24"/>
          <w:szCs w:val="24"/>
          <w14:textFill>
            <w14:solidFill>
              <w14:schemeClr w14:val="tx1"/>
            </w14:solidFill>
          </w14:textFill>
        </w:rPr>
        <w:t>。</w:t>
      </w:r>
    </w:p>
    <w:p w14:paraId="43C15A9B">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3、我方承诺：本次</w:t>
      </w:r>
      <w:r>
        <w:rPr>
          <w:rFonts w:hint="eastAsia" w:ascii="仿宋" w:hAnsi="仿宋" w:eastAsia="仿宋" w:cs="仿宋"/>
          <w:color w:val="000000" w:themeColor="text1"/>
          <w:sz w:val="24"/>
          <w:szCs w:val="24"/>
          <w:lang w:eastAsia="zh-CN"/>
          <w14:textFill>
            <w14:solidFill>
              <w14:schemeClr w14:val="tx1"/>
            </w14:solidFill>
          </w14:textFill>
        </w:rPr>
        <w:t>网上竞采</w:t>
      </w:r>
      <w:r>
        <w:rPr>
          <w:rFonts w:hint="eastAsia" w:ascii="仿宋" w:hAnsi="仿宋" w:eastAsia="仿宋" w:cs="仿宋"/>
          <w:color w:val="000000" w:themeColor="text1"/>
          <w:sz w:val="24"/>
          <w:szCs w:val="24"/>
          <w14:textFill>
            <w14:solidFill>
              <w14:schemeClr w14:val="tx1"/>
            </w14:solidFill>
          </w14:textFill>
        </w:rPr>
        <w:t>的有效期为90天。</w:t>
      </w:r>
    </w:p>
    <w:p w14:paraId="26937062">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4、我方完全理解和接受贵方</w:t>
      </w:r>
      <w:r>
        <w:rPr>
          <w:rFonts w:hint="eastAsia" w:ascii="仿宋" w:hAnsi="仿宋" w:eastAsia="仿宋" w:cs="仿宋"/>
          <w:color w:val="000000" w:themeColor="text1"/>
          <w:sz w:val="24"/>
          <w:szCs w:val="24"/>
          <w:lang w:eastAsia="zh-CN"/>
          <w14:textFill>
            <w14:solidFill>
              <w14:schemeClr w14:val="tx1"/>
            </w14:solidFill>
          </w14:textFill>
        </w:rPr>
        <w:t>采购</w:t>
      </w:r>
      <w:r>
        <w:rPr>
          <w:rFonts w:hint="eastAsia" w:ascii="仿宋" w:hAnsi="仿宋" w:eastAsia="仿宋" w:cs="仿宋"/>
          <w:color w:val="000000" w:themeColor="text1"/>
          <w:sz w:val="24"/>
          <w:szCs w:val="24"/>
          <w14:textFill>
            <w14:solidFill>
              <w14:schemeClr w14:val="tx1"/>
            </w14:solidFill>
          </w14:textFill>
        </w:rPr>
        <w:t>文件的一切规定和要求及评审办法。</w:t>
      </w:r>
    </w:p>
    <w:p w14:paraId="6BA66D27">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5、在整个</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过程中，我方若有违规行为，接受按照重庆市政府采购规定给予惩罚。</w:t>
      </w:r>
    </w:p>
    <w:p w14:paraId="47784C71">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6、我方若中选，将按照</w:t>
      </w:r>
      <w:r>
        <w:rPr>
          <w:rFonts w:hint="eastAsia" w:ascii="仿宋" w:hAnsi="仿宋" w:eastAsia="仿宋" w:cs="仿宋"/>
          <w:color w:val="000000" w:themeColor="text1"/>
          <w:sz w:val="24"/>
          <w:szCs w:val="24"/>
          <w:lang w:eastAsia="zh-CN"/>
          <w14:textFill>
            <w14:solidFill>
              <w14:schemeClr w14:val="tx1"/>
            </w14:solidFill>
          </w14:textFill>
        </w:rPr>
        <w:t>竞采</w:t>
      </w:r>
      <w:r>
        <w:rPr>
          <w:rFonts w:hint="eastAsia" w:ascii="仿宋" w:hAnsi="仿宋" w:eastAsia="仿宋" w:cs="仿宋"/>
          <w:color w:val="000000" w:themeColor="text1"/>
          <w:sz w:val="24"/>
          <w:szCs w:val="24"/>
          <w14:textFill>
            <w14:solidFill>
              <w14:schemeClr w14:val="tx1"/>
            </w14:solidFill>
          </w14:textFill>
        </w:rPr>
        <w:t>结果</w:t>
      </w:r>
      <w:r>
        <w:rPr>
          <w:rFonts w:hint="eastAsia" w:ascii="仿宋" w:hAnsi="仿宋" w:eastAsia="仿宋" w:cs="仿宋"/>
          <w:color w:val="000000" w:themeColor="text1"/>
          <w:sz w:val="24"/>
          <w:szCs w:val="24"/>
          <w:lang w:eastAsia="zh-CN"/>
          <w14:textFill>
            <w14:solidFill>
              <w14:schemeClr w14:val="tx1"/>
            </w14:solidFill>
          </w14:textFill>
        </w:rPr>
        <w:t>根据采购文件要求提交</w:t>
      </w: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履约保证金及</w:t>
      </w:r>
      <w:r>
        <w:rPr>
          <w:rFonts w:hint="eastAsia" w:ascii="仿宋" w:hAnsi="仿宋" w:eastAsia="仿宋" w:cs="仿宋"/>
          <w:color w:val="000000" w:themeColor="text1"/>
          <w:sz w:val="24"/>
          <w:szCs w:val="24"/>
          <w14:textFill>
            <w14:solidFill>
              <w14:schemeClr w14:val="tx1"/>
            </w14:solidFill>
          </w14:textFill>
        </w:rPr>
        <w:t>签订合同，并且严格履行合同义务。本承诺函将成为合同不可分割的一部分，与合同具有同等的法律效力。</w:t>
      </w:r>
    </w:p>
    <w:p w14:paraId="43D562C8">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7、我方理解，最低报价不是成交的唯一条件。</w:t>
      </w:r>
    </w:p>
    <w:p w14:paraId="4852FD76">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p>
    <w:p w14:paraId="3461A75D">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p>
    <w:p w14:paraId="104086EF">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供应商名称（公章）：</w:t>
      </w:r>
    </w:p>
    <w:p w14:paraId="2D73F576">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 年   月   日</w:t>
      </w:r>
      <w:r>
        <w:rPr>
          <w:rFonts w:hint="eastAsia" w:ascii="仿宋" w:hAnsi="仿宋" w:eastAsia="仿宋" w:cs="仿宋"/>
          <w:color w:val="000000" w:themeColor="text1"/>
          <w:sz w:val="24"/>
          <w:szCs w:val="24"/>
          <w14:textFill>
            <w14:solidFill>
              <w14:schemeClr w14:val="tx1"/>
            </w14:solidFill>
          </w14:textFill>
        </w:rPr>
        <w:br w:type="page"/>
      </w:r>
    </w:p>
    <w:p w14:paraId="36F9FCED">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p>
    <w:p w14:paraId="41426085">
      <w:pPr>
        <w:bidi w:val="0"/>
        <w:spacing w:line="360" w:lineRule="auto"/>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（二）</w:t>
      </w:r>
      <w:r>
        <w:rPr>
          <w:rFonts w:hint="eastAsia"/>
          <w:color w:val="000000" w:themeColor="text1"/>
          <w:lang w:val="en-US" w:eastAsia="zh-CN"/>
          <w14:textFill>
            <w14:solidFill>
              <w14:schemeClr w14:val="tx1"/>
            </w14:solidFill>
          </w14:textFill>
        </w:rPr>
        <w:t>分项报价表明细</w:t>
      </w:r>
    </w:p>
    <w:p w14:paraId="756C2AB9">
      <w:pPr>
        <w:pStyle w:val="37"/>
        <w:numPr>
          <w:ilvl w:val="0"/>
          <w:numId w:val="0"/>
        </w:numPr>
        <w:spacing w:line="360" w:lineRule="auto"/>
        <w:ind w:left="753" w:leftChars="0"/>
        <w:jc w:val="center"/>
        <w:rPr>
          <w:rFonts w:hint="eastAsia" w:ascii="仿宋" w:hAnsi="仿宋" w:eastAsia="仿宋" w:cs="仿宋"/>
          <w:color w:val="000000" w:themeColor="text1"/>
          <w:sz w:val="24"/>
          <w:szCs w:val="24"/>
          <w:lang w:eastAsia="zh-CN"/>
          <w14:textFill>
            <w14:solidFill>
              <w14:schemeClr w14:val="tx1"/>
            </w14:solidFill>
          </w14:textFill>
        </w:rPr>
      </w:pPr>
      <w:bookmarkStart w:id="1090" w:name="_Toc6818912"/>
      <w:bookmarkStart w:id="1091" w:name="_Toc342913420"/>
      <w:bookmarkStart w:id="1092" w:name="_Toc23185487"/>
      <w:bookmarkStart w:id="1093" w:name="_Toc313008357"/>
      <w:bookmarkStart w:id="1094" w:name="_Toc29985638"/>
      <w:bookmarkStart w:id="1095" w:name="_Toc21936039"/>
      <w:bookmarkStart w:id="1096" w:name="_Toc433792170"/>
      <w:bookmarkStart w:id="1097" w:name="_Toc30668158"/>
      <w:bookmarkStart w:id="1098" w:name="_Toc51660751"/>
      <w:bookmarkStart w:id="1099" w:name="_Toc20656410"/>
      <w:bookmarkStart w:id="1100" w:name="_Toc313888361"/>
      <w:r>
        <w:rPr>
          <w:rFonts w:hint="eastAsia" w:ascii="仿宋" w:hAnsi="仿宋" w:eastAsia="仿宋" w:cs="仿宋"/>
          <w:color w:val="000000" w:themeColor="text1"/>
          <w:sz w:val="24"/>
          <w:szCs w:val="24"/>
          <w:lang w:val="en-US" w:eastAsia="zh-CN"/>
          <w14:textFill>
            <w14:solidFill>
              <w14:schemeClr w14:val="tx1"/>
            </w14:solidFill>
          </w14:textFill>
        </w:rPr>
        <w:t>（供应商提供已标价工程量清单）</w:t>
      </w:r>
    </w:p>
    <w:p w14:paraId="69CCC5AE">
      <w:pPr>
        <w:widowControl/>
        <w:spacing w:line="360" w:lineRule="auto"/>
        <w:jc w:val="left"/>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br w:type="page"/>
      </w:r>
    </w:p>
    <w:bookmarkEnd w:id="1090"/>
    <w:bookmarkEnd w:id="1091"/>
    <w:bookmarkEnd w:id="1092"/>
    <w:bookmarkEnd w:id="1093"/>
    <w:bookmarkEnd w:id="1094"/>
    <w:bookmarkEnd w:id="1095"/>
    <w:bookmarkEnd w:id="1096"/>
    <w:bookmarkEnd w:id="1097"/>
    <w:bookmarkEnd w:id="1098"/>
    <w:bookmarkEnd w:id="1099"/>
    <w:bookmarkEnd w:id="1100"/>
    <w:p w14:paraId="3412E151">
      <w:pPr>
        <w:pStyle w:val="5"/>
        <w:spacing w:line="360" w:lineRule="auto"/>
        <w:rPr>
          <w:rFonts w:hint="eastAsia" w:ascii="仿宋" w:hAnsi="仿宋" w:eastAsia="仿宋" w:cs="仿宋"/>
          <w:color w:val="000000" w:themeColor="text1"/>
          <w:sz w:val="24"/>
          <w:szCs w:val="24"/>
          <w14:textFill>
            <w14:solidFill>
              <w14:schemeClr w14:val="tx1"/>
            </w14:solidFill>
          </w14:textFill>
        </w:rPr>
      </w:pPr>
      <w:bookmarkStart w:id="1101" w:name="_Toc28359"/>
      <w:bookmarkStart w:id="1102" w:name="_Toc29985640"/>
      <w:bookmarkStart w:id="1103" w:name="_Toc342913422"/>
      <w:bookmarkStart w:id="1104" w:name="_Toc433792172"/>
      <w:bookmarkStart w:id="1105" w:name="_Toc21936041"/>
      <w:bookmarkStart w:id="1106" w:name="_Toc51660753"/>
      <w:bookmarkStart w:id="1107" w:name="_Toc20656412"/>
      <w:bookmarkStart w:id="1108" w:name="_Toc6818914"/>
      <w:bookmarkStart w:id="1109" w:name="_Toc30668160"/>
      <w:bookmarkStart w:id="1110" w:name="_Toc313008359"/>
      <w:bookmarkStart w:id="1111" w:name="_Toc23185489"/>
      <w:bookmarkStart w:id="1112" w:name="_Toc313888363"/>
      <w:r>
        <w:rPr>
          <w:rFonts w:hint="eastAsia" w:ascii="仿宋" w:hAnsi="仿宋" w:eastAsia="仿宋" w:cs="仿宋"/>
          <w:color w:val="000000" w:themeColor="text1"/>
          <w:sz w:val="24"/>
          <w:szCs w:val="24"/>
          <w:lang w:eastAsia="zh-CN"/>
          <w14:textFill>
            <w14:solidFill>
              <w14:schemeClr w14:val="tx1"/>
            </w14:solidFill>
          </w14:textFill>
        </w:rPr>
        <w:t>二</w:t>
      </w:r>
      <w:r>
        <w:rPr>
          <w:rFonts w:hint="eastAsia" w:ascii="仿宋" w:hAnsi="仿宋" w:eastAsia="仿宋" w:cs="仿宋"/>
          <w:color w:val="000000" w:themeColor="text1"/>
          <w:sz w:val="24"/>
          <w:szCs w:val="24"/>
          <w14:textFill>
            <w14:solidFill>
              <w14:schemeClr w14:val="tx1"/>
            </w14:solidFill>
          </w14:textFill>
        </w:rPr>
        <w:t>、技术部分</w:t>
      </w:r>
      <w:bookmarkEnd w:id="1101"/>
    </w:p>
    <w:p w14:paraId="3E22E535">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（一）技术方案（</w:t>
      </w:r>
      <w:r>
        <w:rPr>
          <w:rFonts w:hint="eastAsia" w:ascii="仿宋" w:hAnsi="仿宋" w:eastAsia="仿宋" w:cs="仿宋"/>
          <w:color w:val="000000" w:themeColor="text1"/>
          <w:sz w:val="24"/>
          <w:szCs w:val="24"/>
          <w:lang w:eastAsia="zh-CN"/>
          <w14:textFill>
            <w14:solidFill>
              <w14:schemeClr w14:val="tx1"/>
            </w14:solidFill>
          </w14:textFill>
        </w:rPr>
        <w:t>供应商根据</w:t>
      </w:r>
      <w:r>
        <w:rPr>
          <w:rFonts w:hint="eastAsia" w:ascii="仿宋" w:hAnsi="仿宋" w:eastAsia="仿宋" w:cs="仿宋"/>
          <w:color w:val="000000" w:themeColor="text1"/>
          <w:sz w:val="24"/>
          <w:szCs w:val="24"/>
          <w14:textFill>
            <w14:solidFill>
              <w14:schemeClr w14:val="tx1"/>
            </w14:solidFill>
          </w14:textFill>
        </w:rPr>
        <w:t>评审标准技术部分内容</w:t>
      </w:r>
      <w:r>
        <w:rPr>
          <w:rFonts w:hint="eastAsia" w:ascii="仿宋" w:hAnsi="仿宋" w:eastAsia="仿宋" w:cs="仿宋"/>
          <w:color w:val="000000" w:themeColor="text1"/>
          <w:sz w:val="24"/>
          <w:szCs w:val="24"/>
          <w:lang w:eastAsia="zh-CN"/>
          <w14:textFill>
            <w14:solidFill>
              <w14:schemeClr w14:val="tx1"/>
            </w14:solidFill>
          </w14:textFill>
        </w:rPr>
        <w:t>自行</w:t>
      </w:r>
      <w:r>
        <w:rPr>
          <w:rFonts w:hint="eastAsia" w:ascii="仿宋" w:hAnsi="仿宋" w:eastAsia="仿宋" w:cs="仿宋"/>
          <w:color w:val="000000" w:themeColor="text1"/>
          <w:sz w:val="24"/>
          <w:szCs w:val="24"/>
          <w14:textFill>
            <w14:solidFill>
              <w14:schemeClr w14:val="tx1"/>
            </w14:solidFill>
          </w14:textFill>
        </w:rPr>
        <w:t>编写</w:t>
      </w:r>
      <w:r>
        <w:rPr>
          <w:rFonts w:hint="eastAsia" w:ascii="仿宋" w:hAnsi="仿宋" w:eastAsia="仿宋" w:cs="仿宋"/>
          <w:color w:val="000000" w:themeColor="text1"/>
          <w:sz w:val="24"/>
          <w:szCs w:val="24"/>
          <w:lang w:eastAsia="zh-CN"/>
          <w14:textFill>
            <w14:solidFill>
              <w14:schemeClr w14:val="tx1"/>
            </w14:solidFill>
          </w14:textFill>
        </w:rPr>
        <w:t>，格式自拟</w:t>
      </w:r>
      <w:r>
        <w:rPr>
          <w:rFonts w:hint="eastAsia" w:ascii="仿宋" w:hAnsi="仿宋" w:eastAsia="仿宋" w:cs="仿宋"/>
          <w:color w:val="000000" w:themeColor="text1"/>
          <w:sz w:val="24"/>
          <w:szCs w:val="24"/>
          <w14:textFill>
            <w14:solidFill>
              <w14:schemeClr w14:val="tx1"/>
            </w14:solidFill>
          </w14:textFill>
        </w:rPr>
        <w:t>）</w:t>
      </w:r>
    </w:p>
    <w:p w14:paraId="194E913D">
      <w:pPr>
        <w:pStyle w:val="61"/>
        <w:spacing w:line="36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br w:type="page"/>
      </w:r>
    </w:p>
    <w:p w14:paraId="5DAD0233">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（二）技术响应偏离表</w:t>
      </w:r>
    </w:p>
    <w:p w14:paraId="1708400F">
      <w:pPr>
        <w:snapToGrid w:val="0"/>
        <w:spacing w:line="360" w:lineRule="auto"/>
        <w:jc w:val="center"/>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技术响应偏离表</w:t>
      </w:r>
    </w:p>
    <w:p w14:paraId="2346C22D">
      <w:pPr>
        <w:snapToGrid w:val="0"/>
        <w:spacing w:line="36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对于采购文件的技术要求，如有任何偏离请如实填写下表：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640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3938CB35">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序号</w:t>
            </w:r>
          </w:p>
        </w:tc>
        <w:tc>
          <w:tcPr>
            <w:tcW w:w="3179" w:type="dxa"/>
            <w:vAlign w:val="center"/>
          </w:tcPr>
          <w:p w14:paraId="02847731">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采购项目需求</w:t>
            </w:r>
          </w:p>
        </w:tc>
        <w:tc>
          <w:tcPr>
            <w:tcW w:w="2434" w:type="dxa"/>
            <w:vAlign w:val="center"/>
          </w:tcPr>
          <w:p w14:paraId="7BC5BE94">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响应情况</w:t>
            </w:r>
          </w:p>
        </w:tc>
        <w:tc>
          <w:tcPr>
            <w:tcW w:w="2355" w:type="dxa"/>
            <w:vAlign w:val="center"/>
          </w:tcPr>
          <w:p w14:paraId="3A2E21CC">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差异说明</w:t>
            </w:r>
          </w:p>
        </w:tc>
      </w:tr>
      <w:tr w14:paraId="4577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7DC3F54">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53D9F0CB">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4DC50783">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2FCD4886">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r w14:paraId="6281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E68ED5A">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593199B5">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18628E80">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2FF8D7A3">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r w14:paraId="1488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1AFAA71">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0733C1B9">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63F44AF9">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46F0A132">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r w14:paraId="07EB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8DE392E">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48D09D30">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3EA0B636">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3B46D8F1">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r w14:paraId="7FE1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6C64E6B">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56073D1A">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5DEA0D03">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7A724E9D">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r w14:paraId="7CEB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6EA40C4">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34372630">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480AFD17">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75FC9437">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bl>
    <w:p w14:paraId="41D61B81">
      <w:pPr>
        <w:snapToGrid w:val="0"/>
        <w:spacing w:line="360" w:lineRule="auto"/>
        <w:ind w:firstLine="465"/>
        <w:rPr>
          <w:rFonts w:hint="eastAsia" w:ascii="仿宋" w:hAnsi="仿宋" w:eastAsia="仿宋" w:cs="仿宋"/>
          <w:color w:val="000000" w:themeColor="text1"/>
          <w:sz w:val="24"/>
          <w:szCs w:val="24"/>
          <w14:textFill>
            <w14:solidFill>
              <w14:schemeClr w14:val="tx1"/>
            </w14:solidFill>
          </w14:textFill>
        </w:rPr>
      </w:pPr>
    </w:p>
    <w:p w14:paraId="70782C5E">
      <w:pPr>
        <w:spacing w:line="360" w:lineRule="auto"/>
        <w:ind w:firstLine="600" w:firstLineChars="25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供应商名称：                                 法定代表人或其委托代理人</w:t>
      </w:r>
      <w:r>
        <w:rPr>
          <w:rFonts w:hint="eastAsia" w:ascii="仿宋" w:hAnsi="仿宋" w:eastAsia="仿宋" w:cs="仿宋"/>
          <w:color w:val="000000" w:themeColor="text1"/>
          <w:sz w:val="24"/>
          <w:szCs w:val="24"/>
          <w:lang w:eastAsia="zh-CN"/>
          <w14:textFill>
            <w14:solidFill>
              <w14:schemeClr w14:val="tx1"/>
            </w14:solidFill>
          </w14:textFill>
        </w:rPr>
        <w:t>：</w:t>
      </w:r>
    </w:p>
    <w:p w14:paraId="61CA4245">
      <w:pPr>
        <w:spacing w:line="360" w:lineRule="auto"/>
        <w:ind w:firstLine="360" w:firstLineChars="1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（供应商公章）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（签字或盖章）</w:t>
      </w:r>
    </w:p>
    <w:p w14:paraId="14E7A9CB">
      <w:pPr>
        <w:tabs>
          <w:tab w:val="left" w:pos="6300"/>
        </w:tabs>
        <w:snapToGrid w:val="0"/>
        <w:spacing w:line="360" w:lineRule="auto"/>
        <w:ind w:firstLine="57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14:paraId="6D2D713E">
      <w:pPr>
        <w:tabs>
          <w:tab w:val="left" w:pos="6300"/>
        </w:tabs>
        <w:snapToGrid w:val="0"/>
        <w:spacing w:line="360" w:lineRule="auto"/>
        <w:ind w:firstLine="7202" w:firstLineChars="3001"/>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年     月     日</w:t>
      </w:r>
    </w:p>
    <w:p w14:paraId="581250F2">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注：</w:t>
      </w:r>
    </w:p>
    <w:p w14:paraId="648F14BC">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1.本表即为对本项目“第二篇 项目技术需求”中所列技术要求进行比较和响应；</w:t>
      </w:r>
    </w:p>
    <w:p w14:paraId="0E71D90C">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2.该表必须按照采购要求逐条如实填写，根据响应情况在“差异说明”项填写正偏离或负偏离及原因，完全符合的填写“无差异”；</w:t>
      </w:r>
    </w:p>
    <w:p w14:paraId="23442A49">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3.该表可扩展，并逐页签字或盖章。</w:t>
      </w:r>
    </w:p>
    <w:p w14:paraId="64A35758">
      <w:pPr>
        <w:pStyle w:val="61"/>
        <w:spacing w:line="36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br w:type="page"/>
      </w:r>
    </w:p>
    <w:p w14:paraId="25FC0210">
      <w:pPr>
        <w:pStyle w:val="5"/>
        <w:spacing w:line="360" w:lineRule="auto"/>
        <w:rPr>
          <w:rFonts w:hint="eastAsia" w:ascii="仿宋" w:hAnsi="仿宋" w:eastAsia="仿宋" w:cs="仿宋"/>
          <w:color w:val="000000" w:themeColor="text1"/>
          <w:sz w:val="24"/>
          <w:szCs w:val="24"/>
          <w14:textFill>
            <w14:solidFill>
              <w14:schemeClr w14:val="tx1"/>
            </w14:solidFill>
          </w14:textFill>
        </w:rPr>
      </w:pPr>
      <w:bookmarkStart w:id="1113" w:name="_Toc14641"/>
      <w:r>
        <w:rPr>
          <w:rFonts w:hint="eastAsia" w:ascii="仿宋" w:hAnsi="仿宋" w:eastAsia="仿宋" w:cs="仿宋"/>
          <w:color w:val="000000" w:themeColor="text1"/>
          <w:sz w:val="24"/>
          <w:szCs w:val="24"/>
          <w:lang w:eastAsia="zh-CN"/>
          <w14:textFill>
            <w14:solidFill>
              <w14:schemeClr w14:val="tx1"/>
            </w14:solidFill>
          </w14:textFill>
        </w:rPr>
        <w:t>三</w:t>
      </w:r>
      <w:r>
        <w:rPr>
          <w:rFonts w:hint="eastAsia" w:ascii="仿宋" w:hAnsi="仿宋" w:eastAsia="仿宋" w:cs="仿宋"/>
          <w:color w:val="000000" w:themeColor="text1"/>
          <w:sz w:val="24"/>
          <w:szCs w:val="24"/>
          <w14:textFill>
            <w14:solidFill>
              <w14:schemeClr w14:val="tx1"/>
            </w14:solidFill>
          </w14:textFill>
        </w:rPr>
        <w:t>、商务部分</w:t>
      </w:r>
      <w:bookmarkEnd w:id="1113"/>
    </w:p>
    <w:p w14:paraId="1F89A9DA">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一</w:t>
      </w:r>
      <w:r>
        <w:rPr>
          <w:rFonts w:hint="eastAsia" w:ascii="仿宋" w:hAnsi="仿宋" w:eastAsia="仿宋" w:cs="仿宋"/>
          <w:color w:val="000000" w:themeColor="text1"/>
          <w:sz w:val="24"/>
          <w:szCs w:val="24"/>
          <w14:textFill>
            <w14:solidFill>
              <w14:schemeClr w14:val="tx1"/>
            </w14:solidFill>
          </w14:textFill>
        </w:rPr>
        <w:t>）商务响应偏离表</w:t>
      </w:r>
    </w:p>
    <w:p w14:paraId="2B78DFCD">
      <w:pPr>
        <w:snapToGrid w:val="0"/>
        <w:spacing w:line="360" w:lineRule="auto"/>
        <w:jc w:val="center"/>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商务响应偏离表</w:t>
      </w:r>
    </w:p>
    <w:p w14:paraId="7A2060E7">
      <w:pPr>
        <w:snapToGrid w:val="0"/>
        <w:spacing w:line="36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对于采购文件的商务要求，如有任何偏离请如实填写下表：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161F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5EE2243F">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序号</w:t>
            </w:r>
          </w:p>
        </w:tc>
        <w:tc>
          <w:tcPr>
            <w:tcW w:w="3179" w:type="dxa"/>
            <w:vAlign w:val="center"/>
          </w:tcPr>
          <w:p w14:paraId="1F1346C5">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采购项目需求</w:t>
            </w:r>
          </w:p>
        </w:tc>
        <w:tc>
          <w:tcPr>
            <w:tcW w:w="2434" w:type="dxa"/>
            <w:vAlign w:val="center"/>
          </w:tcPr>
          <w:p w14:paraId="4101D263">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响应情况</w:t>
            </w:r>
          </w:p>
        </w:tc>
        <w:tc>
          <w:tcPr>
            <w:tcW w:w="2355" w:type="dxa"/>
            <w:vAlign w:val="center"/>
          </w:tcPr>
          <w:p w14:paraId="167244F6">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差异说明</w:t>
            </w:r>
          </w:p>
        </w:tc>
      </w:tr>
      <w:tr w14:paraId="6B0E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BDF7D1E">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7B8F30DE">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014948D0">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201E6ECE">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r w14:paraId="5CFD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58C6BAD">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4332C541">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1B2A4964">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172E7070">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r w14:paraId="503F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A8EB693">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50AEAD6D">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0849AB9C">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19565FFD">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r w14:paraId="596A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DB1875">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684290FD">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69BD61A2">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6C7DB067">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r w14:paraId="01BE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3B404ED">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55A3EA3D">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679F8DF7">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5BEA32CA">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r w14:paraId="3356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6E8C9C8">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3179" w:type="dxa"/>
            <w:vAlign w:val="center"/>
          </w:tcPr>
          <w:p w14:paraId="4FCCD403">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434" w:type="dxa"/>
            <w:vAlign w:val="center"/>
          </w:tcPr>
          <w:p w14:paraId="4A419F50">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c>
          <w:tcPr>
            <w:tcW w:w="2355" w:type="dxa"/>
            <w:vAlign w:val="center"/>
          </w:tcPr>
          <w:p w14:paraId="349067DC">
            <w:pPr>
              <w:tabs>
                <w:tab w:val="left" w:pos="6300"/>
              </w:tabs>
              <w:snapToGrid w:val="0"/>
              <w:spacing w:line="360" w:lineRule="auto"/>
              <w:jc w:val="center"/>
              <w:outlineLvl w:val="0"/>
              <w:rPr>
                <w:rFonts w:hint="eastAsia" w:ascii="仿宋" w:hAnsi="仿宋" w:eastAsia="仿宋" w:cs="仿宋"/>
                <w:color w:val="000000" w:themeColor="text1"/>
                <w:sz w:val="24"/>
                <w:szCs w:val="24"/>
                <w14:textFill>
                  <w14:solidFill>
                    <w14:schemeClr w14:val="tx1"/>
                  </w14:solidFill>
                </w14:textFill>
              </w:rPr>
            </w:pPr>
          </w:p>
        </w:tc>
      </w:tr>
    </w:tbl>
    <w:p w14:paraId="63083685">
      <w:pPr>
        <w:snapToGrid w:val="0"/>
        <w:spacing w:line="360" w:lineRule="auto"/>
        <w:ind w:firstLine="465"/>
        <w:rPr>
          <w:rFonts w:hint="eastAsia" w:ascii="仿宋" w:hAnsi="仿宋" w:eastAsia="仿宋" w:cs="仿宋"/>
          <w:color w:val="000000" w:themeColor="text1"/>
          <w:sz w:val="24"/>
          <w:szCs w:val="24"/>
          <w14:textFill>
            <w14:solidFill>
              <w14:schemeClr w14:val="tx1"/>
            </w14:solidFill>
          </w14:textFill>
        </w:rPr>
      </w:pPr>
    </w:p>
    <w:p w14:paraId="092C206F">
      <w:pPr>
        <w:spacing w:line="360" w:lineRule="auto"/>
        <w:ind w:firstLine="600" w:firstLineChars="2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供应商名称：                                 法定代表人或其委托代理人</w:t>
      </w:r>
      <w:r>
        <w:rPr>
          <w:rFonts w:hint="eastAsia" w:ascii="仿宋" w:hAnsi="仿宋" w:eastAsia="仿宋" w:cs="仿宋"/>
          <w:color w:val="000000" w:themeColor="text1"/>
          <w:sz w:val="24"/>
          <w:szCs w:val="24"/>
          <w:lang w:eastAsia="zh-CN"/>
          <w14:textFill>
            <w14:solidFill>
              <w14:schemeClr w14:val="tx1"/>
            </w14:solidFill>
          </w14:textFill>
        </w:rPr>
        <w:t>：</w:t>
      </w:r>
    </w:p>
    <w:p w14:paraId="42BC4177">
      <w:pPr>
        <w:spacing w:line="360" w:lineRule="auto"/>
        <w:ind w:firstLine="360" w:firstLineChars="1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（供应商公章）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（签字或盖章）</w:t>
      </w:r>
    </w:p>
    <w:p w14:paraId="5D9D7F18">
      <w:pPr>
        <w:tabs>
          <w:tab w:val="left" w:pos="6300"/>
        </w:tabs>
        <w:snapToGrid w:val="0"/>
        <w:spacing w:line="360" w:lineRule="auto"/>
        <w:ind w:firstLine="57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   </w:t>
      </w:r>
    </w:p>
    <w:p w14:paraId="4B79803F">
      <w:pPr>
        <w:tabs>
          <w:tab w:val="left" w:pos="6300"/>
        </w:tabs>
        <w:snapToGrid w:val="0"/>
        <w:spacing w:line="360" w:lineRule="auto"/>
        <w:ind w:firstLine="6002" w:firstLineChars="2501"/>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年     月     日</w:t>
      </w:r>
    </w:p>
    <w:p w14:paraId="79E2582B">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注：</w:t>
      </w:r>
    </w:p>
    <w:p w14:paraId="55525C4D">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1.本表即为对本项目“第三篇 项目商务需求”中所列服务要求进行比较和响应；</w:t>
      </w:r>
    </w:p>
    <w:p w14:paraId="6DEB2008">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2.该表必须按照采购要求逐条如实填写，根据响应情况在“差异说明”项填写正偏离或负偏离及原因，完全符合的填写“无差异”；</w:t>
      </w:r>
    </w:p>
    <w:p w14:paraId="2CFB5846">
      <w:pPr>
        <w:tabs>
          <w:tab w:val="left" w:pos="6300"/>
        </w:tabs>
        <w:snapToGrid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3.该表可扩展，并逐页签字或盖章。</w:t>
      </w:r>
    </w:p>
    <w:p w14:paraId="1F946E47">
      <w:pPr>
        <w:spacing w:line="36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br w:type="page"/>
      </w:r>
    </w:p>
    <w:p w14:paraId="21B0E1AC">
      <w:pPr>
        <w:pStyle w:val="79"/>
        <w:spacing w:line="360" w:lineRule="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（二）人员要求</w:t>
      </w:r>
    </w:p>
    <w:p w14:paraId="21E4B09A">
      <w:pPr>
        <w:pStyle w:val="79"/>
        <w:spacing w:line="360" w:lineRule="auto"/>
        <w:rPr>
          <w:rFonts w:hint="eastAsia" w:ascii="仿宋" w:hAnsi="仿宋" w:eastAsia="仿宋" w:cs="仿宋"/>
          <w:color w:val="000000" w:themeColor="text1"/>
          <w:sz w:val="24"/>
          <w:szCs w:val="24"/>
          <w:lang w:eastAsia="zh-CN"/>
          <w14:textFill>
            <w14:solidFill>
              <w14:schemeClr w14:val="tx1"/>
            </w14:solidFill>
          </w14:textFill>
        </w:rPr>
        <w:sectPr>
          <w:pgSz w:w="11906" w:h="16838"/>
          <w:pgMar w:top="1134" w:right="1134" w:bottom="1134" w:left="1134" w:header="851" w:footer="851" w:gutter="0"/>
          <w:pgNumType w:fmt="decimal"/>
          <w:cols w:space="720" w:num="1"/>
          <w:docGrid w:type="lines" w:linePitch="326" w:charSpace="0"/>
        </w:sectPr>
      </w:pPr>
      <w:r>
        <w:rPr>
          <w:rFonts w:hint="eastAsia" w:ascii="仿宋" w:hAnsi="仿宋" w:eastAsia="仿宋" w:cs="仿宋"/>
          <w:color w:val="000000" w:themeColor="text1"/>
          <w:sz w:val="24"/>
          <w:szCs w:val="24"/>
          <w:lang w:eastAsia="zh-CN"/>
          <w14:textFill>
            <w14:solidFill>
              <w14:schemeClr w14:val="tx1"/>
            </w14:solidFill>
          </w14:textFill>
        </w:rPr>
        <w:t>（供应商根据第三篇项目商务需求中人员要求提供相关资料</w:t>
      </w:r>
      <w:r>
        <w:rPr>
          <w:rFonts w:hint="eastAsia" w:ascii="仿宋" w:hAnsi="仿宋" w:eastAsia="仿宋" w:cs="仿宋"/>
          <w:color w:val="000000" w:themeColor="text1"/>
          <w:sz w:val="24"/>
          <w:szCs w:val="24"/>
          <w:lang w:val="en-US" w:eastAsia="zh-CN"/>
          <w14:textFill>
            <w14:solidFill>
              <w14:schemeClr w14:val="tx1"/>
            </w14:solidFill>
          </w14:textFill>
        </w:rPr>
        <w:t>;格式自拟</w:t>
      </w:r>
      <w:r>
        <w:rPr>
          <w:rFonts w:hint="eastAsia" w:ascii="仿宋" w:hAnsi="仿宋" w:eastAsia="仿宋" w:cs="仿宋"/>
          <w:color w:val="000000" w:themeColor="text1"/>
          <w:sz w:val="24"/>
          <w:szCs w:val="24"/>
          <w:lang w:eastAsia="zh-CN"/>
          <w14:textFill>
            <w14:solidFill>
              <w14:schemeClr w14:val="tx1"/>
            </w14:solidFill>
          </w14:textFill>
        </w:rPr>
        <w:t>）</w:t>
      </w:r>
    </w:p>
    <w:p w14:paraId="6A99498B">
      <w:pPr>
        <w:pStyle w:val="5"/>
        <w:spacing w:line="360" w:lineRule="auto"/>
        <w:rPr>
          <w:rFonts w:hint="eastAsia" w:ascii="仿宋" w:hAnsi="仿宋" w:eastAsia="仿宋" w:cs="仿宋"/>
          <w:color w:val="000000" w:themeColor="text1"/>
          <w:sz w:val="24"/>
          <w:szCs w:val="24"/>
          <w14:textFill>
            <w14:solidFill>
              <w14:schemeClr w14:val="tx1"/>
            </w14:solidFill>
          </w14:textFill>
        </w:rPr>
      </w:pPr>
      <w:bookmarkStart w:id="1114" w:name="_Toc11312"/>
      <w:r>
        <w:rPr>
          <w:rFonts w:hint="eastAsia" w:ascii="仿宋" w:hAnsi="仿宋" w:eastAsia="仿宋" w:cs="仿宋"/>
          <w:color w:val="000000" w:themeColor="text1"/>
          <w:sz w:val="24"/>
          <w:szCs w:val="24"/>
          <w:lang w:eastAsia="zh-CN"/>
          <w14:textFill>
            <w14:solidFill>
              <w14:schemeClr w14:val="tx1"/>
            </w14:solidFill>
          </w14:textFill>
        </w:rPr>
        <w:t>四</w:t>
      </w:r>
      <w:r>
        <w:rPr>
          <w:rFonts w:hint="eastAsia" w:ascii="仿宋" w:hAnsi="仿宋" w:eastAsia="仿宋" w:cs="仿宋"/>
          <w:color w:val="000000" w:themeColor="text1"/>
          <w:sz w:val="24"/>
          <w:szCs w:val="24"/>
          <w14:textFill>
            <w14:solidFill>
              <w14:schemeClr w14:val="tx1"/>
            </w14:solidFill>
          </w14:textFill>
        </w:rPr>
        <w:t>、资格条件及其他</w:t>
      </w:r>
      <w:bookmarkEnd w:id="1102"/>
      <w:bookmarkEnd w:id="1103"/>
      <w:bookmarkEnd w:id="1104"/>
      <w:bookmarkEnd w:id="1105"/>
      <w:bookmarkEnd w:id="1106"/>
      <w:bookmarkEnd w:id="1107"/>
      <w:bookmarkEnd w:id="1108"/>
      <w:bookmarkEnd w:id="1109"/>
      <w:bookmarkEnd w:id="1110"/>
      <w:bookmarkEnd w:id="1111"/>
      <w:bookmarkEnd w:id="1112"/>
      <w:bookmarkEnd w:id="1114"/>
    </w:p>
    <w:p w14:paraId="0466CA73">
      <w:pPr>
        <w:numPr>
          <w:ilvl w:val="0"/>
          <w:numId w:val="0"/>
        </w:numPr>
        <w:spacing w:line="360" w:lineRule="auto"/>
        <w:rPr>
          <w:rFonts w:hint="eastAsia" w:ascii="仿宋" w:hAnsi="仿宋" w:eastAsia="仿宋" w:cs="仿宋"/>
          <w:color w:val="000000" w:themeColor="text1"/>
          <w:kern w:val="2"/>
          <w:sz w:val="24"/>
          <w:szCs w:val="24"/>
          <w:lang w:val="en-US" w:eastAsia="zh-CN" w:bidi="ar-SA"/>
          <w14:textFill>
            <w14:solidFill>
              <w14:schemeClr w14:val="tx1"/>
            </w14:solidFill>
          </w14:textFill>
        </w:rPr>
        <w:sectPr>
          <w:pgSz w:w="11906" w:h="16838"/>
          <w:pgMar w:top="1134" w:right="1134" w:bottom="1134" w:left="1134" w:header="851" w:footer="851" w:gutter="0"/>
          <w:pgNumType w:fmt="decimal"/>
          <w:cols w:space="720" w:num="1"/>
          <w:docGrid w:type="lines" w:linePitch="326" w:charSpace="0"/>
        </w:sect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（一）供应商法人营业执照（副本）或事业单位法人证书（副本）或个体工商户营业执照或有效的自然人身份证明或社会团体法人登记证书复印件</w:t>
      </w:r>
    </w:p>
    <w:p w14:paraId="0327FFF6">
      <w:pPr>
        <w:numPr>
          <w:ilvl w:val="0"/>
          <w:numId w:val="0"/>
        </w:numPr>
        <w:spacing w:line="360" w:lineRule="auto"/>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（二）法定代表人身份证明书</w:t>
      </w:r>
    </w:p>
    <w:p w14:paraId="1CB633C0">
      <w:pPr>
        <w:keepNext/>
        <w:keepLines/>
        <w:widowControl w:val="0"/>
        <w:spacing w:before="260" w:after="260" w:line="360" w:lineRule="auto"/>
        <w:jc w:val="both"/>
        <w:outlineLvl w:val="9"/>
        <w:rPr>
          <w:rFonts w:hint="eastAsia" w:ascii="仿宋" w:hAnsi="仿宋" w:eastAsia="仿宋" w:cs="仿宋"/>
          <w:b/>
          <w:color w:val="000000" w:themeColor="text1"/>
          <w:kern w:val="2"/>
          <w:sz w:val="24"/>
          <w:szCs w:val="24"/>
          <w:lang w:val="en-US" w:eastAsia="zh-CN" w:bidi="ar-SA"/>
          <w14:textFill>
            <w14:solidFill>
              <w14:schemeClr w14:val="tx1"/>
            </w14:solidFill>
          </w14:textFill>
        </w:rPr>
      </w:pPr>
    </w:p>
    <w:p w14:paraId="7214EC56">
      <w:pPr>
        <w:widowControl w:val="0"/>
        <w:tabs>
          <w:tab w:val="left" w:pos="6300"/>
        </w:tabs>
        <w:snapToGrid w:val="0"/>
        <w:spacing w:line="360" w:lineRule="auto"/>
        <w:ind w:firstLine="480" w:firstLineChars="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法定代表人身份证明书</w:t>
      </w:r>
    </w:p>
    <w:p w14:paraId="3E9BF666">
      <w:pPr>
        <w:widowControl w:val="0"/>
        <w:tabs>
          <w:tab w:val="left" w:pos="6300"/>
        </w:tabs>
        <w:snapToGrid w:val="0"/>
        <w:spacing w:line="360" w:lineRule="auto"/>
        <w:ind w:firstLine="480" w:firstLineChars="200"/>
        <w:jc w:val="both"/>
        <w:rPr>
          <w:rFonts w:hint="eastAsia" w:ascii="仿宋" w:hAnsi="仿宋" w:eastAsia="仿宋" w:cs="仿宋"/>
          <w:color w:val="000000" w:themeColor="text1"/>
          <w:sz w:val="24"/>
          <w:szCs w:val="24"/>
          <w14:textFill>
            <w14:solidFill>
              <w14:schemeClr w14:val="tx1"/>
            </w14:solidFill>
          </w14:textFill>
        </w:rPr>
      </w:pPr>
    </w:p>
    <w:p w14:paraId="163FED21">
      <w:pPr>
        <w:spacing w:line="360" w:lineRule="auto"/>
        <w:ind w:firstLine="480"/>
        <w:rPr>
          <w:rFonts w:hint="eastAsia" w:ascii="仿宋" w:hAnsi="仿宋" w:eastAsia="仿宋" w:cs="仿宋"/>
          <w:color w:val="000000" w:themeColor="text1"/>
          <w:sz w:val="24"/>
          <w:szCs w:val="24"/>
          <w:u w:val="single"/>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采购项目名称：</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                                               </w:t>
      </w:r>
    </w:p>
    <w:p w14:paraId="6E8276E4">
      <w:pPr>
        <w:pStyle w:val="378"/>
        <w:spacing w:line="360" w:lineRule="auto"/>
        <w:ind w:firstLine="480"/>
        <w:rPr>
          <w:rFonts w:hint="eastAsia" w:ascii="仿宋" w:hAnsi="仿宋" w:eastAsia="仿宋" w:cs="仿宋"/>
          <w:color w:val="000000" w:themeColor="text1"/>
          <w:sz w:val="24"/>
          <w:szCs w:val="24"/>
          <w14:textFill>
            <w14:solidFill>
              <w14:schemeClr w14:val="tx1"/>
            </w14:solidFill>
          </w14:textFill>
        </w:rPr>
      </w:pPr>
    </w:p>
    <w:p w14:paraId="6A04D0B8">
      <w:pPr>
        <w:pStyle w:val="379"/>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致：</w:t>
      </w:r>
      <w:r>
        <w:rPr>
          <w:rFonts w:hint="eastAsia" w:ascii="仿宋" w:hAnsi="仿宋" w:eastAsia="仿宋" w:cs="仿宋"/>
          <w:color w:val="000000" w:themeColor="text1"/>
          <w:sz w:val="24"/>
          <w:szCs w:val="24"/>
          <w:u w:val="none"/>
          <w14:textFill>
            <w14:solidFill>
              <w14:schemeClr w14:val="tx1"/>
            </w14:solidFill>
          </w14:textFill>
        </w:rPr>
        <w:t>_________________</w:t>
      </w:r>
      <w:r>
        <w:rPr>
          <w:rFonts w:hint="eastAsia" w:ascii="仿宋" w:hAnsi="仿宋" w:eastAsia="仿宋" w:cs="仿宋"/>
          <w:color w:val="000000" w:themeColor="text1"/>
          <w:sz w:val="24"/>
          <w:szCs w:val="24"/>
          <w14:textFill>
            <w14:solidFill>
              <w14:schemeClr w14:val="tx1"/>
            </w14:solidFill>
          </w14:textFill>
        </w:rPr>
        <w:t>（采购人名称）：</w:t>
      </w:r>
    </w:p>
    <w:p w14:paraId="4B03B65E">
      <w:pPr>
        <w:pStyle w:val="378"/>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（法定代表人姓名）在</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名称）任</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（职务名称）职务，是（</w:t>
      </w: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名称）</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 的法定代表人。</w:t>
      </w:r>
    </w:p>
    <w:p w14:paraId="6B30DB3D">
      <w:pPr>
        <w:pStyle w:val="378"/>
        <w:spacing w:line="360" w:lineRule="auto"/>
        <w:ind w:firstLine="480"/>
        <w:rPr>
          <w:rFonts w:hint="eastAsia" w:ascii="仿宋" w:hAnsi="仿宋" w:eastAsia="仿宋" w:cs="仿宋"/>
          <w:color w:val="000000" w:themeColor="text1"/>
          <w:sz w:val="24"/>
          <w:szCs w:val="24"/>
          <w14:textFill>
            <w14:solidFill>
              <w14:schemeClr w14:val="tx1"/>
            </w14:solidFill>
          </w14:textFill>
        </w:rPr>
      </w:pPr>
    </w:p>
    <w:p w14:paraId="53C10882">
      <w:pPr>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特此证明。</w:t>
      </w:r>
    </w:p>
    <w:p w14:paraId="3E5FEE54">
      <w:pPr>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（附：法定代表人身份证正反面复印件）</w:t>
      </w:r>
    </w:p>
    <w:p w14:paraId="5B21EC98">
      <w:pPr>
        <w:spacing w:line="360" w:lineRule="auto"/>
        <w:ind w:firstLine="480"/>
        <w:rPr>
          <w:rFonts w:hint="eastAsia" w:ascii="仿宋" w:hAnsi="仿宋" w:eastAsia="仿宋" w:cs="仿宋"/>
          <w:color w:val="000000" w:themeColor="text1"/>
          <w:sz w:val="24"/>
          <w:szCs w:val="24"/>
          <w14:textFill>
            <w14:solidFill>
              <w14:schemeClr w14:val="tx1"/>
            </w14:solidFill>
          </w14:textFill>
        </w:rPr>
      </w:pPr>
    </w:p>
    <w:p w14:paraId="648B47C0">
      <w:pPr>
        <w:spacing w:line="360" w:lineRule="auto"/>
        <w:ind w:firstLine="480"/>
        <w:rPr>
          <w:rFonts w:hint="eastAsia" w:ascii="仿宋" w:hAnsi="仿宋" w:eastAsia="仿宋" w:cs="仿宋"/>
          <w:color w:val="000000" w:themeColor="text1"/>
          <w:sz w:val="24"/>
          <w:szCs w:val="24"/>
          <w14:textFill>
            <w14:solidFill>
              <w14:schemeClr w14:val="tx1"/>
            </w14:solidFill>
          </w14:textFill>
        </w:rPr>
      </w:pPr>
    </w:p>
    <w:p w14:paraId="2A84F200">
      <w:pPr>
        <w:pStyle w:val="2"/>
        <w:spacing w:line="360" w:lineRule="auto"/>
        <w:rPr>
          <w:rFonts w:hint="eastAsia" w:ascii="仿宋" w:hAnsi="仿宋" w:eastAsia="仿宋" w:cs="仿宋"/>
          <w:color w:val="000000" w:themeColor="text1"/>
          <w:sz w:val="24"/>
          <w:szCs w:val="24"/>
          <w14:textFill>
            <w14:solidFill>
              <w14:schemeClr w14:val="tx1"/>
            </w14:solidFill>
          </w14:textFill>
        </w:rPr>
      </w:pPr>
    </w:p>
    <w:p w14:paraId="567EBE50">
      <w:pPr>
        <w:spacing w:line="360" w:lineRule="auto"/>
        <w:rPr>
          <w:rFonts w:hint="eastAsia" w:ascii="仿宋" w:hAnsi="仿宋" w:eastAsia="仿宋" w:cs="仿宋"/>
          <w:color w:val="000000" w:themeColor="text1"/>
          <w:sz w:val="24"/>
          <w:szCs w:val="24"/>
          <w14:textFill>
            <w14:solidFill>
              <w14:schemeClr w14:val="tx1"/>
            </w14:solidFill>
          </w14:textFill>
        </w:rPr>
      </w:pPr>
    </w:p>
    <w:p w14:paraId="3904DEB1">
      <w:pPr>
        <w:pStyle w:val="2"/>
        <w:spacing w:line="360" w:lineRule="auto"/>
        <w:rPr>
          <w:rFonts w:hint="eastAsia" w:ascii="仿宋" w:hAnsi="仿宋" w:eastAsia="仿宋" w:cs="仿宋"/>
          <w:color w:val="000000" w:themeColor="text1"/>
          <w:sz w:val="24"/>
          <w:szCs w:val="24"/>
          <w14:textFill>
            <w14:solidFill>
              <w14:schemeClr w14:val="tx1"/>
            </w14:solidFill>
          </w14:textFill>
        </w:rPr>
      </w:pPr>
    </w:p>
    <w:p w14:paraId="30CA08C2">
      <w:pPr>
        <w:spacing w:line="360" w:lineRule="auto"/>
        <w:rPr>
          <w:rFonts w:hint="eastAsia" w:ascii="仿宋" w:hAnsi="仿宋" w:eastAsia="仿宋" w:cs="仿宋"/>
          <w:color w:val="000000" w:themeColor="text1"/>
          <w:sz w:val="24"/>
          <w:szCs w:val="24"/>
          <w14:textFill>
            <w14:solidFill>
              <w14:schemeClr w14:val="tx1"/>
            </w14:solidFill>
          </w14:textFill>
        </w:rPr>
      </w:pPr>
    </w:p>
    <w:p w14:paraId="6348AFDA">
      <w:pPr>
        <w:pStyle w:val="2"/>
        <w:spacing w:line="360" w:lineRule="auto"/>
        <w:rPr>
          <w:rFonts w:hint="eastAsia" w:ascii="仿宋" w:hAnsi="仿宋" w:eastAsia="仿宋" w:cs="仿宋"/>
          <w:color w:val="000000" w:themeColor="text1"/>
          <w:sz w:val="24"/>
          <w:szCs w:val="24"/>
          <w14:textFill>
            <w14:solidFill>
              <w14:schemeClr w14:val="tx1"/>
            </w14:solidFill>
          </w14:textFill>
        </w:rPr>
      </w:pPr>
    </w:p>
    <w:p w14:paraId="0162B5BE">
      <w:pPr>
        <w:spacing w:line="360" w:lineRule="auto"/>
        <w:ind w:firstLine="6000" w:firstLineChars="25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名称</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公章）</w:t>
      </w:r>
      <w:r>
        <w:rPr>
          <w:rFonts w:hint="eastAsia" w:ascii="仿宋" w:hAnsi="仿宋" w:eastAsia="仿宋" w:cs="仿宋"/>
          <w:color w:val="000000" w:themeColor="text1"/>
          <w:sz w:val="24"/>
          <w:szCs w:val="24"/>
          <w:lang w:eastAsia="zh-CN"/>
          <w14:textFill>
            <w14:solidFill>
              <w14:schemeClr w14:val="tx1"/>
            </w14:solidFill>
          </w14:textFill>
        </w:rPr>
        <w:t>：</w:t>
      </w:r>
    </w:p>
    <w:p w14:paraId="46AA37E1">
      <w:pPr>
        <w:spacing w:line="360" w:lineRule="auto"/>
        <w:ind w:firstLine="6000" w:firstLineChars="25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年   月   日</w:t>
      </w:r>
    </w:p>
    <w:p w14:paraId="14F30BAB">
      <w:pPr>
        <w:tabs>
          <w:tab w:val="left" w:pos="6300"/>
        </w:tabs>
        <w:snapToGrid w:val="0"/>
        <w:spacing w:line="360" w:lineRule="auto"/>
        <w:ind w:firstLine="480"/>
        <w:rPr>
          <w:rFonts w:hint="eastAsia" w:ascii="仿宋" w:hAnsi="仿宋" w:eastAsia="仿宋" w:cs="仿宋"/>
          <w:color w:val="000000" w:themeColor="text1"/>
          <w:sz w:val="24"/>
          <w:szCs w:val="24"/>
          <w14:textFill>
            <w14:solidFill>
              <w14:schemeClr w14:val="tx1"/>
            </w14:solidFill>
          </w14:textFill>
        </w:rPr>
      </w:pPr>
    </w:p>
    <w:p w14:paraId="558E0B87">
      <w:pPr>
        <w:widowControl w:val="0"/>
        <w:spacing w:line="360" w:lineRule="auto"/>
        <w:ind w:firstLine="0" w:firstLineChars="0"/>
        <w:jc w:val="both"/>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br w:type="page"/>
      </w:r>
    </w:p>
    <w:p w14:paraId="2B9DE245">
      <w:pPr>
        <w:numPr>
          <w:ilvl w:val="0"/>
          <w:numId w:val="0"/>
        </w:numPr>
        <w:spacing w:line="360" w:lineRule="auto"/>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（三）法定代表人授权委托书</w:t>
      </w:r>
    </w:p>
    <w:p w14:paraId="7F95023F">
      <w:pPr>
        <w:widowControl w:val="0"/>
        <w:tabs>
          <w:tab w:val="left" w:pos="6300"/>
        </w:tabs>
        <w:snapToGrid w:val="0"/>
        <w:spacing w:line="360" w:lineRule="auto"/>
        <w:ind w:firstLine="0" w:firstLineChars="0"/>
        <w:jc w:val="center"/>
        <w:rPr>
          <w:rFonts w:hint="eastAsia" w:ascii="仿宋" w:hAnsi="仿宋" w:eastAsia="仿宋" w:cs="仿宋"/>
          <w:color w:val="000000" w:themeColor="text1"/>
          <w:sz w:val="24"/>
          <w:szCs w:val="24"/>
          <w14:textFill>
            <w14:solidFill>
              <w14:schemeClr w14:val="tx1"/>
            </w14:solidFill>
          </w14:textFill>
        </w:rPr>
      </w:pPr>
    </w:p>
    <w:p w14:paraId="4F1BC009">
      <w:pPr>
        <w:pStyle w:val="6"/>
        <w:tabs>
          <w:tab w:val="left" w:pos="720"/>
        </w:tabs>
        <w:spacing w:before="32" w:after="32" w:line="360" w:lineRule="auto"/>
        <w:ind w:firstLine="527"/>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法定代表人授权委托书</w:t>
      </w:r>
    </w:p>
    <w:p w14:paraId="48655EC5">
      <w:pPr>
        <w:snapToGrid w:val="0"/>
        <w:spacing w:line="360" w:lineRule="auto"/>
        <w:ind w:firstLine="6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w:t>
      </w:r>
    </w:p>
    <w:p w14:paraId="68E31A22">
      <w:pPr>
        <w:spacing w:line="360" w:lineRule="auto"/>
        <w:ind w:firstLine="480"/>
        <w:rPr>
          <w:rFonts w:hint="eastAsia" w:ascii="仿宋" w:hAnsi="仿宋" w:eastAsia="仿宋" w:cs="仿宋"/>
          <w:color w:val="000000" w:themeColor="text1"/>
          <w:sz w:val="24"/>
          <w:szCs w:val="24"/>
          <w:u w:val="single"/>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采购项目名称：</w:t>
      </w:r>
      <w:r>
        <w:rPr>
          <w:rFonts w:hint="eastAsia" w:ascii="仿宋" w:hAnsi="仿宋" w:eastAsia="仿宋" w:cs="仿宋"/>
          <w:color w:val="000000" w:themeColor="text1"/>
          <w:sz w:val="24"/>
          <w:szCs w:val="24"/>
          <w:u w:val="single"/>
          <w14:textFill>
            <w14:solidFill>
              <w14:schemeClr w14:val="tx1"/>
            </w14:solidFill>
          </w14:textFill>
        </w:rPr>
        <w:t xml:space="preserve">                                         </w:t>
      </w:r>
    </w:p>
    <w:p w14:paraId="03711358">
      <w:pPr>
        <w:spacing w:line="360" w:lineRule="auto"/>
        <w:ind w:firstLine="480"/>
        <w:rPr>
          <w:rFonts w:hint="eastAsia" w:ascii="仿宋" w:hAnsi="仿宋" w:eastAsia="仿宋" w:cs="仿宋"/>
          <w:color w:val="000000" w:themeColor="text1"/>
          <w:sz w:val="24"/>
          <w:szCs w:val="24"/>
          <w14:textFill>
            <w14:solidFill>
              <w14:schemeClr w14:val="tx1"/>
            </w14:solidFill>
          </w14:textFill>
        </w:rPr>
      </w:pPr>
    </w:p>
    <w:p w14:paraId="1246B55E">
      <w:pPr>
        <w:pStyle w:val="379"/>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致：_________________（采购人名称）：</w:t>
      </w:r>
    </w:p>
    <w:p w14:paraId="55906065">
      <w:pPr>
        <w:pStyle w:val="379"/>
        <w:spacing w:line="360" w:lineRule="auto"/>
        <w:ind w:firstLine="48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法定代表人名称）是</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名称）的法定代表人，特授权</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（被授权人姓名及身份证代码）电话</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none"/>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代表</w:t>
      </w:r>
      <w:r>
        <w:rPr>
          <w:rFonts w:hint="eastAsia" w:ascii="仿宋" w:hAnsi="仿宋" w:eastAsia="仿宋" w:cs="仿宋"/>
          <w:color w:val="000000" w:themeColor="text1"/>
          <w14:textFill>
            <w14:solidFill>
              <w14:schemeClr w14:val="tx1"/>
            </w14:solidFill>
          </w14:textFill>
        </w:rPr>
        <w:t>单位全权办理上述项目的</w:t>
      </w:r>
      <w:r>
        <w:rPr>
          <w:rFonts w:hint="eastAsia" w:ascii="仿宋" w:hAnsi="仿宋" w:eastAsia="仿宋" w:cs="仿宋"/>
          <w:color w:val="000000" w:themeColor="text1"/>
          <w:lang w:eastAsia="zh-CN"/>
          <w14:textFill>
            <w14:solidFill>
              <w14:schemeClr w14:val="tx1"/>
            </w14:solidFill>
          </w14:textFill>
        </w:rPr>
        <w:t>竞采</w:t>
      </w:r>
      <w:r>
        <w:rPr>
          <w:rFonts w:hint="eastAsia" w:ascii="仿宋" w:hAnsi="仿宋" w:eastAsia="仿宋" w:cs="仿宋"/>
          <w:color w:val="000000" w:themeColor="text1"/>
          <w14:textFill>
            <w14:solidFill>
              <w14:schemeClr w14:val="tx1"/>
            </w14:solidFill>
          </w14:textFill>
        </w:rPr>
        <w:t>、签约等具体工作，并签署全部有关文件、协议及合同</w:t>
      </w:r>
      <w:r>
        <w:rPr>
          <w:rFonts w:hint="eastAsia" w:ascii="仿宋" w:hAnsi="仿宋" w:eastAsia="仿宋" w:cs="仿宋"/>
          <w:color w:val="000000" w:themeColor="text1"/>
          <w:lang w:eastAsia="zh-CN"/>
          <w14:textFill>
            <w14:solidFill>
              <w14:schemeClr w14:val="tx1"/>
            </w14:solidFill>
          </w14:textFill>
        </w:rPr>
        <w:t>。</w:t>
      </w:r>
    </w:p>
    <w:p w14:paraId="28486ABE">
      <w:pPr>
        <w:pStyle w:val="379"/>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我单位对被授权人的签名负全部责任。</w:t>
      </w:r>
    </w:p>
    <w:p w14:paraId="00888359">
      <w:pPr>
        <w:pStyle w:val="379"/>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在撤销授权的书面通知以前，本授权书一直有效。被授权人在授权书有效期内签署的所有文件不因授权的撤销而失效。</w:t>
      </w:r>
    </w:p>
    <w:p w14:paraId="45FD0953">
      <w:pPr>
        <w:pStyle w:val="379"/>
        <w:spacing w:line="360" w:lineRule="auto"/>
        <w:rPr>
          <w:rFonts w:hint="eastAsia" w:ascii="仿宋" w:hAnsi="仿宋" w:eastAsia="仿宋" w:cs="仿宋"/>
          <w:color w:val="000000" w:themeColor="text1"/>
          <w:sz w:val="24"/>
          <w:szCs w:val="24"/>
          <w14:textFill>
            <w14:solidFill>
              <w14:schemeClr w14:val="tx1"/>
            </w14:solidFill>
          </w14:textFill>
        </w:rPr>
      </w:pPr>
    </w:p>
    <w:p w14:paraId="02491872">
      <w:pPr>
        <w:pStyle w:val="379"/>
        <w:spacing w:line="360" w:lineRule="auto"/>
        <w:ind w:firstLine="960" w:firstLineChars="4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委托代理人</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法定代表人：</w:t>
      </w:r>
    </w:p>
    <w:p w14:paraId="49867C6F">
      <w:pPr>
        <w:pStyle w:val="379"/>
        <w:spacing w:line="360" w:lineRule="auto"/>
        <w:ind w:left="480" w:hanging="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（签字或盖章）                                （签字或盖章）</w:t>
      </w:r>
    </w:p>
    <w:p w14:paraId="07C0EBF3">
      <w:pPr>
        <w:spacing w:line="360" w:lineRule="auto"/>
        <w:ind w:firstLine="480"/>
        <w:rPr>
          <w:rFonts w:hint="eastAsia" w:ascii="仿宋" w:hAnsi="仿宋" w:eastAsia="仿宋" w:cs="仿宋"/>
          <w:color w:val="000000" w:themeColor="text1"/>
          <w:sz w:val="24"/>
          <w:szCs w:val="24"/>
          <w14:textFill>
            <w14:solidFill>
              <w14:schemeClr w14:val="tx1"/>
            </w14:solidFill>
          </w14:textFill>
        </w:rPr>
      </w:pPr>
    </w:p>
    <w:p w14:paraId="4E2BDFC8">
      <w:pPr>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（附：被授权人身份证正反面复印件）</w:t>
      </w:r>
    </w:p>
    <w:p w14:paraId="5D0648D0">
      <w:pPr>
        <w:spacing w:line="360" w:lineRule="auto"/>
        <w:ind w:firstLine="480"/>
        <w:rPr>
          <w:rFonts w:hint="eastAsia" w:ascii="仿宋" w:hAnsi="仿宋" w:eastAsia="仿宋" w:cs="仿宋"/>
          <w:color w:val="000000" w:themeColor="text1"/>
          <w:sz w:val="24"/>
          <w:szCs w:val="24"/>
          <w14:textFill>
            <w14:solidFill>
              <w14:schemeClr w14:val="tx1"/>
            </w14:solidFill>
          </w14:textFill>
        </w:rPr>
      </w:pPr>
    </w:p>
    <w:p w14:paraId="72CFA116">
      <w:pPr>
        <w:spacing w:line="360" w:lineRule="auto"/>
        <w:ind w:firstLine="480"/>
        <w:rPr>
          <w:rFonts w:hint="eastAsia" w:ascii="仿宋" w:hAnsi="仿宋" w:eastAsia="仿宋" w:cs="仿宋"/>
          <w:color w:val="000000" w:themeColor="text1"/>
          <w:sz w:val="24"/>
          <w:szCs w:val="24"/>
          <w14:textFill>
            <w14:solidFill>
              <w14:schemeClr w14:val="tx1"/>
            </w14:solidFill>
          </w14:textFill>
        </w:rPr>
      </w:pPr>
    </w:p>
    <w:p w14:paraId="4C2D5B80">
      <w:pPr>
        <w:spacing w:line="360" w:lineRule="auto"/>
        <w:ind w:firstLine="480"/>
        <w:rPr>
          <w:rFonts w:hint="eastAsia" w:ascii="仿宋" w:hAnsi="仿宋" w:eastAsia="仿宋" w:cs="仿宋"/>
          <w:color w:val="000000" w:themeColor="text1"/>
          <w:sz w:val="24"/>
          <w:szCs w:val="24"/>
          <w14:textFill>
            <w14:solidFill>
              <w14:schemeClr w14:val="tx1"/>
            </w14:solidFill>
          </w14:textFill>
        </w:rPr>
      </w:pPr>
    </w:p>
    <w:p w14:paraId="362F964A">
      <w:pPr>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w:t>
      </w:r>
    </w:p>
    <w:p w14:paraId="4A54F77E">
      <w:pPr>
        <w:pStyle w:val="2"/>
        <w:spacing w:line="360" w:lineRule="auto"/>
        <w:rPr>
          <w:rFonts w:hint="eastAsia" w:ascii="仿宋" w:hAnsi="仿宋" w:eastAsia="仿宋" w:cs="仿宋"/>
          <w:color w:val="000000" w:themeColor="text1"/>
          <w:sz w:val="24"/>
          <w:szCs w:val="24"/>
          <w14:textFill>
            <w14:solidFill>
              <w14:schemeClr w14:val="tx1"/>
            </w14:solidFill>
          </w14:textFill>
        </w:rPr>
      </w:pPr>
    </w:p>
    <w:p w14:paraId="7D31F2EB">
      <w:pPr>
        <w:spacing w:line="360" w:lineRule="auto"/>
        <w:rPr>
          <w:rFonts w:hint="eastAsia" w:ascii="仿宋" w:hAnsi="仿宋" w:eastAsia="仿宋" w:cs="仿宋"/>
          <w:color w:val="000000" w:themeColor="text1"/>
          <w:sz w:val="24"/>
          <w:szCs w:val="24"/>
          <w14:textFill>
            <w14:solidFill>
              <w14:schemeClr w14:val="tx1"/>
            </w14:solidFill>
          </w14:textFill>
        </w:rPr>
      </w:pPr>
    </w:p>
    <w:p w14:paraId="54BE0132">
      <w:pPr>
        <w:pStyle w:val="2"/>
        <w:spacing w:line="360" w:lineRule="auto"/>
        <w:rPr>
          <w:rFonts w:hint="eastAsia" w:ascii="仿宋" w:hAnsi="仿宋" w:eastAsia="仿宋" w:cs="仿宋"/>
          <w:color w:val="000000" w:themeColor="text1"/>
          <w:sz w:val="24"/>
          <w:szCs w:val="24"/>
          <w14:textFill>
            <w14:solidFill>
              <w14:schemeClr w14:val="tx1"/>
            </w14:solidFill>
          </w14:textFill>
        </w:rPr>
      </w:pPr>
    </w:p>
    <w:p w14:paraId="108EC732">
      <w:pPr>
        <w:spacing w:line="360" w:lineRule="auto"/>
        <w:rPr>
          <w:rFonts w:hint="eastAsia"/>
          <w:color w:val="000000" w:themeColor="text1"/>
          <w14:textFill>
            <w14:solidFill>
              <w14:schemeClr w14:val="tx1"/>
            </w14:solidFill>
          </w14:textFill>
        </w:rPr>
      </w:pPr>
    </w:p>
    <w:p w14:paraId="313CF02E">
      <w:pPr>
        <w:spacing w:line="360" w:lineRule="auto"/>
        <w:ind w:firstLine="6120" w:firstLineChars="255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名称</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公章）</w:t>
      </w:r>
      <w:r>
        <w:rPr>
          <w:rFonts w:hint="eastAsia" w:ascii="仿宋" w:hAnsi="仿宋" w:eastAsia="仿宋" w:cs="仿宋"/>
          <w:color w:val="000000" w:themeColor="text1"/>
          <w:sz w:val="24"/>
          <w:szCs w:val="24"/>
          <w:lang w:eastAsia="zh-CN"/>
          <w14:textFill>
            <w14:solidFill>
              <w14:schemeClr w14:val="tx1"/>
            </w14:solidFill>
          </w14:textFill>
        </w:rPr>
        <w:t>：</w:t>
      </w:r>
    </w:p>
    <w:p w14:paraId="45D9B0E4">
      <w:pPr>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年   月   日                                       </w:t>
      </w:r>
    </w:p>
    <w:p w14:paraId="74DB3579">
      <w:pPr>
        <w:widowControl w:val="0"/>
        <w:tabs>
          <w:tab w:val="left" w:pos="6300"/>
        </w:tabs>
        <w:snapToGrid w:val="0"/>
        <w:spacing w:line="360" w:lineRule="auto"/>
        <w:ind w:right="480"/>
        <w:jc w:val="both"/>
        <w:rPr>
          <w:rFonts w:hint="eastAsia" w:ascii="仿宋" w:hAnsi="仿宋" w:eastAsia="仿宋" w:cs="仿宋"/>
          <w:color w:val="000000" w:themeColor="text1"/>
          <w:sz w:val="24"/>
          <w:szCs w:val="24"/>
          <w14:textFill>
            <w14:solidFill>
              <w14:schemeClr w14:val="tx1"/>
            </w14:solidFill>
          </w14:textFill>
        </w:rPr>
      </w:pPr>
    </w:p>
    <w:p w14:paraId="3D579F96">
      <w:pPr>
        <w:pStyle w:val="5"/>
        <w:spacing w:before="48" w:after="48" w:line="360" w:lineRule="auto"/>
        <w:ind w:firstLine="161"/>
        <w:rPr>
          <w:rFonts w:eastAsia="方正仿宋_GBK"/>
          <w:color w:val="000000" w:themeColor="text1"/>
          <w14:textFill>
            <w14:solidFill>
              <w14:schemeClr w14:val="tx1"/>
            </w14:solidFill>
          </w14:textFill>
        </w:rPr>
      </w:pPr>
      <w:bookmarkStart w:id="1115" w:name="_Toc24943"/>
      <w:r>
        <w:rPr>
          <w:rFonts w:hint="eastAsia" w:ascii="仿宋" w:hAnsi="仿宋" w:eastAsia="仿宋" w:cs="仿宋"/>
          <w:color w:val="000000" w:themeColor="text1"/>
          <w:sz w:val="24"/>
          <w:szCs w:val="24"/>
          <w14:textFill>
            <w14:solidFill>
              <w14:schemeClr w14:val="tx1"/>
            </w14:solidFill>
          </w14:textFill>
        </w:rPr>
        <w:t>（四）</w:t>
      </w:r>
      <w:bookmarkStart w:id="1116" w:name="_Toc16943"/>
      <w:r>
        <w:rPr>
          <w:rFonts w:hint="eastAsia" w:ascii="仿宋" w:hAnsi="仿宋" w:eastAsia="仿宋" w:cs="仿宋"/>
          <w:color w:val="000000" w:themeColor="text1"/>
          <w:sz w:val="24"/>
          <w:szCs w:val="24"/>
          <w14:textFill>
            <w14:solidFill>
              <w14:schemeClr w14:val="tx1"/>
            </w14:solidFill>
          </w14:textFill>
        </w:rPr>
        <w:t>基本资格条件承诺函</w:t>
      </w:r>
      <w:bookmarkEnd w:id="1115"/>
    </w:p>
    <w:p w14:paraId="34BEFCB0">
      <w:pPr>
        <w:spacing w:line="360" w:lineRule="auto"/>
        <w:ind w:firstLine="0" w:firstLineChars="0"/>
        <w:jc w:val="center"/>
        <w:outlineLvl w:val="0"/>
        <w:rPr>
          <w:rFonts w:hint="eastAsia" w:ascii="黑体" w:hAnsi="黑体" w:eastAsia="黑体" w:cs="宋体"/>
          <w:b/>
          <w:bCs/>
          <w:color w:val="000000" w:themeColor="text1"/>
          <w:sz w:val="32"/>
          <w:szCs w:val="32"/>
          <w14:textFill>
            <w14:solidFill>
              <w14:schemeClr w14:val="tx1"/>
            </w14:solidFill>
          </w14:textFill>
        </w:rPr>
      </w:pPr>
    </w:p>
    <w:p w14:paraId="78D1160C">
      <w:pPr>
        <w:spacing w:line="360" w:lineRule="auto"/>
        <w:ind w:firstLine="0" w:firstLineChars="0"/>
        <w:jc w:val="center"/>
        <w:outlineLvl w:val="0"/>
        <w:rPr>
          <w:rFonts w:hint="eastAsia" w:ascii="黑体" w:hAnsi="黑体" w:eastAsia="黑体" w:cs="宋体"/>
          <w:b/>
          <w:bCs/>
          <w:color w:val="000000" w:themeColor="text1"/>
          <w:sz w:val="32"/>
          <w:szCs w:val="32"/>
          <w14:textFill>
            <w14:solidFill>
              <w14:schemeClr w14:val="tx1"/>
            </w14:solidFill>
          </w14:textFill>
        </w:rPr>
      </w:pPr>
      <w:r>
        <w:rPr>
          <w:rFonts w:hint="eastAsia" w:ascii="黑体" w:hAnsi="黑体" w:eastAsia="黑体" w:cs="宋体"/>
          <w:b/>
          <w:bCs/>
          <w:color w:val="000000" w:themeColor="text1"/>
          <w:sz w:val="32"/>
          <w:szCs w:val="32"/>
          <w14:textFill>
            <w14:solidFill>
              <w14:schemeClr w14:val="tx1"/>
            </w14:solidFill>
          </w14:textFill>
        </w:rPr>
        <w:t>基本资格条件承诺函</w:t>
      </w:r>
    </w:p>
    <w:p w14:paraId="2E501D7B">
      <w:pPr>
        <w:tabs>
          <w:tab w:val="left" w:pos="6300"/>
        </w:tabs>
        <w:snapToGrid w:val="0"/>
        <w:spacing w:line="360" w:lineRule="auto"/>
        <w:ind w:firstLine="480"/>
        <w:rPr>
          <w:color w:val="000000" w:themeColor="text1"/>
          <w14:textFill>
            <w14:solidFill>
              <w14:schemeClr w14:val="tx1"/>
            </w14:solidFill>
          </w14:textFill>
        </w:rPr>
      </w:pPr>
    </w:p>
    <w:p w14:paraId="620C4EC4">
      <w:pPr>
        <w:tabs>
          <w:tab w:val="left" w:pos="6300"/>
        </w:tabs>
        <w:snapToGrid w:val="0"/>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致</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（采购</w:t>
      </w:r>
      <w:r>
        <w:rPr>
          <w:rFonts w:hint="eastAsia" w:ascii="仿宋" w:hAnsi="仿宋" w:eastAsia="仿宋" w:cs="仿宋"/>
          <w:color w:val="000000" w:themeColor="text1"/>
          <w:sz w:val="24"/>
          <w:szCs w:val="24"/>
          <w:lang w:eastAsia="zh-CN"/>
          <w14:textFill>
            <w14:solidFill>
              <w14:schemeClr w14:val="tx1"/>
            </w14:solidFill>
          </w14:textFill>
        </w:rPr>
        <w:t>人</w:t>
      </w:r>
      <w:r>
        <w:rPr>
          <w:rFonts w:hint="eastAsia" w:ascii="仿宋" w:hAnsi="仿宋" w:eastAsia="仿宋" w:cs="仿宋"/>
          <w:color w:val="000000" w:themeColor="text1"/>
          <w:sz w:val="24"/>
          <w:szCs w:val="24"/>
          <w14:textFill>
            <w14:solidFill>
              <w14:schemeClr w14:val="tx1"/>
            </w14:solidFill>
          </w14:textFill>
        </w:rPr>
        <w:t>名称）：</w:t>
      </w:r>
    </w:p>
    <w:p w14:paraId="6DC97FA8">
      <w:pPr>
        <w:tabs>
          <w:tab w:val="left" w:pos="6300"/>
        </w:tabs>
        <w:snapToGrid w:val="0"/>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名称）郑重承诺：</w:t>
      </w:r>
    </w:p>
    <w:p w14:paraId="4A9A8240">
      <w:pPr>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1.我方具有良好的商业信誉和健全的财务会计制度，具有履行合同所必需的设备和专业技术能力，具</w:t>
      </w:r>
      <w:r>
        <w:rPr>
          <w:rFonts w:hint="eastAsia" w:ascii="仿宋" w:hAnsi="仿宋" w:eastAsia="仿宋" w:cs="仿宋"/>
          <w:color w:val="000000" w:themeColor="text1"/>
          <w:sz w:val="24"/>
          <w:szCs w:val="24"/>
          <w:lang w:val="zh-CN"/>
          <w14:textFill>
            <w14:solidFill>
              <w14:schemeClr w14:val="tx1"/>
            </w14:solidFill>
          </w14:textFill>
        </w:rPr>
        <w:t>有依法缴纳税收和社会保障金的良好记录</w:t>
      </w:r>
      <w:r>
        <w:rPr>
          <w:rFonts w:hint="eastAsia" w:ascii="仿宋" w:hAnsi="仿宋" w:eastAsia="仿宋" w:cs="仿宋"/>
          <w:color w:val="000000" w:themeColor="text1"/>
          <w:sz w:val="24"/>
          <w:szCs w:val="24"/>
          <w14:textFill>
            <w14:solidFill>
              <w14:schemeClr w14:val="tx1"/>
            </w14:solidFill>
          </w14:textFill>
        </w:rPr>
        <w:t>，参加本项目采购活动前三年内无重大违法活动记录。</w:t>
      </w:r>
    </w:p>
    <w:p w14:paraId="2EDC68B2">
      <w:pPr>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2.我方未列入在信用中国网站（www.creditchina.gov.cn）“失信被执行人”、“重大税收违法案件当事人名单”中，也未列入中国政府采购网（www.ccgp.gov.cn）“政府采购严重违法失信行为记录名单”中。</w:t>
      </w:r>
    </w:p>
    <w:p w14:paraId="5FDE1AC4">
      <w:pPr>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3.我方在采购项目评审（评标）环节结束后，随时接受采购人、采购代理机构的检查验证，配合提供相关证明材料，证明符合《中华人民共和国政府采购法》规定的</w:t>
      </w: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基本资格条件。</w:t>
      </w:r>
    </w:p>
    <w:p w14:paraId="61901C44">
      <w:pPr>
        <w:tabs>
          <w:tab w:val="left" w:pos="6300"/>
        </w:tabs>
        <w:snapToGrid w:val="0"/>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我方对以上承诺负全部法律责任。</w:t>
      </w:r>
    </w:p>
    <w:p w14:paraId="0087765E">
      <w:pPr>
        <w:tabs>
          <w:tab w:val="left" w:pos="6300"/>
        </w:tabs>
        <w:snapToGrid w:val="0"/>
        <w:spacing w:line="360" w:lineRule="auto"/>
        <w:ind w:firstLine="48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特此承诺。</w:t>
      </w:r>
    </w:p>
    <w:p w14:paraId="098BF6C3">
      <w:pPr>
        <w:tabs>
          <w:tab w:val="left" w:pos="6300"/>
        </w:tabs>
        <w:snapToGrid w:val="0"/>
        <w:spacing w:line="360" w:lineRule="auto"/>
        <w:ind w:firstLine="480"/>
        <w:rPr>
          <w:rFonts w:hint="eastAsia" w:ascii="仿宋" w:hAnsi="仿宋" w:eastAsia="仿宋" w:cs="仿宋"/>
          <w:color w:val="000000" w:themeColor="text1"/>
          <w:sz w:val="24"/>
          <w:szCs w:val="24"/>
          <w14:textFill>
            <w14:solidFill>
              <w14:schemeClr w14:val="tx1"/>
            </w14:solidFill>
          </w14:textFill>
        </w:rPr>
      </w:pPr>
    </w:p>
    <w:p w14:paraId="4E96E2BA">
      <w:pPr>
        <w:tabs>
          <w:tab w:val="left" w:pos="6300"/>
        </w:tabs>
        <w:snapToGrid w:val="0"/>
        <w:spacing w:line="360" w:lineRule="auto"/>
        <w:ind w:right="424" w:firstLine="480"/>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名称</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公章）</w:t>
      </w:r>
      <w:r>
        <w:rPr>
          <w:rFonts w:hint="eastAsia" w:ascii="仿宋" w:hAnsi="仿宋" w:eastAsia="仿宋" w:cs="仿宋"/>
          <w:color w:val="000000" w:themeColor="text1"/>
          <w:sz w:val="24"/>
          <w:szCs w:val="24"/>
          <w:lang w:eastAsia="zh-CN"/>
          <w14:textFill>
            <w14:solidFill>
              <w14:schemeClr w14:val="tx1"/>
            </w14:solidFill>
          </w14:textFill>
        </w:rPr>
        <w:t>：</w:t>
      </w:r>
    </w:p>
    <w:p w14:paraId="684ADC59">
      <w:pPr>
        <w:spacing w:line="36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14:paraId="75B2CD0B">
      <w:pPr>
        <w:spacing w:line="360" w:lineRule="auto"/>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年   月   日</w:t>
      </w:r>
    </w:p>
    <w:p w14:paraId="7D9D5D03">
      <w:pPr>
        <w:pStyle w:val="379"/>
        <w:spacing w:line="360" w:lineRule="auto"/>
        <w:ind w:left="560" w:leftChars="200" w:firstLine="240" w:firstLineChars="100"/>
        <w:rPr>
          <w:rFonts w:hint="eastAsia" w:ascii="仿宋_GB2312"/>
          <w:color w:val="000000" w:themeColor="text1"/>
          <w14:textFill>
            <w14:solidFill>
              <w14:schemeClr w14:val="tx1"/>
            </w14:solidFill>
          </w14:textFill>
        </w:rPr>
      </w:pPr>
    </w:p>
    <w:p w14:paraId="16E044F8">
      <w:pPr>
        <w:pStyle w:val="379"/>
        <w:spacing w:line="360" w:lineRule="auto"/>
        <w:ind w:left="560" w:leftChars="200" w:firstLine="240" w:firstLineChars="100"/>
        <w:rPr>
          <w:rFonts w:hint="eastAsia" w:ascii="仿宋_GB2312"/>
          <w:color w:val="000000" w:themeColor="text1"/>
          <w14:textFill>
            <w14:solidFill>
              <w14:schemeClr w14:val="tx1"/>
            </w14:solidFill>
          </w14:textFill>
        </w:rPr>
      </w:pPr>
    </w:p>
    <w:p w14:paraId="3D89D8C8">
      <w:pPr>
        <w:pStyle w:val="379"/>
        <w:spacing w:line="360" w:lineRule="auto"/>
        <w:ind w:left="560" w:leftChars="200" w:firstLine="240" w:firstLineChars="100"/>
        <w:rPr>
          <w:rFonts w:hint="eastAsia" w:ascii="仿宋_GB2312"/>
          <w:color w:val="000000" w:themeColor="text1"/>
          <w14:textFill>
            <w14:solidFill>
              <w14:schemeClr w14:val="tx1"/>
            </w14:solidFill>
          </w14:textFill>
        </w:rPr>
      </w:pPr>
    </w:p>
    <w:p w14:paraId="2E9FC0F1">
      <w:pPr>
        <w:pStyle w:val="379"/>
        <w:spacing w:line="360" w:lineRule="auto"/>
        <w:ind w:left="560" w:leftChars="200" w:firstLine="240" w:firstLineChars="100"/>
        <w:rPr>
          <w:rFonts w:hint="eastAsia" w:ascii="仿宋_GB2312"/>
          <w:color w:val="000000" w:themeColor="text1"/>
          <w14:textFill>
            <w14:solidFill>
              <w14:schemeClr w14:val="tx1"/>
            </w14:solidFill>
          </w14:textFill>
        </w:rPr>
      </w:pPr>
    </w:p>
    <w:p w14:paraId="7B22AFE7">
      <w:pPr>
        <w:pStyle w:val="379"/>
        <w:spacing w:line="360" w:lineRule="auto"/>
        <w:ind w:left="560" w:leftChars="200" w:firstLine="240" w:firstLineChars="100"/>
        <w:rPr>
          <w:rFonts w:hint="eastAsia" w:ascii="仿宋_GB2312"/>
          <w:color w:val="000000" w:themeColor="text1"/>
          <w14:textFill>
            <w14:solidFill>
              <w14:schemeClr w14:val="tx1"/>
            </w14:solidFill>
          </w14:textFill>
        </w:rPr>
      </w:pPr>
    </w:p>
    <w:p w14:paraId="6F061A05">
      <w:pPr>
        <w:pStyle w:val="379"/>
        <w:spacing w:line="360" w:lineRule="auto"/>
        <w:ind w:left="560" w:leftChars="200" w:firstLine="240" w:firstLineChars="100"/>
        <w:rPr>
          <w:rFonts w:hint="eastAsia" w:ascii="仿宋_GB2312"/>
          <w:color w:val="000000" w:themeColor="text1"/>
          <w14:textFill>
            <w14:solidFill>
              <w14:schemeClr w14:val="tx1"/>
            </w14:solidFill>
          </w14:textFill>
        </w:rPr>
      </w:pPr>
    </w:p>
    <w:p w14:paraId="3FC1D4E6">
      <w:pPr>
        <w:pStyle w:val="379"/>
        <w:spacing w:line="360" w:lineRule="auto"/>
        <w:ind w:left="560" w:leftChars="200" w:firstLine="240" w:firstLineChars="100"/>
        <w:rPr>
          <w:rFonts w:hint="eastAsia" w:ascii="仿宋_GB2312"/>
          <w:color w:val="000000" w:themeColor="text1"/>
          <w14:textFill>
            <w14:solidFill>
              <w14:schemeClr w14:val="tx1"/>
            </w14:solidFill>
          </w14:textFill>
        </w:rPr>
      </w:pPr>
    </w:p>
    <w:bookmarkEnd w:id="1116"/>
    <w:p w14:paraId="2214D20A">
      <w:pPr>
        <w:widowControl w:val="0"/>
        <w:numPr>
          <w:ilvl w:val="0"/>
          <w:numId w:val="0"/>
        </w:numPr>
        <w:spacing w:line="360" w:lineRule="auto"/>
        <w:jc w:val="both"/>
        <w:rPr>
          <w:rFonts w:hint="eastAsia" w:ascii="仿宋" w:hAnsi="仿宋" w:eastAsia="仿宋" w:cs="仿宋"/>
          <w:color w:val="000000" w:themeColor="text1"/>
          <w14:textFill>
            <w14:solidFill>
              <w14:schemeClr w14:val="tx1"/>
            </w14:solidFill>
          </w14:textFill>
        </w:rPr>
      </w:pPr>
    </w:p>
    <w:p w14:paraId="526F43BA">
      <w:pPr>
        <w:widowControl w:val="0"/>
        <w:numPr>
          <w:ilvl w:val="0"/>
          <w:numId w:val="20"/>
        </w:numPr>
        <w:spacing w:line="360" w:lineRule="auto"/>
        <w:ind w:firstLine="0" w:firstLineChars="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特定资格条件证书或证明文件</w:t>
      </w:r>
    </w:p>
    <w:p w14:paraId="2DAF0327">
      <w:pPr>
        <w:pStyle w:val="2"/>
        <w:widowControl w:val="0"/>
        <w:numPr>
          <w:ilvl w:val="0"/>
          <w:numId w:val="0"/>
        </w:numPr>
        <w:jc w:val="both"/>
        <w:rPr>
          <w:rFonts w:hint="eastAsia"/>
          <w:color w:val="000000" w:themeColor="text1"/>
          <w14:textFill>
            <w14:solidFill>
              <w14:schemeClr w14:val="tx1"/>
            </w14:solidFill>
          </w14:textFill>
        </w:rPr>
      </w:pPr>
    </w:p>
    <w:p w14:paraId="67EEF733">
      <w:pPr>
        <w:rPr>
          <w:rFonts w:hint="eastAsia"/>
          <w:color w:val="000000" w:themeColor="text1"/>
          <w14:textFill>
            <w14:solidFill>
              <w14:schemeClr w14:val="tx1"/>
            </w14:solidFill>
          </w14:textFill>
        </w:rPr>
      </w:pPr>
    </w:p>
    <w:p w14:paraId="70957AD5">
      <w:pPr>
        <w:pStyle w:val="2"/>
        <w:rPr>
          <w:rFonts w:hint="eastAsia"/>
          <w:color w:val="000000" w:themeColor="text1"/>
          <w14:textFill>
            <w14:solidFill>
              <w14:schemeClr w14:val="tx1"/>
            </w14:solidFill>
          </w14:textFill>
        </w:rPr>
      </w:pPr>
    </w:p>
    <w:p w14:paraId="228B1F1B">
      <w:pPr>
        <w:rPr>
          <w:rFonts w:hint="eastAsia"/>
          <w:color w:val="000000" w:themeColor="text1"/>
          <w14:textFill>
            <w14:solidFill>
              <w14:schemeClr w14:val="tx1"/>
            </w14:solidFill>
          </w14:textFill>
        </w:rPr>
      </w:pPr>
    </w:p>
    <w:p w14:paraId="13C012D4">
      <w:pPr>
        <w:pStyle w:val="2"/>
        <w:rPr>
          <w:rFonts w:hint="eastAsia"/>
          <w:color w:val="000000" w:themeColor="text1"/>
          <w14:textFill>
            <w14:solidFill>
              <w14:schemeClr w14:val="tx1"/>
            </w14:solidFill>
          </w14:textFill>
        </w:rPr>
      </w:pPr>
    </w:p>
    <w:p w14:paraId="05B7BBB9">
      <w:pPr>
        <w:rPr>
          <w:rFonts w:hint="eastAsia"/>
          <w:color w:val="000000" w:themeColor="text1"/>
          <w14:textFill>
            <w14:solidFill>
              <w14:schemeClr w14:val="tx1"/>
            </w14:solidFill>
          </w14:textFill>
        </w:rPr>
      </w:pPr>
    </w:p>
    <w:p w14:paraId="1DC209E6">
      <w:pPr>
        <w:pStyle w:val="2"/>
        <w:rPr>
          <w:rFonts w:hint="eastAsia"/>
          <w:color w:val="000000" w:themeColor="text1"/>
          <w14:textFill>
            <w14:solidFill>
              <w14:schemeClr w14:val="tx1"/>
            </w14:solidFill>
          </w14:textFill>
        </w:rPr>
      </w:pPr>
    </w:p>
    <w:p w14:paraId="653A9E86">
      <w:pPr>
        <w:rPr>
          <w:rFonts w:hint="eastAsia"/>
          <w:color w:val="000000" w:themeColor="text1"/>
          <w14:textFill>
            <w14:solidFill>
              <w14:schemeClr w14:val="tx1"/>
            </w14:solidFill>
          </w14:textFill>
        </w:rPr>
      </w:pPr>
    </w:p>
    <w:p w14:paraId="4FCB6C6C">
      <w:pPr>
        <w:pStyle w:val="2"/>
        <w:rPr>
          <w:rFonts w:hint="eastAsia"/>
          <w:color w:val="000000" w:themeColor="text1"/>
          <w14:textFill>
            <w14:solidFill>
              <w14:schemeClr w14:val="tx1"/>
            </w14:solidFill>
          </w14:textFill>
        </w:rPr>
      </w:pPr>
    </w:p>
    <w:p w14:paraId="59134FCA">
      <w:pPr>
        <w:rPr>
          <w:rFonts w:hint="eastAsia"/>
          <w:color w:val="000000" w:themeColor="text1"/>
          <w14:textFill>
            <w14:solidFill>
              <w14:schemeClr w14:val="tx1"/>
            </w14:solidFill>
          </w14:textFill>
        </w:rPr>
      </w:pPr>
    </w:p>
    <w:p w14:paraId="0005A548">
      <w:pPr>
        <w:pStyle w:val="2"/>
        <w:rPr>
          <w:rFonts w:hint="eastAsia"/>
          <w:color w:val="000000" w:themeColor="text1"/>
          <w14:textFill>
            <w14:solidFill>
              <w14:schemeClr w14:val="tx1"/>
            </w14:solidFill>
          </w14:textFill>
        </w:rPr>
      </w:pPr>
    </w:p>
    <w:p w14:paraId="16C7A1D1">
      <w:pPr>
        <w:rPr>
          <w:rFonts w:hint="eastAsia"/>
          <w:color w:val="000000" w:themeColor="text1"/>
          <w14:textFill>
            <w14:solidFill>
              <w14:schemeClr w14:val="tx1"/>
            </w14:solidFill>
          </w14:textFill>
        </w:rPr>
      </w:pPr>
    </w:p>
    <w:p w14:paraId="2938D63D">
      <w:pPr>
        <w:pStyle w:val="2"/>
        <w:rPr>
          <w:rFonts w:hint="eastAsia"/>
          <w:color w:val="000000" w:themeColor="text1"/>
          <w14:textFill>
            <w14:solidFill>
              <w14:schemeClr w14:val="tx1"/>
            </w14:solidFill>
          </w14:textFill>
        </w:rPr>
      </w:pPr>
    </w:p>
    <w:p w14:paraId="27060B3D">
      <w:pPr>
        <w:rPr>
          <w:rFonts w:hint="eastAsia"/>
          <w:color w:val="000000" w:themeColor="text1"/>
          <w14:textFill>
            <w14:solidFill>
              <w14:schemeClr w14:val="tx1"/>
            </w14:solidFill>
          </w14:textFill>
        </w:rPr>
      </w:pPr>
    </w:p>
    <w:p w14:paraId="5E049EFE">
      <w:pPr>
        <w:pStyle w:val="2"/>
        <w:rPr>
          <w:rFonts w:hint="eastAsia"/>
          <w:color w:val="000000" w:themeColor="text1"/>
          <w14:textFill>
            <w14:solidFill>
              <w14:schemeClr w14:val="tx1"/>
            </w14:solidFill>
          </w14:textFill>
        </w:rPr>
      </w:pPr>
    </w:p>
    <w:p w14:paraId="68C1F99A">
      <w:pPr>
        <w:rPr>
          <w:rFonts w:hint="eastAsia"/>
          <w:color w:val="000000" w:themeColor="text1"/>
          <w14:textFill>
            <w14:solidFill>
              <w14:schemeClr w14:val="tx1"/>
            </w14:solidFill>
          </w14:textFill>
        </w:rPr>
      </w:pPr>
    </w:p>
    <w:p w14:paraId="749ECA22">
      <w:pPr>
        <w:pStyle w:val="2"/>
        <w:rPr>
          <w:rFonts w:hint="eastAsia"/>
          <w:color w:val="000000" w:themeColor="text1"/>
          <w14:textFill>
            <w14:solidFill>
              <w14:schemeClr w14:val="tx1"/>
            </w14:solidFill>
          </w14:textFill>
        </w:rPr>
      </w:pPr>
    </w:p>
    <w:p w14:paraId="5487D855">
      <w:pPr>
        <w:rPr>
          <w:rFonts w:hint="eastAsia"/>
          <w:color w:val="000000" w:themeColor="text1"/>
          <w14:textFill>
            <w14:solidFill>
              <w14:schemeClr w14:val="tx1"/>
            </w14:solidFill>
          </w14:textFill>
        </w:rPr>
      </w:pPr>
    </w:p>
    <w:p w14:paraId="0F6DD6FB">
      <w:pPr>
        <w:pStyle w:val="2"/>
        <w:rPr>
          <w:rFonts w:hint="eastAsia"/>
          <w:color w:val="000000" w:themeColor="text1"/>
          <w14:textFill>
            <w14:solidFill>
              <w14:schemeClr w14:val="tx1"/>
            </w14:solidFill>
          </w14:textFill>
        </w:rPr>
      </w:pPr>
    </w:p>
    <w:p w14:paraId="12382EAC">
      <w:pPr>
        <w:rPr>
          <w:rFonts w:hint="eastAsia"/>
          <w:color w:val="000000" w:themeColor="text1"/>
          <w14:textFill>
            <w14:solidFill>
              <w14:schemeClr w14:val="tx1"/>
            </w14:solidFill>
          </w14:textFill>
        </w:rPr>
      </w:pPr>
    </w:p>
    <w:p w14:paraId="725EF308">
      <w:pPr>
        <w:pStyle w:val="2"/>
        <w:rPr>
          <w:rFonts w:hint="eastAsia"/>
          <w:color w:val="000000" w:themeColor="text1"/>
          <w14:textFill>
            <w14:solidFill>
              <w14:schemeClr w14:val="tx1"/>
            </w14:solidFill>
          </w14:textFill>
        </w:rPr>
      </w:pPr>
    </w:p>
    <w:p w14:paraId="33DF4BD8">
      <w:pPr>
        <w:rPr>
          <w:rFonts w:hint="eastAsia"/>
          <w:color w:val="000000" w:themeColor="text1"/>
          <w14:textFill>
            <w14:solidFill>
              <w14:schemeClr w14:val="tx1"/>
            </w14:solidFill>
          </w14:textFill>
        </w:rPr>
      </w:pPr>
    </w:p>
    <w:p w14:paraId="7D07629F">
      <w:pPr>
        <w:pStyle w:val="2"/>
        <w:rPr>
          <w:rFonts w:hint="eastAsia"/>
          <w:color w:val="000000" w:themeColor="text1"/>
          <w14:textFill>
            <w14:solidFill>
              <w14:schemeClr w14:val="tx1"/>
            </w14:solidFill>
          </w14:textFill>
        </w:rPr>
      </w:pPr>
    </w:p>
    <w:p w14:paraId="08F921AE">
      <w:pPr>
        <w:rPr>
          <w:rFonts w:hint="eastAsia"/>
          <w:color w:val="000000" w:themeColor="text1"/>
          <w14:textFill>
            <w14:solidFill>
              <w14:schemeClr w14:val="tx1"/>
            </w14:solidFill>
          </w14:textFill>
        </w:rPr>
      </w:pPr>
    </w:p>
    <w:p w14:paraId="356986D5">
      <w:pPr>
        <w:pStyle w:val="2"/>
        <w:rPr>
          <w:rFonts w:hint="eastAsia"/>
          <w:color w:val="000000" w:themeColor="text1"/>
          <w14:textFill>
            <w14:solidFill>
              <w14:schemeClr w14:val="tx1"/>
            </w14:solidFill>
          </w14:textFill>
        </w:rPr>
      </w:pPr>
    </w:p>
    <w:p w14:paraId="09AB85A2">
      <w:pPr>
        <w:rPr>
          <w:rFonts w:hint="eastAsia"/>
          <w:color w:val="000000" w:themeColor="text1"/>
          <w14:textFill>
            <w14:solidFill>
              <w14:schemeClr w14:val="tx1"/>
            </w14:solidFill>
          </w14:textFill>
        </w:rPr>
      </w:pPr>
    </w:p>
    <w:p w14:paraId="39811770">
      <w:pPr>
        <w:pStyle w:val="2"/>
        <w:rPr>
          <w:rFonts w:hint="eastAsia"/>
          <w:color w:val="000000" w:themeColor="text1"/>
          <w14:textFill>
            <w14:solidFill>
              <w14:schemeClr w14:val="tx1"/>
            </w14:solidFill>
          </w14:textFill>
        </w:rPr>
      </w:pPr>
    </w:p>
    <w:p w14:paraId="7A4A1515">
      <w:pPr>
        <w:rPr>
          <w:rFonts w:hint="eastAsia"/>
          <w:color w:val="000000" w:themeColor="text1"/>
          <w14:textFill>
            <w14:solidFill>
              <w14:schemeClr w14:val="tx1"/>
            </w14:solidFill>
          </w14:textFill>
        </w:rPr>
      </w:pPr>
    </w:p>
    <w:p w14:paraId="3B0DB650">
      <w:pPr>
        <w:pStyle w:val="2"/>
        <w:rPr>
          <w:rFonts w:hint="eastAsia"/>
          <w:color w:val="000000" w:themeColor="text1"/>
          <w14:textFill>
            <w14:solidFill>
              <w14:schemeClr w14:val="tx1"/>
            </w14:solidFill>
          </w14:textFill>
        </w:rPr>
      </w:pPr>
    </w:p>
    <w:p w14:paraId="088E6B62">
      <w:pPr>
        <w:rPr>
          <w:rFonts w:hint="eastAsia"/>
          <w:color w:val="000000" w:themeColor="text1"/>
          <w14:textFill>
            <w14:solidFill>
              <w14:schemeClr w14:val="tx1"/>
            </w14:solidFill>
          </w14:textFill>
        </w:rPr>
      </w:pPr>
    </w:p>
    <w:p w14:paraId="443B1071">
      <w:pPr>
        <w:pStyle w:val="2"/>
        <w:rPr>
          <w:rFonts w:hint="eastAsia"/>
          <w:color w:val="000000" w:themeColor="text1"/>
          <w14:textFill>
            <w14:solidFill>
              <w14:schemeClr w14:val="tx1"/>
            </w14:solidFill>
          </w14:textFill>
        </w:rPr>
      </w:pPr>
    </w:p>
    <w:p w14:paraId="37B54E14">
      <w:pPr>
        <w:rPr>
          <w:rFonts w:hint="eastAsia"/>
          <w:color w:val="000000" w:themeColor="text1"/>
          <w14:textFill>
            <w14:solidFill>
              <w14:schemeClr w14:val="tx1"/>
            </w14:solidFill>
          </w14:textFill>
        </w:rPr>
      </w:pPr>
    </w:p>
    <w:p w14:paraId="3F681DFD">
      <w:pPr>
        <w:pStyle w:val="2"/>
        <w:rPr>
          <w:rFonts w:hint="eastAsia"/>
          <w:color w:val="000000" w:themeColor="text1"/>
          <w14:textFill>
            <w14:solidFill>
              <w14:schemeClr w14:val="tx1"/>
            </w14:solidFill>
          </w14:textFill>
        </w:rPr>
      </w:pPr>
    </w:p>
    <w:p w14:paraId="3F09E7A3">
      <w:pPr>
        <w:rPr>
          <w:rFonts w:hint="eastAsia"/>
          <w:color w:val="000000" w:themeColor="text1"/>
          <w14:textFill>
            <w14:solidFill>
              <w14:schemeClr w14:val="tx1"/>
            </w14:solidFill>
          </w14:textFill>
        </w:rPr>
      </w:pPr>
    </w:p>
    <w:p w14:paraId="73245D2C">
      <w:pPr>
        <w:pStyle w:val="2"/>
        <w:spacing w:line="360" w:lineRule="auto"/>
        <w:rPr>
          <w:rFonts w:hint="eastAsia"/>
          <w:color w:val="000000" w:themeColor="text1"/>
          <w14:textFill>
            <w14:solidFill>
              <w14:schemeClr w14:val="tx1"/>
            </w14:solidFill>
          </w14:textFill>
        </w:rPr>
      </w:pPr>
    </w:p>
    <w:p w14:paraId="3D65103B">
      <w:pPr>
        <w:pStyle w:val="5"/>
        <w:spacing w:before="0" w:after="0" w:line="360" w:lineRule="auto"/>
        <w:rPr>
          <w:rFonts w:hint="eastAsia" w:ascii="仿宋" w:hAnsi="仿宋" w:eastAsia="仿宋" w:cs="仿宋"/>
          <w:color w:val="000000" w:themeColor="text1"/>
          <w:sz w:val="24"/>
          <w:szCs w:val="24"/>
          <w14:textFill>
            <w14:solidFill>
              <w14:schemeClr w14:val="tx1"/>
            </w14:solidFill>
          </w14:textFill>
        </w:rPr>
      </w:pPr>
      <w:bookmarkStart w:id="1117" w:name="_Toc14422"/>
      <w:bookmarkStart w:id="1118" w:name="_Toc18481"/>
      <w:bookmarkStart w:id="1119" w:name="_Toc7655"/>
      <w:r>
        <w:rPr>
          <w:rFonts w:hint="eastAsia" w:ascii="仿宋" w:hAnsi="仿宋" w:eastAsia="仿宋" w:cs="仿宋"/>
          <w:color w:val="000000" w:themeColor="text1"/>
          <w:sz w:val="24"/>
          <w:szCs w:val="24"/>
          <w:lang w:eastAsia="zh-CN"/>
          <w14:textFill>
            <w14:solidFill>
              <w14:schemeClr w14:val="tx1"/>
            </w14:solidFill>
          </w14:textFill>
        </w:rPr>
        <w:t>五</w:t>
      </w:r>
      <w:r>
        <w:rPr>
          <w:rFonts w:hint="eastAsia" w:ascii="仿宋" w:hAnsi="仿宋" w:eastAsia="仿宋" w:cs="仿宋"/>
          <w:color w:val="000000" w:themeColor="text1"/>
          <w:sz w:val="24"/>
          <w:szCs w:val="24"/>
          <w14:textFill>
            <w14:solidFill>
              <w14:schemeClr w14:val="tx1"/>
            </w14:solidFill>
          </w14:textFill>
        </w:rPr>
        <w:t>、其他应提供的资料</w:t>
      </w:r>
      <w:bookmarkEnd w:id="1117"/>
      <w:bookmarkEnd w:id="1118"/>
      <w:bookmarkEnd w:id="1119"/>
    </w:p>
    <w:p w14:paraId="4678C921">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其他与项目有关的资料（自附） </w:t>
      </w:r>
    </w:p>
    <w:p w14:paraId="163F5642">
      <w:pPr>
        <w:spacing w:line="360" w:lineRule="auto"/>
        <w:rPr>
          <w:rFonts w:hint="eastAsia" w:ascii="仿宋" w:hAnsi="仿宋" w:eastAsia="仿宋" w:cs="仿宋"/>
          <w:color w:val="000000" w:themeColor="text1"/>
          <w:sz w:val="24"/>
          <w:szCs w:val="24"/>
          <w14:textFill>
            <w14:solidFill>
              <w14:schemeClr w14:val="tx1"/>
            </w14:solidFill>
          </w14:textFill>
        </w:rPr>
      </w:pPr>
    </w:p>
    <w:p w14:paraId="7204A63B">
      <w:pPr>
        <w:spacing w:line="36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w:t>
      </w:r>
    </w:p>
    <w:p w14:paraId="3AEF8C63">
      <w:pPr>
        <w:spacing w:line="360" w:lineRule="auto"/>
        <w:rPr>
          <w:rFonts w:hint="eastAsia" w:ascii="仿宋" w:hAnsi="仿宋" w:eastAsia="仿宋" w:cs="仿宋"/>
          <w:color w:val="000000" w:themeColor="text1"/>
          <w:sz w:val="24"/>
          <w:szCs w:val="24"/>
          <w14:textFill>
            <w14:solidFill>
              <w14:schemeClr w14:val="tx1"/>
            </w14:solidFill>
          </w14:textFill>
        </w:rPr>
      </w:pPr>
    </w:p>
    <w:p w14:paraId="10EB78EE">
      <w:pPr>
        <w:spacing w:line="360" w:lineRule="auto"/>
        <w:rPr>
          <w:rFonts w:hint="eastAsia" w:ascii="仿宋" w:hAnsi="仿宋" w:eastAsia="仿宋" w:cs="仿宋"/>
          <w:color w:val="000000" w:themeColor="text1"/>
          <w:sz w:val="24"/>
          <w:szCs w:val="24"/>
          <w14:textFill>
            <w14:solidFill>
              <w14:schemeClr w14:val="tx1"/>
            </w14:solidFill>
          </w14:textFill>
        </w:rPr>
      </w:pPr>
    </w:p>
    <w:p w14:paraId="6EB60F80">
      <w:pPr>
        <w:spacing w:line="360" w:lineRule="auto"/>
        <w:rPr>
          <w:rFonts w:hint="eastAsia" w:ascii="仿宋" w:hAnsi="仿宋" w:eastAsia="仿宋" w:cs="仿宋"/>
          <w:color w:val="000000" w:themeColor="text1"/>
          <w:sz w:val="24"/>
          <w:szCs w:val="24"/>
          <w14:textFill>
            <w14:solidFill>
              <w14:schemeClr w14:val="tx1"/>
            </w14:solidFill>
          </w14:textFill>
        </w:rPr>
      </w:pPr>
    </w:p>
    <w:p w14:paraId="4A5ABECA">
      <w:pPr>
        <w:spacing w:line="360" w:lineRule="auto"/>
        <w:rPr>
          <w:rFonts w:hint="eastAsia" w:ascii="仿宋" w:hAnsi="仿宋" w:eastAsia="仿宋" w:cs="仿宋"/>
          <w:color w:val="000000" w:themeColor="text1"/>
          <w:sz w:val="24"/>
          <w:szCs w:val="24"/>
          <w14:textFill>
            <w14:solidFill>
              <w14:schemeClr w14:val="tx1"/>
            </w14:solidFill>
          </w14:textFill>
        </w:rPr>
      </w:pPr>
    </w:p>
    <w:p w14:paraId="67637972">
      <w:pPr>
        <w:spacing w:line="360" w:lineRule="auto"/>
        <w:rPr>
          <w:rFonts w:hint="eastAsia" w:ascii="仿宋" w:hAnsi="仿宋" w:eastAsia="仿宋" w:cs="仿宋"/>
          <w:color w:val="000000" w:themeColor="text1"/>
          <w:sz w:val="24"/>
          <w:szCs w:val="24"/>
          <w14:textFill>
            <w14:solidFill>
              <w14:schemeClr w14:val="tx1"/>
            </w14:solidFill>
          </w14:textFill>
        </w:rPr>
      </w:pPr>
    </w:p>
    <w:p w14:paraId="7E792BA2">
      <w:pPr>
        <w:spacing w:line="360" w:lineRule="auto"/>
        <w:ind w:firstLine="480" w:firstLineChars="200"/>
        <w:jc w:val="center"/>
        <w:rPr>
          <w:rFonts w:hint="eastAsia" w:ascii="仿宋" w:hAnsi="仿宋" w:eastAsia="仿宋" w:cs="仿宋"/>
          <w:color w:val="000000" w:themeColor="text1"/>
          <w:sz w:val="24"/>
          <w:szCs w:val="24"/>
          <w14:textFill>
            <w14:solidFill>
              <w14:schemeClr w14:val="tx1"/>
            </w14:solidFill>
          </w14:textFill>
        </w:rPr>
        <w:sectPr>
          <w:pgSz w:w="11907" w:h="16840"/>
          <w:pgMar w:top="1418" w:right="1304" w:bottom="902" w:left="1418" w:header="1077" w:footer="794" w:gutter="0"/>
          <w:pgNumType w:fmt="decimal"/>
          <w:cols w:space="720" w:num="1"/>
          <w:docGrid w:linePitch="381" w:charSpace="-5735"/>
        </w:sectPr>
      </w:pPr>
      <w:r>
        <w:rPr>
          <w:rFonts w:hint="eastAsia" w:ascii="仿宋" w:hAnsi="仿宋" w:eastAsia="仿宋" w:cs="仿宋"/>
          <w:color w:val="000000" w:themeColor="text1"/>
          <w:sz w:val="24"/>
          <w:szCs w:val="24"/>
          <w14:textFill>
            <w14:solidFill>
              <w14:schemeClr w14:val="tx1"/>
            </w14:solidFill>
          </w14:textFill>
        </w:rPr>
        <w:t>（结束）</w:t>
      </w:r>
    </w:p>
    <w:p w14:paraId="68C60517">
      <w:pPr>
        <w:pStyle w:val="5"/>
        <w:bidi w:val="0"/>
        <w:spacing w:line="360" w:lineRule="auto"/>
        <w:jc w:val="center"/>
        <w:rPr>
          <w:rFonts w:hint="eastAsia"/>
          <w:color w:val="000000" w:themeColor="text1"/>
          <w:lang w:val="en-US" w:eastAsia="zh-CN"/>
          <w14:textFill>
            <w14:solidFill>
              <w14:schemeClr w14:val="tx1"/>
            </w14:solidFill>
          </w14:textFill>
        </w:rPr>
      </w:pPr>
      <w:bookmarkStart w:id="1120" w:name="_Toc23576"/>
      <w:bookmarkStart w:id="1121" w:name="_Toc11483"/>
      <w:r>
        <w:rPr>
          <w:rFonts w:hint="eastAsia"/>
          <w:color w:val="000000" w:themeColor="text1"/>
          <w:lang w:val="en-US" w:eastAsia="zh-CN"/>
          <w14:textFill>
            <w14:solidFill>
              <w14:schemeClr w14:val="tx1"/>
            </w14:solidFill>
          </w14:textFill>
        </w:rPr>
        <w:t>附件一：文件发售登记表</w:t>
      </w:r>
      <w:bookmarkEnd w:id="1120"/>
      <w:bookmarkEnd w:id="1121"/>
    </w:p>
    <w:tbl>
      <w:tblPr>
        <w:tblStyle w:val="63"/>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391"/>
        <w:gridCol w:w="1051"/>
        <w:gridCol w:w="3965"/>
      </w:tblGrid>
      <w:tr w14:paraId="60D2B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832" w:type="dxa"/>
            <w:vAlign w:val="center"/>
          </w:tcPr>
          <w:p w14:paraId="55876B3B">
            <w:pPr>
              <w:spacing w:line="36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项目编号</w:t>
            </w:r>
          </w:p>
        </w:tc>
        <w:tc>
          <w:tcPr>
            <w:tcW w:w="7407" w:type="dxa"/>
            <w:gridSpan w:val="3"/>
            <w:vAlign w:val="center"/>
          </w:tcPr>
          <w:p w14:paraId="26983998">
            <w:pPr>
              <w:spacing w:line="360" w:lineRule="auto"/>
              <w:jc w:val="center"/>
              <w:rPr>
                <w:rFonts w:hint="eastAsia" w:ascii="仿宋" w:hAnsi="仿宋" w:eastAsia="仿宋" w:cs="仿宋"/>
                <w:color w:val="000000" w:themeColor="text1"/>
                <w:szCs w:val="21"/>
                <w14:textFill>
                  <w14:solidFill>
                    <w14:schemeClr w14:val="tx1"/>
                  </w14:solidFill>
                </w14:textFill>
              </w:rPr>
            </w:pPr>
          </w:p>
        </w:tc>
      </w:tr>
      <w:tr w14:paraId="3CE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832" w:type="dxa"/>
            <w:vAlign w:val="center"/>
          </w:tcPr>
          <w:p w14:paraId="508307FD">
            <w:pPr>
              <w:spacing w:line="36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项目名称</w:t>
            </w:r>
          </w:p>
        </w:tc>
        <w:tc>
          <w:tcPr>
            <w:tcW w:w="7407" w:type="dxa"/>
            <w:gridSpan w:val="3"/>
            <w:vAlign w:val="center"/>
          </w:tcPr>
          <w:p w14:paraId="6EF368E3">
            <w:pPr>
              <w:spacing w:line="360" w:lineRule="auto"/>
              <w:jc w:val="center"/>
              <w:rPr>
                <w:rFonts w:hint="eastAsia" w:ascii="仿宋" w:hAnsi="仿宋" w:eastAsia="仿宋" w:cs="仿宋"/>
                <w:color w:val="000000" w:themeColor="text1"/>
                <w:szCs w:val="21"/>
                <w14:textFill>
                  <w14:solidFill>
                    <w14:schemeClr w14:val="tx1"/>
                  </w14:solidFill>
                </w14:textFill>
              </w:rPr>
            </w:pPr>
          </w:p>
        </w:tc>
      </w:tr>
      <w:tr w14:paraId="0BF7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32" w:type="dxa"/>
            <w:vAlign w:val="center"/>
          </w:tcPr>
          <w:p w14:paraId="3433A09A">
            <w:pPr>
              <w:spacing w:line="36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供应商名称</w:t>
            </w:r>
          </w:p>
        </w:tc>
        <w:tc>
          <w:tcPr>
            <w:tcW w:w="7407" w:type="dxa"/>
            <w:gridSpan w:val="3"/>
            <w:vAlign w:val="center"/>
          </w:tcPr>
          <w:p w14:paraId="73521B27">
            <w:pPr>
              <w:spacing w:line="36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 xml:space="preserve">                           </w:t>
            </w:r>
            <w:r>
              <w:rPr>
                <w:rFonts w:hint="eastAsia" w:ascii="仿宋" w:hAnsi="仿宋" w:eastAsia="仿宋" w:cs="仿宋"/>
                <w:color w:val="000000" w:themeColor="text1"/>
                <w:szCs w:val="21"/>
                <w14:textFill>
                  <w14:solidFill>
                    <w14:schemeClr w14:val="tx1"/>
                  </w14:solidFill>
                </w14:textFill>
              </w:rPr>
              <w:t>（供应商公章）</w:t>
            </w:r>
          </w:p>
        </w:tc>
      </w:tr>
      <w:tr w14:paraId="5C6A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2" w:type="dxa"/>
            <w:vAlign w:val="center"/>
          </w:tcPr>
          <w:p w14:paraId="78085C33">
            <w:pPr>
              <w:spacing w:line="36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联系人</w:t>
            </w:r>
          </w:p>
        </w:tc>
        <w:tc>
          <w:tcPr>
            <w:tcW w:w="2391" w:type="dxa"/>
            <w:vAlign w:val="center"/>
          </w:tcPr>
          <w:p w14:paraId="29A80AB3">
            <w:pPr>
              <w:spacing w:line="360" w:lineRule="auto"/>
              <w:jc w:val="center"/>
              <w:rPr>
                <w:rFonts w:hint="eastAsia" w:ascii="仿宋" w:hAnsi="仿宋" w:eastAsia="仿宋" w:cs="仿宋"/>
                <w:color w:val="000000" w:themeColor="text1"/>
                <w:szCs w:val="21"/>
                <w14:textFill>
                  <w14:solidFill>
                    <w14:schemeClr w14:val="tx1"/>
                  </w14:solidFill>
                </w14:textFill>
              </w:rPr>
            </w:pPr>
          </w:p>
        </w:tc>
        <w:tc>
          <w:tcPr>
            <w:tcW w:w="1051" w:type="dxa"/>
            <w:vAlign w:val="center"/>
          </w:tcPr>
          <w:p w14:paraId="6996458B">
            <w:pPr>
              <w:spacing w:line="36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手机</w:t>
            </w:r>
          </w:p>
        </w:tc>
        <w:tc>
          <w:tcPr>
            <w:tcW w:w="3965" w:type="dxa"/>
            <w:vAlign w:val="center"/>
          </w:tcPr>
          <w:p w14:paraId="16D545DA">
            <w:pPr>
              <w:spacing w:line="360" w:lineRule="auto"/>
              <w:jc w:val="center"/>
              <w:rPr>
                <w:rFonts w:hint="eastAsia" w:ascii="仿宋" w:hAnsi="仿宋" w:eastAsia="仿宋" w:cs="仿宋"/>
                <w:color w:val="000000" w:themeColor="text1"/>
                <w:szCs w:val="21"/>
                <w14:textFill>
                  <w14:solidFill>
                    <w14:schemeClr w14:val="tx1"/>
                  </w14:solidFill>
                </w14:textFill>
              </w:rPr>
            </w:pPr>
          </w:p>
        </w:tc>
      </w:tr>
      <w:tr w14:paraId="3F9F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832" w:type="dxa"/>
            <w:vAlign w:val="center"/>
          </w:tcPr>
          <w:p w14:paraId="35B1C6A5">
            <w:pPr>
              <w:spacing w:line="36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办公电话</w:t>
            </w:r>
          </w:p>
        </w:tc>
        <w:tc>
          <w:tcPr>
            <w:tcW w:w="2391" w:type="dxa"/>
            <w:vAlign w:val="center"/>
          </w:tcPr>
          <w:p w14:paraId="4407C5A0">
            <w:pPr>
              <w:spacing w:line="360" w:lineRule="auto"/>
              <w:jc w:val="center"/>
              <w:rPr>
                <w:rFonts w:hint="eastAsia" w:ascii="仿宋" w:hAnsi="仿宋" w:eastAsia="仿宋" w:cs="仿宋"/>
                <w:color w:val="000000" w:themeColor="text1"/>
                <w:szCs w:val="21"/>
                <w14:textFill>
                  <w14:solidFill>
                    <w14:schemeClr w14:val="tx1"/>
                  </w14:solidFill>
                </w14:textFill>
              </w:rPr>
            </w:pPr>
          </w:p>
        </w:tc>
        <w:tc>
          <w:tcPr>
            <w:tcW w:w="1051" w:type="dxa"/>
            <w:vAlign w:val="center"/>
          </w:tcPr>
          <w:p w14:paraId="2882FD5B">
            <w:pPr>
              <w:spacing w:line="36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传真</w:t>
            </w:r>
          </w:p>
        </w:tc>
        <w:tc>
          <w:tcPr>
            <w:tcW w:w="3965" w:type="dxa"/>
            <w:vAlign w:val="center"/>
          </w:tcPr>
          <w:p w14:paraId="468EC298">
            <w:pPr>
              <w:spacing w:line="360" w:lineRule="auto"/>
              <w:jc w:val="center"/>
              <w:rPr>
                <w:rFonts w:hint="eastAsia" w:ascii="仿宋" w:hAnsi="仿宋" w:eastAsia="仿宋" w:cs="仿宋"/>
                <w:color w:val="000000" w:themeColor="text1"/>
                <w:szCs w:val="21"/>
                <w14:textFill>
                  <w14:solidFill>
                    <w14:schemeClr w14:val="tx1"/>
                  </w14:solidFill>
                </w14:textFill>
              </w:rPr>
            </w:pPr>
          </w:p>
        </w:tc>
      </w:tr>
      <w:tr w14:paraId="1F9E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832" w:type="dxa"/>
            <w:vAlign w:val="center"/>
          </w:tcPr>
          <w:p w14:paraId="467B2A8A">
            <w:pPr>
              <w:spacing w:line="36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E-mail</w:t>
            </w:r>
          </w:p>
        </w:tc>
        <w:tc>
          <w:tcPr>
            <w:tcW w:w="7407" w:type="dxa"/>
            <w:gridSpan w:val="3"/>
            <w:vAlign w:val="center"/>
          </w:tcPr>
          <w:p w14:paraId="083F9651">
            <w:pPr>
              <w:spacing w:line="360" w:lineRule="auto"/>
              <w:jc w:val="center"/>
              <w:rPr>
                <w:rFonts w:hint="eastAsia" w:ascii="仿宋" w:hAnsi="仿宋" w:eastAsia="仿宋" w:cs="仿宋"/>
                <w:color w:val="000000" w:themeColor="text1"/>
                <w:szCs w:val="21"/>
                <w14:textFill>
                  <w14:solidFill>
                    <w14:schemeClr w14:val="tx1"/>
                  </w14:solidFill>
                </w14:textFill>
              </w:rPr>
            </w:pPr>
          </w:p>
        </w:tc>
      </w:tr>
      <w:tr w14:paraId="634C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832" w:type="dxa"/>
            <w:vAlign w:val="center"/>
          </w:tcPr>
          <w:p w14:paraId="3F014991">
            <w:pPr>
              <w:spacing w:line="36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单位地址</w:t>
            </w:r>
          </w:p>
        </w:tc>
        <w:tc>
          <w:tcPr>
            <w:tcW w:w="7407" w:type="dxa"/>
            <w:gridSpan w:val="3"/>
            <w:vAlign w:val="center"/>
          </w:tcPr>
          <w:p w14:paraId="6834DAC1">
            <w:pPr>
              <w:spacing w:line="360" w:lineRule="auto"/>
              <w:jc w:val="center"/>
              <w:rPr>
                <w:rFonts w:hint="eastAsia" w:ascii="仿宋" w:hAnsi="仿宋" w:eastAsia="仿宋" w:cs="仿宋"/>
                <w:color w:val="000000" w:themeColor="text1"/>
                <w:szCs w:val="21"/>
                <w14:textFill>
                  <w14:solidFill>
                    <w14:schemeClr w14:val="tx1"/>
                  </w14:solidFill>
                </w14:textFill>
              </w:rPr>
            </w:pPr>
          </w:p>
        </w:tc>
      </w:tr>
    </w:tbl>
    <w:p w14:paraId="73CFF7C2">
      <w:pPr>
        <w:spacing w:line="360" w:lineRule="auto"/>
        <w:rPr>
          <w:rFonts w:hint="eastAsia" w:ascii="仿宋" w:hAnsi="仿宋" w:eastAsia="仿宋" w:cs="仿宋"/>
          <w:color w:val="000000" w:themeColor="text1"/>
          <w:highlight w:val="none"/>
          <w14:textFill>
            <w14:solidFill>
              <w14:schemeClr w14:val="tx1"/>
            </w14:solidFill>
          </w14:textFill>
        </w:rPr>
      </w:pPr>
    </w:p>
    <w:p w14:paraId="324257DF">
      <w:pPr>
        <w:spacing w:line="360" w:lineRule="auto"/>
        <w:rPr>
          <w:rFonts w:hint="eastAsia" w:ascii="仿宋" w:hAnsi="仿宋" w:eastAsia="仿宋" w:cs="仿宋"/>
          <w:color w:val="000000" w:themeColor="text1"/>
          <w:sz w:val="24"/>
          <w:szCs w:val="18"/>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采购文件</w:t>
      </w:r>
      <w:r>
        <w:rPr>
          <w:rFonts w:hint="eastAsia" w:ascii="仿宋" w:hAnsi="仿宋" w:eastAsia="仿宋" w:cs="仿宋"/>
          <w:color w:val="000000" w:themeColor="text1"/>
          <w:highlight w:val="none"/>
          <w:lang w:eastAsia="zh-CN"/>
          <w14:textFill>
            <w14:solidFill>
              <w14:schemeClr w14:val="tx1"/>
            </w14:solidFill>
          </w14:textFill>
        </w:rPr>
        <w:t>发</w:t>
      </w:r>
      <w:r>
        <w:rPr>
          <w:rFonts w:hint="eastAsia" w:ascii="仿宋" w:hAnsi="仿宋" w:eastAsia="仿宋" w:cs="仿宋"/>
          <w:color w:val="000000" w:themeColor="text1"/>
          <w:highlight w:val="none"/>
          <w14:textFill>
            <w14:solidFill>
              <w14:schemeClr w14:val="tx1"/>
            </w14:solidFill>
          </w14:textFill>
        </w:rPr>
        <w:t>售</w:t>
      </w:r>
      <w:r>
        <w:rPr>
          <w:rFonts w:hint="eastAsia" w:ascii="仿宋" w:hAnsi="仿宋" w:eastAsia="仿宋" w:cs="仿宋"/>
          <w:color w:val="000000" w:themeColor="text1"/>
          <w:highlight w:val="none"/>
          <w:lang w:eastAsia="zh-CN"/>
          <w14:textFill>
            <w14:solidFill>
              <w14:schemeClr w14:val="tx1"/>
            </w14:solidFill>
          </w14:textFill>
        </w:rPr>
        <w:t>时间</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val="0"/>
          <w:smallCaps w:val="0"/>
          <w:color w:val="000000" w:themeColor="text1"/>
          <w:kern w:val="2"/>
          <w:sz w:val="24"/>
          <w:szCs w:val="24"/>
          <w:highlight w:val="none"/>
          <w:lang w:val="en-US" w:eastAsia="zh-CN" w:bidi="ar-SA"/>
          <w14:textFill>
            <w14:solidFill>
              <w14:schemeClr w14:val="tx1"/>
            </w14:solidFill>
          </w14:textFill>
        </w:rPr>
        <w:t xml:space="preserve">2026年8月   日至2026年 8 月  日17:00（工作时间） </w:t>
      </w:r>
      <w:r>
        <w:rPr>
          <w:rFonts w:hint="eastAsia" w:ascii="仿宋" w:hAnsi="仿宋" w:eastAsia="仿宋" w:cs="仿宋"/>
          <w:color w:val="000000" w:themeColor="text1"/>
          <w:sz w:val="24"/>
          <w:szCs w:val="18"/>
          <w:highlight w:val="none"/>
          <w14:textFill>
            <w14:solidFill>
              <w14:schemeClr w14:val="tx1"/>
            </w14:solidFill>
          </w14:textFill>
        </w:rPr>
        <w:t xml:space="preserve">   </w:t>
      </w:r>
    </w:p>
    <w:p w14:paraId="73B2BF9A">
      <w:pPr>
        <w:spacing w:line="360" w:lineRule="auto"/>
        <w:rPr>
          <w:rFonts w:hint="eastAsia" w:ascii="仿宋" w:hAnsi="仿宋" w:eastAsia="仿宋" w:cs="仿宋"/>
          <w:b w:val="0"/>
          <w:smallCaps w:val="0"/>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发</w:t>
      </w:r>
      <w:r>
        <w:rPr>
          <w:rFonts w:hint="eastAsia" w:ascii="仿宋" w:hAnsi="仿宋" w:eastAsia="仿宋" w:cs="仿宋"/>
          <w:color w:val="000000" w:themeColor="text1"/>
          <w:lang w:val="en-US" w:eastAsia="zh-CN"/>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售</w:t>
      </w:r>
      <w:r>
        <w:rPr>
          <w:rFonts w:hint="eastAsia" w:ascii="仿宋" w:hAnsi="仿宋" w:eastAsia="仿宋" w:cs="仿宋"/>
          <w:color w:val="000000" w:themeColor="text1"/>
          <w:lang w:val="en-US" w:eastAsia="zh-CN"/>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人：</w:t>
      </w:r>
      <w:r>
        <w:rPr>
          <w:rFonts w:hint="eastAsia" w:ascii="仿宋" w:hAnsi="仿宋" w:eastAsia="仿宋" w:cs="仿宋"/>
          <w:color w:val="000000" w:themeColor="text1"/>
          <w:lang w:val="en-US" w:eastAsia="zh-CN"/>
          <w14:textFill>
            <w14:solidFill>
              <w14:schemeClr w14:val="tx1"/>
            </w14:solidFill>
          </w14:textFill>
        </w:rPr>
        <w:t>重庆市新创工程咨询有限公司</w:t>
      </w:r>
    </w:p>
    <w:p w14:paraId="101F36F4">
      <w:pPr>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p>
    <w:p w14:paraId="4C218DD8">
      <w:pPr>
        <w:wordWrap w:val="0"/>
        <w:spacing w:line="36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相关说明：</w:t>
      </w:r>
    </w:p>
    <w:p w14:paraId="270FD954">
      <w:pPr>
        <w:pStyle w:val="59"/>
        <w:spacing w:line="360" w:lineRule="auto"/>
        <w:ind w:firstLine="480" w:firstLineChars="200"/>
        <w:jc w:val="left"/>
        <w:rPr>
          <w:rFonts w:hint="eastAsia" w:ascii="仿宋" w:hAnsi="仿宋" w:eastAsia="仿宋" w:cs="仿宋"/>
          <w:b w:val="0"/>
          <w:smallCaps w:val="0"/>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smallCaps w:val="0"/>
          <w:color w:val="000000" w:themeColor="text1"/>
          <w:kern w:val="2"/>
          <w:sz w:val="24"/>
          <w:szCs w:val="24"/>
          <w:lang w:val="en-US" w:eastAsia="zh-CN" w:bidi="ar-SA"/>
          <w14:textFill>
            <w14:solidFill>
              <w14:schemeClr w14:val="tx1"/>
            </w14:solidFill>
          </w14:textFill>
        </w:rPr>
        <w:t>在采购文件发售期内（工作时间：工作日内每天9：00-12:00时，14：00-17：00时），供应商请将《文件发售登记表》（加盖供应商公章）扫描发送至 1424253262@qq.com（邮箱），未满足以上说明要求，代理机构及采购人有权拒绝其报名。</w:t>
      </w:r>
    </w:p>
    <w:p w14:paraId="6CF2DC4A">
      <w:pPr>
        <w:pStyle w:val="2"/>
        <w:spacing w:line="360" w:lineRule="auto"/>
        <w:rPr>
          <w:rFonts w:hint="eastAsia"/>
          <w:color w:val="000000" w:themeColor="text1"/>
          <w:lang w:val="en-US" w:eastAsia="zh-CN"/>
          <w14:textFill>
            <w14:solidFill>
              <w14:schemeClr w14:val="tx1"/>
            </w14:solidFill>
          </w14:textFill>
        </w:rPr>
      </w:pPr>
      <w:bookmarkStart w:id="1122" w:name="_GoBack"/>
      <w:bookmarkEnd w:id="1122"/>
    </w:p>
    <w:sectPr>
      <w:pgSz w:w="11907" w:h="16840"/>
      <w:pgMar w:top="1418" w:right="1304" w:bottom="902" w:left="1418" w:header="1077" w:footer="794" w:gutter="0"/>
      <w:pgNumType w:fmt="decimal"/>
      <w:cols w:space="720" w:num="1"/>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方正小标宋简体">
    <w:panose1 w:val="02010601030101010101"/>
    <w:charset w:val="86"/>
    <w:family w:val="script"/>
    <w:pitch w:val="default"/>
    <w:sig w:usb0="00000001" w:usb1="080E0000" w:usb2="00000000" w:usb3="00000000" w:csb0="00040000" w:csb1="00000000"/>
  </w:font>
  <w:font w:name="方正书宋简体">
    <w:panose1 w:val="02010601030101010101"/>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仿宋简体">
    <w:panose1 w:val="02010601030101010101"/>
    <w:charset w:val="86"/>
    <w:family w:val="auto"/>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文鼎粗黑">
    <w:altName w:val="黑体"/>
    <w:panose1 w:val="00000000000000000000"/>
    <w:charset w:val="86"/>
    <w:family w:val="modern"/>
    <w:pitch w:val="default"/>
    <w:sig w:usb0="00000000" w:usb1="00000000" w:usb2="00000010" w:usb3="00000000" w:csb0="00040000" w:csb1="00000000"/>
  </w:font>
  <w:font w:name="Arial Narrow">
    <w:altName w:val="Arial"/>
    <w:panose1 w:val="020B0506020202030204"/>
    <w:charset w:val="00"/>
    <w:family w:val="swiss"/>
    <w:pitch w:val="default"/>
    <w:sig w:usb0="00000000" w:usb1="000000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D66AB">
    <w:pPr>
      <w:pStyle w:val="3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91750">
                          <w:pPr>
                            <w:pStyle w:val="38"/>
                            <w:rPr>
                              <w:rStyle w:val="68"/>
                              <w:sz w:val="21"/>
                              <w:szCs w:val="21"/>
                            </w:rPr>
                          </w:pPr>
                          <w:r>
                            <w:rPr>
                              <w:rStyle w:val="68"/>
                              <w:sz w:val="21"/>
                              <w:szCs w:val="21"/>
                            </w:rPr>
                            <w:fldChar w:fldCharType="begin"/>
                          </w:r>
                          <w:r>
                            <w:rPr>
                              <w:rStyle w:val="68"/>
                              <w:sz w:val="21"/>
                              <w:szCs w:val="21"/>
                            </w:rPr>
                            <w:instrText xml:space="preserve"> PAGE  \* MERGEFORMAT </w:instrText>
                          </w:r>
                          <w:r>
                            <w:rPr>
                              <w:rStyle w:val="68"/>
                              <w:sz w:val="21"/>
                              <w:szCs w:val="21"/>
                            </w:rPr>
                            <w:fldChar w:fldCharType="separate"/>
                          </w:r>
                          <w:r>
                            <w:rPr>
                              <w:rStyle w:val="68"/>
                              <w:sz w:val="21"/>
                              <w:szCs w:val="21"/>
                            </w:rPr>
                            <w:t>2</w:t>
                          </w:r>
                          <w:r>
                            <w:rPr>
                              <w:rStyle w:val="68"/>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591750">
                    <w:pPr>
                      <w:pStyle w:val="38"/>
                      <w:rPr>
                        <w:rStyle w:val="68"/>
                        <w:sz w:val="21"/>
                        <w:szCs w:val="21"/>
                      </w:rPr>
                    </w:pPr>
                    <w:r>
                      <w:rPr>
                        <w:rStyle w:val="68"/>
                        <w:sz w:val="21"/>
                        <w:szCs w:val="21"/>
                      </w:rPr>
                      <w:fldChar w:fldCharType="begin"/>
                    </w:r>
                    <w:r>
                      <w:rPr>
                        <w:rStyle w:val="68"/>
                        <w:sz w:val="21"/>
                        <w:szCs w:val="21"/>
                      </w:rPr>
                      <w:instrText xml:space="preserve"> PAGE  \* MERGEFORMAT </w:instrText>
                    </w:r>
                    <w:r>
                      <w:rPr>
                        <w:rStyle w:val="68"/>
                        <w:sz w:val="21"/>
                        <w:szCs w:val="21"/>
                      </w:rPr>
                      <w:fldChar w:fldCharType="separate"/>
                    </w:r>
                    <w:r>
                      <w:rPr>
                        <w:rStyle w:val="68"/>
                        <w:sz w:val="21"/>
                        <w:szCs w:val="21"/>
                      </w:rPr>
                      <w:t>2</w:t>
                    </w:r>
                    <w:r>
                      <w:rPr>
                        <w:rStyle w:val="68"/>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12B5F">
    <w:pPr>
      <w:pStyle w:val="3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41DBCE">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441DBCE">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25AEE">
    <w:pPr>
      <w:pStyle w:val="38"/>
      <w:jc w:val="center"/>
      <w:rPr>
        <w:rFonts w:asciiTheme="minorEastAsia" w:hAnsiTheme="minorEastAsia" w:eastAsiaTheme="minor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F8D535">
                          <w:pPr>
                            <w:pStyle w:val="79"/>
                            <w:rPr>
                              <w:sz w:val="13"/>
                              <w:szCs w:val="13"/>
                            </w:rPr>
                          </w:pPr>
                          <w:r>
                            <w:rPr>
                              <w:sz w:val="13"/>
                              <w:szCs w:val="13"/>
                            </w:rPr>
                            <w:fldChar w:fldCharType="begin"/>
                          </w:r>
                          <w:r>
                            <w:rPr>
                              <w:sz w:val="13"/>
                              <w:szCs w:val="13"/>
                            </w:rPr>
                            <w:instrText xml:space="preserve"> PAGE  \* MERGEFORMAT </w:instrText>
                          </w:r>
                          <w:r>
                            <w:rPr>
                              <w:sz w:val="13"/>
                              <w:szCs w:val="13"/>
                            </w:rPr>
                            <w:fldChar w:fldCharType="separate"/>
                          </w:r>
                          <w:r>
                            <w:rPr>
                              <w:sz w:val="13"/>
                              <w:szCs w:val="13"/>
                            </w:rPr>
                            <w:t>3</w:t>
                          </w:r>
                          <w:r>
                            <w:rPr>
                              <w:sz w:val="13"/>
                              <w:szCs w:val="13"/>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2F8D535">
                    <w:pPr>
                      <w:pStyle w:val="79"/>
                      <w:rPr>
                        <w:sz w:val="13"/>
                        <w:szCs w:val="13"/>
                      </w:rPr>
                    </w:pPr>
                    <w:r>
                      <w:rPr>
                        <w:sz w:val="13"/>
                        <w:szCs w:val="13"/>
                      </w:rPr>
                      <w:fldChar w:fldCharType="begin"/>
                    </w:r>
                    <w:r>
                      <w:rPr>
                        <w:sz w:val="13"/>
                        <w:szCs w:val="13"/>
                      </w:rPr>
                      <w:instrText xml:space="preserve"> PAGE  \* MERGEFORMAT </w:instrText>
                    </w:r>
                    <w:r>
                      <w:rPr>
                        <w:sz w:val="13"/>
                        <w:szCs w:val="13"/>
                      </w:rPr>
                      <w:fldChar w:fldCharType="separate"/>
                    </w:r>
                    <w:r>
                      <w:rPr>
                        <w:sz w:val="13"/>
                        <w:szCs w:val="13"/>
                      </w:rPr>
                      <w:t>3</w:t>
                    </w:r>
                    <w:r>
                      <w:rPr>
                        <w:sz w:val="13"/>
                        <w:szCs w:val="13"/>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5E432">
    <w:pPr>
      <w:pStyle w:val="3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2628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90500" cy="262890"/>
                      </a:xfrm>
                      <a:prstGeom prst="rect">
                        <a:avLst/>
                      </a:prstGeom>
                      <a:noFill/>
                      <a:ln>
                        <a:noFill/>
                      </a:ln>
                    </wps:spPr>
                    <wps:txbx>
                      <w:txbxContent>
                        <w:p w14:paraId="4CC9E7DC">
                          <w:pPr>
                            <w:pStyle w:val="38"/>
                            <w:rPr>
                              <w:rFonts w:hint="eastAsia"/>
                            </w:rPr>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0.7pt;width:15pt;mso-position-horizontal:center;mso-position-horizontal-relative:margin;mso-wrap-style:none;z-index:251659264;mso-width-relative:page;mso-height-relative:page;" filled="f" stroked="f" coordsize="21600,21600" o:gfxdata="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LHF7c0AAAAAMBAAAPAAAAAAAAAAEAIAAAACIAAABkcnMvZG93bnJl&#10;di54bWxQSwECFAAUAAAACACHTuJAJivxH8wBAACXAwAADgAAAAAAAAABACAAAAAfAQAAZHJzL2Uy&#10;b0RvYy54bWxQSwUGAAAAAAYABgBZAQAAXQUAAAAA&#10;">
              <v:fill on="f" focussize="0,0"/>
              <v:stroke on="f"/>
              <v:imagedata o:title=""/>
              <o:lock v:ext="edit" aspectratio="f"/>
              <v:textbox inset="0mm,0mm,0mm,0mm" style="mso-fit-shape-to-text:t;">
                <w:txbxContent>
                  <w:p w14:paraId="4CC9E7DC">
                    <w:pPr>
                      <w:pStyle w:val="38"/>
                      <w:rPr>
                        <w:rFonts w:hint="eastAsia"/>
                      </w:rPr>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v:textbox>
            </v:shape>
          </w:pict>
        </mc:Fallback>
      </mc:AlternateContent>
    </w:r>
  </w:p>
  <w:p w14:paraId="7EDF345B">
    <w:pPr>
      <w:pStyle w:val="3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E6948">
    <w:pPr>
      <w:pStyle w:val="3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00A74"/>
    <w:multiLevelType w:val="singleLevel"/>
    <w:tmpl w:val="81300A74"/>
    <w:lvl w:ilvl="0" w:tentative="0">
      <w:start w:val="5"/>
      <w:numFmt w:val="chineseCounting"/>
      <w:suff w:val="nothing"/>
      <w:lvlText w:val="（%1）"/>
      <w:lvlJc w:val="left"/>
      <w:rPr>
        <w:rFonts w:hint="eastAsia"/>
      </w:rPr>
    </w:lvl>
  </w:abstractNum>
  <w:abstractNum w:abstractNumId="1">
    <w:nsid w:val="8E88A87D"/>
    <w:multiLevelType w:val="singleLevel"/>
    <w:tmpl w:val="8E88A87D"/>
    <w:lvl w:ilvl="0" w:tentative="0">
      <w:start w:val="1"/>
      <w:numFmt w:val="decimal"/>
      <w:suff w:val="nothing"/>
      <w:lvlText w:val="%1、"/>
      <w:lvlJc w:val="left"/>
    </w:lvl>
  </w:abstractNum>
  <w:abstractNum w:abstractNumId="2">
    <w:nsid w:val="95D2594C"/>
    <w:multiLevelType w:val="singleLevel"/>
    <w:tmpl w:val="95D2594C"/>
    <w:lvl w:ilvl="0" w:tentative="0">
      <w:start w:val="2"/>
      <w:numFmt w:val="decimal"/>
      <w:suff w:val="nothing"/>
      <w:lvlText w:val="（%1）"/>
      <w:lvlJc w:val="left"/>
    </w:lvl>
  </w:abstractNum>
  <w:abstractNum w:abstractNumId="3">
    <w:nsid w:val="C45A734A"/>
    <w:multiLevelType w:val="singleLevel"/>
    <w:tmpl w:val="C45A734A"/>
    <w:lvl w:ilvl="0" w:tentative="0">
      <w:start w:val="6"/>
      <w:numFmt w:val="chineseCounting"/>
      <w:suff w:val="space"/>
      <w:lvlText w:val="第%1篇"/>
      <w:lvlJc w:val="left"/>
      <w:rPr>
        <w:rFonts w:hint="eastAsia"/>
      </w:rPr>
    </w:lvl>
  </w:abstractNum>
  <w:abstractNum w:abstractNumId="4">
    <w:nsid w:val="E64440C9"/>
    <w:multiLevelType w:val="singleLevel"/>
    <w:tmpl w:val="E64440C9"/>
    <w:lvl w:ilvl="0" w:tentative="0">
      <w:start w:val="2"/>
      <w:numFmt w:val="chineseCounting"/>
      <w:suff w:val="space"/>
      <w:lvlText w:val="第%1部分"/>
      <w:lvlJc w:val="left"/>
      <w:rPr>
        <w:rFonts w:hint="eastAsia"/>
      </w:rPr>
    </w:lvl>
  </w:abstractNum>
  <w:abstractNum w:abstractNumId="5">
    <w:nsid w:val="00000001"/>
    <w:multiLevelType w:val="multilevel"/>
    <w:tmpl w:val="00000001"/>
    <w:lvl w:ilvl="0" w:tentative="0">
      <w:start w:val="1"/>
      <w:numFmt w:val="bullet"/>
      <w:pStyle w:val="180"/>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2"/>
    <w:multiLevelType w:val="singleLevel"/>
    <w:tmpl w:val="00000002"/>
    <w:lvl w:ilvl="0" w:tentative="0">
      <w:start w:val="1"/>
      <w:numFmt w:val="bullet"/>
      <w:pStyle w:val="199"/>
      <w:lvlText w:val=""/>
      <w:lvlJc w:val="left"/>
      <w:pPr>
        <w:tabs>
          <w:tab w:val="left" w:pos="360"/>
        </w:tabs>
        <w:ind w:left="360" w:hanging="360"/>
      </w:pPr>
      <w:rPr>
        <w:rFonts w:hint="default" w:ascii="Wingdings" w:hAnsi="Wingdings"/>
      </w:rPr>
    </w:lvl>
  </w:abstractNum>
  <w:abstractNum w:abstractNumId="7">
    <w:nsid w:val="00000004"/>
    <w:multiLevelType w:val="singleLevel"/>
    <w:tmpl w:val="00000004"/>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8">
    <w:nsid w:val="00000005"/>
    <w:multiLevelType w:val="multilevel"/>
    <w:tmpl w:val="00000005"/>
    <w:lvl w:ilvl="0" w:tentative="0">
      <w:start w:val="1"/>
      <w:numFmt w:val="bullet"/>
      <w:pStyle w:val="24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9">
    <w:nsid w:val="00000006"/>
    <w:multiLevelType w:val="singleLevel"/>
    <w:tmpl w:val="00000006"/>
    <w:lvl w:ilvl="0" w:tentative="0">
      <w:start w:val="1"/>
      <w:numFmt w:val="bullet"/>
      <w:pStyle w:val="361"/>
      <w:lvlText w:val=""/>
      <w:lvlJc w:val="left"/>
      <w:pPr>
        <w:tabs>
          <w:tab w:val="left" w:pos="1620"/>
        </w:tabs>
        <w:ind w:left="1620" w:hanging="360"/>
      </w:pPr>
      <w:rPr>
        <w:rFonts w:hint="default" w:ascii="Wingdings" w:hAnsi="Wingdings"/>
      </w:rPr>
    </w:lvl>
  </w:abstractNum>
  <w:abstractNum w:abstractNumId="10">
    <w:nsid w:val="00000007"/>
    <w:multiLevelType w:val="multilevel"/>
    <w:tmpl w:val="00000007"/>
    <w:lvl w:ilvl="0" w:tentative="0">
      <w:start w:val="1"/>
      <w:numFmt w:val="decimal"/>
      <w:pStyle w:val="22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08"/>
    <w:multiLevelType w:val="multilevel"/>
    <w:tmpl w:val="00000008"/>
    <w:lvl w:ilvl="0" w:tentative="0">
      <w:start w:val="1"/>
      <w:numFmt w:val="bullet"/>
      <w:pStyle w:val="299"/>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00000009"/>
    <w:multiLevelType w:val="singleLevel"/>
    <w:tmpl w:val="00000009"/>
    <w:lvl w:ilvl="0" w:tentative="0">
      <w:start w:val="1"/>
      <w:numFmt w:val="decimal"/>
      <w:pStyle w:val="14"/>
      <w:lvlText w:val="%1."/>
      <w:lvlJc w:val="left"/>
      <w:pPr>
        <w:tabs>
          <w:tab w:val="left" w:pos="425"/>
        </w:tabs>
        <w:ind w:left="425" w:hanging="425"/>
      </w:pPr>
      <w:rPr>
        <w:rFonts w:hint="default"/>
      </w:rPr>
    </w:lvl>
  </w:abstractNum>
  <w:abstractNum w:abstractNumId="13">
    <w:nsid w:val="0000000A"/>
    <w:multiLevelType w:val="singleLevel"/>
    <w:tmpl w:val="0000000A"/>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4">
    <w:nsid w:val="0000000B"/>
    <w:multiLevelType w:val="singleLevel"/>
    <w:tmpl w:val="0000000B"/>
    <w:lvl w:ilvl="0" w:tentative="0">
      <w:start w:val="1"/>
      <w:numFmt w:val="decimal"/>
      <w:pStyle w:val="333"/>
      <w:lvlText w:val="%1)"/>
      <w:lvlJc w:val="left"/>
      <w:pPr>
        <w:tabs>
          <w:tab w:val="left" w:pos="425"/>
        </w:tabs>
        <w:ind w:left="425" w:hanging="425"/>
      </w:pPr>
      <w:rPr>
        <w:rFonts w:hint="eastAsia"/>
      </w:rPr>
    </w:lvl>
  </w:abstractNum>
  <w:abstractNum w:abstractNumId="15">
    <w:nsid w:val="0000000C"/>
    <w:multiLevelType w:val="multilevel"/>
    <w:tmpl w:val="0000000C"/>
    <w:lvl w:ilvl="0" w:tentative="0">
      <w:start w:val="1"/>
      <w:numFmt w:val="chineseCountingThousand"/>
      <w:pStyle w:val="274"/>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390560B9"/>
    <w:multiLevelType w:val="singleLevel"/>
    <w:tmpl w:val="390560B9"/>
    <w:lvl w:ilvl="0" w:tentative="0">
      <w:start w:val="2"/>
      <w:numFmt w:val="chineseCounting"/>
      <w:suff w:val="nothing"/>
      <w:lvlText w:val="（%1）"/>
      <w:lvlJc w:val="left"/>
      <w:pPr>
        <w:ind w:left="80"/>
      </w:pPr>
      <w:rPr>
        <w:rFonts w:hint="eastAsia"/>
      </w:rPr>
    </w:lvl>
  </w:abstractNum>
  <w:abstractNum w:abstractNumId="17">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8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8">
    <w:nsid w:val="52714671"/>
    <w:multiLevelType w:val="singleLevel"/>
    <w:tmpl w:val="52714671"/>
    <w:lvl w:ilvl="0" w:tentative="0">
      <w:start w:val="1"/>
      <w:numFmt w:val="decimal"/>
      <w:suff w:val="nothing"/>
      <w:lvlText w:val="（%1）"/>
      <w:lvlJc w:val="left"/>
    </w:lvl>
  </w:abstractNum>
  <w:abstractNum w:abstractNumId="19">
    <w:nsid w:val="54F865DB"/>
    <w:multiLevelType w:val="multilevel"/>
    <w:tmpl w:val="54F865DB"/>
    <w:lvl w:ilvl="0" w:tentative="0">
      <w:start w:val="1"/>
      <w:numFmt w:val="upperLetter"/>
      <w:pStyle w:val="303"/>
      <w:suff w:val="nothing"/>
      <w:lvlText w:val="附　录　%1"/>
      <w:lvlJc w:val="left"/>
      <w:pPr>
        <w:ind w:left="0" w:firstLine="0"/>
      </w:pPr>
      <w:rPr>
        <w:rFonts w:hint="eastAsia" w:ascii="黑体" w:hAnsi="Times New Roman" w:eastAsia="黑体"/>
        <w:b w:val="0"/>
        <w:i w:val="0"/>
        <w:sz w:val="21"/>
      </w:rPr>
    </w:lvl>
    <w:lvl w:ilvl="1" w:tentative="0">
      <w:start w:val="1"/>
      <w:numFmt w:val="decimal"/>
      <w:pStyle w:val="254"/>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2"/>
  </w:num>
  <w:num w:numId="2">
    <w:abstractNumId w:val="7"/>
  </w:num>
  <w:num w:numId="3">
    <w:abstractNumId w:val="13"/>
  </w:num>
  <w:num w:numId="4">
    <w:abstractNumId w:val="5"/>
  </w:num>
  <w:num w:numId="5">
    <w:abstractNumId w:val="6"/>
  </w:num>
  <w:num w:numId="6">
    <w:abstractNumId w:val="10"/>
  </w:num>
  <w:num w:numId="7">
    <w:abstractNumId w:val="8"/>
  </w:num>
  <w:num w:numId="8">
    <w:abstractNumId w:val="19"/>
  </w:num>
  <w:num w:numId="9">
    <w:abstractNumId w:val="15"/>
  </w:num>
  <w:num w:numId="10">
    <w:abstractNumId w:val="11"/>
  </w:num>
  <w:num w:numId="11">
    <w:abstractNumId w:val="14"/>
  </w:num>
  <w:num w:numId="12">
    <w:abstractNumId w:val="9"/>
  </w:num>
  <w:num w:numId="13">
    <w:abstractNumId w:val="17"/>
  </w:num>
  <w:num w:numId="14">
    <w:abstractNumId w:val="16"/>
  </w:num>
  <w:num w:numId="15">
    <w:abstractNumId w:val="3"/>
  </w:num>
  <w:num w:numId="16">
    <w:abstractNumId w:val="4"/>
  </w:num>
  <w:num w:numId="17">
    <w:abstractNumId w:val="2"/>
  </w:num>
  <w:num w:numId="18">
    <w:abstractNumId w:val="18"/>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yNDRjMTY1Mzc0MjE4MjI1MmYzZWFhZTg5ZTlhMDEifQ=="/>
  </w:docVars>
  <w:rsids>
    <w:rsidRoot w:val="00EE39AB"/>
    <w:rsid w:val="00001A5C"/>
    <w:rsid w:val="00016789"/>
    <w:rsid w:val="00021097"/>
    <w:rsid w:val="00021376"/>
    <w:rsid w:val="000B0533"/>
    <w:rsid w:val="000D1A37"/>
    <w:rsid w:val="000D35DA"/>
    <w:rsid w:val="000D4234"/>
    <w:rsid w:val="000E1AE2"/>
    <w:rsid w:val="00100DE5"/>
    <w:rsid w:val="001A1D2C"/>
    <w:rsid w:val="001A73E8"/>
    <w:rsid w:val="001C3FA0"/>
    <w:rsid w:val="001E38AE"/>
    <w:rsid w:val="001E4F72"/>
    <w:rsid w:val="00220F89"/>
    <w:rsid w:val="0023346B"/>
    <w:rsid w:val="00237757"/>
    <w:rsid w:val="00260A05"/>
    <w:rsid w:val="00272367"/>
    <w:rsid w:val="0028454A"/>
    <w:rsid w:val="00290503"/>
    <w:rsid w:val="002B3EA7"/>
    <w:rsid w:val="002D4D4A"/>
    <w:rsid w:val="002E0F55"/>
    <w:rsid w:val="002E4450"/>
    <w:rsid w:val="002F4077"/>
    <w:rsid w:val="002F6837"/>
    <w:rsid w:val="00317660"/>
    <w:rsid w:val="00332D22"/>
    <w:rsid w:val="00341E21"/>
    <w:rsid w:val="00345439"/>
    <w:rsid w:val="00351E62"/>
    <w:rsid w:val="00365688"/>
    <w:rsid w:val="00367923"/>
    <w:rsid w:val="003958B8"/>
    <w:rsid w:val="003B09E9"/>
    <w:rsid w:val="003E6FB9"/>
    <w:rsid w:val="003F39E8"/>
    <w:rsid w:val="003F70B7"/>
    <w:rsid w:val="00404E37"/>
    <w:rsid w:val="00424DE7"/>
    <w:rsid w:val="00435477"/>
    <w:rsid w:val="00475A35"/>
    <w:rsid w:val="004D4DC6"/>
    <w:rsid w:val="004E1E77"/>
    <w:rsid w:val="00502E26"/>
    <w:rsid w:val="00520A37"/>
    <w:rsid w:val="00530199"/>
    <w:rsid w:val="005429D6"/>
    <w:rsid w:val="00556CFD"/>
    <w:rsid w:val="00563FE1"/>
    <w:rsid w:val="0056505F"/>
    <w:rsid w:val="00572F39"/>
    <w:rsid w:val="005B3372"/>
    <w:rsid w:val="005B3E42"/>
    <w:rsid w:val="005C69A9"/>
    <w:rsid w:val="005D488F"/>
    <w:rsid w:val="005F2760"/>
    <w:rsid w:val="005F7820"/>
    <w:rsid w:val="0060488D"/>
    <w:rsid w:val="00612B73"/>
    <w:rsid w:val="006242FF"/>
    <w:rsid w:val="00634D57"/>
    <w:rsid w:val="00642E0B"/>
    <w:rsid w:val="006515E6"/>
    <w:rsid w:val="0065233F"/>
    <w:rsid w:val="00656692"/>
    <w:rsid w:val="0069160B"/>
    <w:rsid w:val="006A6BFA"/>
    <w:rsid w:val="006C1F82"/>
    <w:rsid w:val="006C2038"/>
    <w:rsid w:val="006F24CA"/>
    <w:rsid w:val="00700074"/>
    <w:rsid w:val="007232C2"/>
    <w:rsid w:val="00725EBC"/>
    <w:rsid w:val="007368C7"/>
    <w:rsid w:val="00743FFC"/>
    <w:rsid w:val="00762959"/>
    <w:rsid w:val="00771FD2"/>
    <w:rsid w:val="00785AE3"/>
    <w:rsid w:val="00794DF8"/>
    <w:rsid w:val="007B70CE"/>
    <w:rsid w:val="007F7C05"/>
    <w:rsid w:val="00820881"/>
    <w:rsid w:val="00824069"/>
    <w:rsid w:val="0082440E"/>
    <w:rsid w:val="00825BDF"/>
    <w:rsid w:val="008324C6"/>
    <w:rsid w:val="0084202F"/>
    <w:rsid w:val="00861617"/>
    <w:rsid w:val="00871673"/>
    <w:rsid w:val="008875EF"/>
    <w:rsid w:val="008A4F28"/>
    <w:rsid w:val="008C6761"/>
    <w:rsid w:val="008E104D"/>
    <w:rsid w:val="008F1039"/>
    <w:rsid w:val="009069F3"/>
    <w:rsid w:val="00921F30"/>
    <w:rsid w:val="00952CB5"/>
    <w:rsid w:val="00960355"/>
    <w:rsid w:val="0097627C"/>
    <w:rsid w:val="0097682E"/>
    <w:rsid w:val="009817B3"/>
    <w:rsid w:val="00984EB8"/>
    <w:rsid w:val="009A3FA1"/>
    <w:rsid w:val="009B406F"/>
    <w:rsid w:val="009B6F4B"/>
    <w:rsid w:val="009D57E3"/>
    <w:rsid w:val="009D5FD5"/>
    <w:rsid w:val="009E18A4"/>
    <w:rsid w:val="00A129DE"/>
    <w:rsid w:val="00A21857"/>
    <w:rsid w:val="00A6451E"/>
    <w:rsid w:val="00A96FC2"/>
    <w:rsid w:val="00AB3462"/>
    <w:rsid w:val="00AD0D07"/>
    <w:rsid w:val="00B27E42"/>
    <w:rsid w:val="00B318E4"/>
    <w:rsid w:val="00B34550"/>
    <w:rsid w:val="00B53B5E"/>
    <w:rsid w:val="00B70B23"/>
    <w:rsid w:val="00B90154"/>
    <w:rsid w:val="00BE0F17"/>
    <w:rsid w:val="00BE49BE"/>
    <w:rsid w:val="00BF2D45"/>
    <w:rsid w:val="00BF33C0"/>
    <w:rsid w:val="00BF704E"/>
    <w:rsid w:val="00C10A27"/>
    <w:rsid w:val="00C264F3"/>
    <w:rsid w:val="00C31C40"/>
    <w:rsid w:val="00C66BB9"/>
    <w:rsid w:val="00C85F9F"/>
    <w:rsid w:val="00CB3C44"/>
    <w:rsid w:val="00CB7EE0"/>
    <w:rsid w:val="00CD3C6A"/>
    <w:rsid w:val="00CD6898"/>
    <w:rsid w:val="00D142D4"/>
    <w:rsid w:val="00D245EF"/>
    <w:rsid w:val="00D3528B"/>
    <w:rsid w:val="00D563B3"/>
    <w:rsid w:val="00D81573"/>
    <w:rsid w:val="00D819B7"/>
    <w:rsid w:val="00D92153"/>
    <w:rsid w:val="00DA56D5"/>
    <w:rsid w:val="00DE0B8D"/>
    <w:rsid w:val="00E0280B"/>
    <w:rsid w:val="00E3346D"/>
    <w:rsid w:val="00E47A61"/>
    <w:rsid w:val="00E532FF"/>
    <w:rsid w:val="00E725A7"/>
    <w:rsid w:val="00E81CAF"/>
    <w:rsid w:val="00E9358F"/>
    <w:rsid w:val="00EA1D12"/>
    <w:rsid w:val="00EA306B"/>
    <w:rsid w:val="00EE355B"/>
    <w:rsid w:val="00EE39AB"/>
    <w:rsid w:val="00F301EA"/>
    <w:rsid w:val="00F36616"/>
    <w:rsid w:val="00F404D4"/>
    <w:rsid w:val="00F45106"/>
    <w:rsid w:val="00F6637A"/>
    <w:rsid w:val="00F674AB"/>
    <w:rsid w:val="00F8714C"/>
    <w:rsid w:val="00F95481"/>
    <w:rsid w:val="00FB3DBC"/>
    <w:rsid w:val="00FC5F2E"/>
    <w:rsid w:val="011252A5"/>
    <w:rsid w:val="0120510D"/>
    <w:rsid w:val="01211AD4"/>
    <w:rsid w:val="0147153B"/>
    <w:rsid w:val="015D329E"/>
    <w:rsid w:val="016622FC"/>
    <w:rsid w:val="016C149F"/>
    <w:rsid w:val="016F4DA6"/>
    <w:rsid w:val="01897993"/>
    <w:rsid w:val="01914DAD"/>
    <w:rsid w:val="0193166C"/>
    <w:rsid w:val="01966266"/>
    <w:rsid w:val="01A66C10"/>
    <w:rsid w:val="01A71FD9"/>
    <w:rsid w:val="01AD28EF"/>
    <w:rsid w:val="01B14C06"/>
    <w:rsid w:val="02167799"/>
    <w:rsid w:val="0275233D"/>
    <w:rsid w:val="02A426AA"/>
    <w:rsid w:val="02A904A1"/>
    <w:rsid w:val="02AE7397"/>
    <w:rsid w:val="02BF6684"/>
    <w:rsid w:val="02CA1EB1"/>
    <w:rsid w:val="02D45AC0"/>
    <w:rsid w:val="02EB3C7C"/>
    <w:rsid w:val="02EE1086"/>
    <w:rsid w:val="02FC758B"/>
    <w:rsid w:val="030527A6"/>
    <w:rsid w:val="03052C5C"/>
    <w:rsid w:val="03123DCA"/>
    <w:rsid w:val="03136C76"/>
    <w:rsid w:val="032B082C"/>
    <w:rsid w:val="033462EF"/>
    <w:rsid w:val="034A1F08"/>
    <w:rsid w:val="034B55DC"/>
    <w:rsid w:val="03726C42"/>
    <w:rsid w:val="03804B57"/>
    <w:rsid w:val="03900CC0"/>
    <w:rsid w:val="03984DFB"/>
    <w:rsid w:val="03A013D6"/>
    <w:rsid w:val="03A16859"/>
    <w:rsid w:val="03BE4127"/>
    <w:rsid w:val="03C1660E"/>
    <w:rsid w:val="03CC7F6E"/>
    <w:rsid w:val="03DE21C1"/>
    <w:rsid w:val="0417633F"/>
    <w:rsid w:val="04182B1A"/>
    <w:rsid w:val="0446618F"/>
    <w:rsid w:val="04471852"/>
    <w:rsid w:val="04720BC8"/>
    <w:rsid w:val="04775B53"/>
    <w:rsid w:val="048D2141"/>
    <w:rsid w:val="04A42800"/>
    <w:rsid w:val="04D05CEB"/>
    <w:rsid w:val="050E530B"/>
    <w:rsid w:val="052F2A11"/>
    <w:rsid w:val="05306B0B"/>
    <w:rsid w:val="05420D44"/>
    <w:rsid w:val="05463E0D"/>
    <w:rsid w:val="055C132D"/>
    <w:rsid w:val="05676EDD"/>
    <w:rsid w:val="057B0424"/>
    <w:rsid w:val="057D6F2B"/>
    <w:rsid w:val="05C945A2"/>
    <w:rsid w:val="05F872A7"/>
    <w:rsid w:val="060D1105"/>
    <w:rsid w:val="06831F7D"/>
    <w:rsid w:val="068E19BA"/>
    <w:rsid w:val="069A1BF8"/>
    <w:rsid w:val="069A210C"/>
    <w:rsid w:val="06BE20C2"/>
    <w:rsid w:val="06E5236E"/>
    <w:rsid w:val="07171649"/>
    <w:rsid w:val="07797F74"/>
    <w:rsid w:val="07A11DFA"/>
    <w:rsid w:val="07AF7340"/>
    <w:rsid w:val="07C421AC"/>
    <w:rsid w:val="07F12200"/>
    <w:rsid w:val="080A4163"/>
    <w:rsid w:val="0810753B"/>
    <w:rsid w:val="08600069"/>
    <w:rsid w:val="08713341"/>
    <w:rsid w:val="089352D4"/>
    <w:rsid w:val="089C2F11"/>
    <w:rsid w:val="08A74C17"/>
    <w:rsid w:val="08A869F8"/>
    <w:rsid w:val="08CC67C9"/>
    <w:rsid w:val="08D93A2A"/>
    <w:rsid w:val="091066B6"/>
    <w:rsid w:val="09271C52"/>
    <w:rsid w:val="09287EA3"/>
    <w:rsid w:val="09333501"/>
    <w:rsid w:val="09451F87"/>
    <w:rsid w:val="095435C4"/>
    <w:rsid w:val="0967297B"/>
    <w:rsid w:val="09677181"/>
    <w:rsid w:val="097A34B2"/>
    <w:rsid w:val="098717CC"/>
    <w:rsid w:val="09927E10"/>
    <w:rsid w:val="09970B85"/>
    <w:rsid w:val="09C90306"/>
    <w:rsid w:val="09D354D4"/>
    <w:rsid w:val="0A0869AB"/>
    <w:rsid w:val="0A310187"/>
    <w:rsid w:val="0A432ABB"/>
    <w:rsid w:val="0A661CB2"/>
    <w:rsid w:val="0A696D2F"/>
    <w:rsid w:val="0A73514E"/>
    <w:rsid w:val="0A826D85"/>
    <w:rsid w:val="0AB37C41"/>
    <w:rsid w:val="0AC91CF5"/>
    <w:rsid w:val="0AD8582A"/>
    <w:rsid w:val="0ADE52FB"/>
    <w:rsid w:val="0B5A4560"/>
    <w:rsid w:val="0B725656"/>
    <w:rsid w:val="0B863E1B"/>
    <w:rsid w:val="0B8D2240"/>
    <w:rsid w:val="0BB319DF"/>
    <w:rsid w:val="0BDB09C6"/>
    <w:rsid w:val="0BE8618A"/>
    <w:rsid w:val="0BF84FAD"/>
    <w:rsid w:val="0C0C0F43"/>
    <w:rsid w:val="0C0F0EA7"/>
    <w:rsid w:val="0C3A5E22"/>
    <w:rsid w:val="0C41127C"/>
    <w:rsid w:val="0C4E7C1D"/>
    <w:rsid w:val="0C5953CC"/>
    <w:rsid w:val="0C8344D6"/>
    <w:rsid w:val="0CA628FD"/>
    <w:rsid w:val="0CAA59E7"/>
    <w:rsid w:val="0CAD06C0"/>
    <w:rsid w:val="0CD56232"/>
    <w:rsid w:val="0CEC23AD"/>
    <w:rsid w:val="0CF956B3"/>
    <w:rsid w:val="0CFC0E63"/>
    <w:rsid w:val="0D1F511A"/>
    <w:rsid w:val="0D344206"/>
    <w:rsid w:val="0D4234FE"/>
    <w:rsid w:val="0D470B14"/>
    <w:rsid w:val="0D5325AB"/>
    <w:rsid w:val="0D9F0822"/>
    <w:rsid w:val="0DAE46EF"/>
    <w:rsid w:val="0DC92BD9"/>
    <w:rsid w:val="0DED6FC6"/>
    <w:rsid w:val="0E286250"/>
    <w:rsid w:val="0E493C18"/>
    <w:rsid w:val="0E8B2881"/>
    <w:rsid w:val="0E96765D"/>
    <w:rsid w:val="0EC046DA"/>
    <w:rsid w:val="0EC341CA"/>
    <w:rsid w:val="0EC646D6"/>
    <w:rsid w:val="0ECA4388"/>
    <w:rsid w:val="0EDE591C"/>
    <w:rsid w:val="0EEF1133"/>
    <w:rsid w:val="0EFE168B"/>
    <w:rsid w:val="0F16254C"/>
    <w:rsid w:val="0F4B4396"/>
    <w:rsid w:val="0F5D63CD"/>
    <w:rsid w:val="0F82150A"/>
    <w:rsid w:val="0F823732"/>
    <w:rsid w:val="0F8B4CE8"/>
    <w:rsid w:val="0F9B1343"/>
    <w:rsid w:val="0F9D2C6D"/>
    <w:rsid w:val="0FA855DC"/>
    <w:rsid w:val="0FB00BA1"/>
    <w:rsid w:val="0FC93BAC"/>
    <w:rsid w:val="0FCE5AA7"/>
    <w:rsid w:val="0FE71E38"/>
    <w:rsid w:val="0FED59A3"/>
    <w:rsid w:val="0FFD1F8A"/>
    <w:rsid w:val="10134CDE"/>
    <w:rsid w:val="10260C4A"/>
    <w:rsid w:val="106A6870"/>
    <w:rsid w:val="107A09F3"/>
    <w:rsid w:val="109C2F25"/>
    <w:rsid w:val="10D64E3F"/>
    <w:rsid w:val="10D821AF"/>
    <w:rsid w:val="11195D33"/>
    <w:rsid w:val="114478F3"/>
    <w:rsid w:val="11497791"/>
    <w:rsid w:val="114B275F"/>
    <w:rsid w:val="114F61E9"/>
    <w:rsid w:val="11534026"/>
    <w:rsid w:val="11625F1D"/>
    <w:rsid w:val="116D542C"/>
    <w:rsid w:val="11B175BA"/>
    <w:rsid w:val="11C35425"/>
    <w:rsid w:val="11D0732A"/>
    <w:rsid w:val="120D5F1A"/>
    <w:rsid w:val="12462A13"/>
    <w:rsid w:val="125A21BA"/>
    <w:rsid w:val="12B73285"/>
    <w:rsid w:val="12BE4CF0"/>
    <w:rsid w:val="12BE7514"/>
    <w:rsid w:val="12C45546"/>
    <w:rsid w:val="12CA1FCB"/>
    <w:rsid w:val="12F23667"/>
    <w:rsid w:val="13142914"/>
    <w:rsid w:val="13182D37"/>
    <w:rsid w:val="131A5D86"/>
    <w:rsid w:val="13450785"/>
    <w:rsid w:val="13492C3E"/>
    <w:rsid w:val="13541895"/>
    <w:rsid w:val="136832FB"/>
    <w:rsid w:val="136C13C9"/>
    <w:rsid w:val="137D5290"/>
    <w:rsid w:val="1380268A"/>
    <w:rsid w:val="13897D95"/>
    <w:rsid w:val="138A3509"/>
    <w:rsid w:val="139B3968"/>
    <w:rsid w:val="13BD568C"/>
    <w:rsid w:val="14127CFB"/>
    <w:rsid w:val="14210BAF"/>
    <w:rsid w:val="14414227"/>
    <w:rsid w:val="148B71F2"/>
    <w:rsid w:val="14AC506E"/>
    <w:rsid w:val="14B758D9"/>
    <w:rsid w:val="14C34F24"/>
    <w:rsid w:val="14DC2624"/>
    <w:rsid w:val="14EC556C"/>
    <w:rsid w:val="14ED4C07"/>
    <w:rsid w:val="15011746"/>
    <w:rsid w:val="150A6C50"/>
    <w:rsid w:val="152622CD"/>
    <w:rsid w:val="152B4878"/>
    <w:rsid w:val="156C1313"/>
    <w:rsid w:val="15704FA4"/>
    <w:rsid w:val="15777BAE"/>
    <w:rsid w:val="159D6AB8"/>
    <w:rsid w:val="15A01B22"/>
    <w:rsid w:val="15B14A44"/>
    <w:rsid w:val="15BB103C"/>
    <w:rsid w:val="15CC520E"/>
    <w:rsid w:val="15EA028F"/>
    <w:rsid w:val="15EC53BE"/>
    <w:rsid w:val="160010AB"/>
    <w:rsid w:val="16037773"/>
    <w:rsid w:val="164D5A97"/>
    <w:rsid w:val="165B045C"/>
    <w:rsid w:val="16AD13EE"/>
    <w:rsid w:val="173C0FBE"/>
    <w:rsid w:val="175F4DEF"/>
    <w:rsid w:val="176D3360"/>
    <w:rsid w:val="178960E8"/>
    <w:rsid w:val="178E7A6B"/>
    <w:rsid w:val="17BE4FC6"/>
    <w:rsid w:val="17D71D32"/>
    <w:rsid w:val="17EE22B8"/>
    <w:rsid w:val="17F3777E"/>
    <w:rsid w:val="17FA5A9D"/>
    <w:rsid w:val="18056756"/>
    <w:rsid w:val="1816671D"/>
    <w:rsid w:val="18475E6C"/>
    <w:rsid w:val="185E4CC5"/>
    <w:rsid w:val="186B56B7"/>
    <w:rsid w:val="187A0187"/>
    <w:rsid w:val="18AB1F57"/>
    <w:rsid w:val="18AD6299"/>
    <w:rsid w:val="18E51BB8"/>
    <w:rsid w:val="18F338FE"/>
    <w:rsid w:val="190074CB"/>
    <w:rsid w:val="19043EF9"/>
    <w:rsid w:val="19410B0E"/>
    <w:rsid w:val="19474DFF"/>
    <w:rsid w:val="1976106E"/>
    <w:rsid w:val="19801636"/>
    <w:rsid w:val="19A34C5C"/>
    <w:rsid w:val="19B54B1C"/>
    <w:rsid w:val="19DD17D0"/>
    <w:rsid w:val="19E8093A"/>
    <w:rsid w:val="19F175EA"/>
    <w:rsid w:val="19F35727"/>
    <w:rsid w:val="1A026D2C"/>
    <w:rsid w:val="1A0E4685"/>
    <w:rsid w:val="1A231FC1"/>
    <w:rsid w:val="1A614337"/>
    <w:rsid w:val="1A686637"/>
    <w:rsid w:val="1A6B4094"/>
    <w:rsid w:val="1A974E89"/>
    <w:rsid w:val="1A9810B8"/>
    <w:rsid w:val="1A9D3CF0"/>
    <w:rsid w:val="1AAB2622"/>
    <w:rsid w:val="1AAB4490"/>
    <w:rsid w:val="1AEA23F8"/>
    <w:rsid w:val="1AF851FC"/>
    <w:rsid w:val="1AFE2976"/>
    <w:rsid w:val="1B017B61"/>
    <w:rsid w:val="1B067A96"/>
    <w:rsid w:val="1B3C77DE"/>
    <w:rsid w:val="1B55319F"/>
    <w:rsid w:val="1B684130"/>
    <w:rsid w:val="1B806CE9"/>
    <w:rsid w:val="1B9A3A81"/>
    <w:rsid w:val="1BBD7954"/>
    <w:rsid w:val="1BE90209"/>
    <w:rsid w:val="1BEA58FD"/>
    <w:rsid w:val="1BF04D31"/>
    <w:rsid w:val="1BFC4701"/>
    <w:rsid w:val="1C2D2DA0"/>
    <w:rsid w:val="1C2E5A66"/>
    <w:rsid w:val="1C536B8E"/>
    <w:rsid w:val="1C67088B"/>
    <w:rsid w:val="1C766D20"/>
    <w:rsid w:val="1C9606E0"/>
    <w:rsid w:val="1CA83733"/>
    <w:rsid w:val="1CCB785F"/>
    <w:rsid w:val="1CE30315"/>
    <w:rsid w:val="1CF3211F"/>
    <w:rsid w:val="1D195886"/>
    <w:rsid w:val="1D1E53EE"/>
    <w:rsid w:val="1D2572EE"/>
    <w:rsid w:val="1D4604A0"/>
    <w:rsid w:val="1D4961E3"/>
    <w:rsid w:val="1D4D182F"/>
    <w:rsid w:val="1D4D67EE"/>
    <w:rsid w:val="1D8E1D40"/>
    <w:rsid w:val="1D9C4564"/>
    <w:rsid w:val="1DD97567"/>
    <w:rsid w:val="1E223086"/>
    <w:rsid w:val="1E4A5203"/>
    <w:rsid w:val="1E4F0A73"/>
    <w:rsid w:val="1E676920"/>
    <w:rsid w:val="1E764DB5"/>
    <w:rsid w:val="1E7A4EA8"/>
    <w:rsid w:val="1E8705EE"/>
    <w:rsid w:val="1E935967"/>
    <w:rsid w:val="1EAC07D7"/>
    <w:rsid w:val="1EB00EBC"/>
    <w:rsid w:val="1ECD36FB"/>
    <w:rsid w:val="1ED40414"/>
    <w:rsid w:val="1EE528A7"/>
    <w:rsid w:val="1EE75CB3"/>
    <w:rsid w:val="1F0C74C8"/>
    <w:rsid w:val="1F1A70F4"/>
    <w:rsid w:val="1F2A46BF"/>
    <w:rsid w:val="1F470500"/>
    <w:rsid w:val="1F4861AA"/>
    <w:rsid w:val="1F4C5B16"/>
    <w:rsid w:val="1F4D3D68"/>
    <w:rsid w:val="1F996C3D"/>
    <w:rsid w:val="1FA55A2E"/>
    <w:rsid w:val="1FB33A33"/>
    <w:rsid w:val="1FE223E3"/>
    <w:rsid w:val="1FFC5694"/>
    <w:rsid w:val="1FFF695C"/>
    <w:rsid w:val="202B1BD0"/>
    <w:rsid w:val="202E0D71"/>
    <w:rsid w:val="20477F87"/>
    <w:rsid w:val="204D1B46"/>
    <w:rsid w:val="20752BA2"/>
    <w:rsid w:val="207E61A3"/>
    <w:rsid w:val="208D41D2"/>
    <w:rsid w:val="209F2433"/>
    <w:rsid w:val="20BF7061"/>
    <w:rsid w:val="20DB35F6"/>
    <w:rsid w:val="20DB4653"/>
    <w:rsid w:val="21333432"/>
    <w:rsid w:val="213F215E"/>
    <w:rsid w:val="213F520D"/>
    <w:rsid w:val="214D3D79"/>
    <w:rsid w:val="216E1D7D"/>
    <w:rsid w:val="216E446A"/>
    <w:rsid w:val="21BF051D"/>
    <w:rsid w:val="21C65FE8"/>
    <w:rsid w:val="21EE3AEA"/>
    <w:rsid w:val="222F3BF9"/>
    <w:rsid w:val="223167BE"/>
    <w:rsid w:val="224270DA"/>
    <w:rsid w:val="2282521A"/>
    <w:rsid w:val="22895006"/>
    <w:rsid w:val="22923AD3"/>
    <w:rsid w:val="229366B3"/>
    <w:rsid w:val="22B67E76"/>
    <w:rsid w:val="22C45A5A"/>
    <w:rsid w:val="22C5067A"/>
    <w:rsid w:val="22D14A4C"/>
    <w:rsid w:val="23096023"/>
    <w:rsid w:val="23103A2A"/>
    <w:rsid w:val="231E01C4"/>
    <w:rsid w:val="23436FC0"/>
    <w:rsid w:val="234E00AF"/>
    <w:rsid w:val="23514CF6"/>
    <w:rsid w:val="23720241"/>
    <w:rsid w:val="239E4995"/>
    <w:rsid w:val="23C640E9"/>
    <w:rsid w:val="23F073B8"/>
    <w:rsid w:val="23FD5146"/>
    <w:rsid w:val="24257BFD"/>
    <w:rsid w:val="24572F93"/>
    <w:rsid w:val="247D028C"/>
    <w:rsid w:val="248A0A3D"/>
    <w:rsid w:val="24916F81"/>
    <w:rsid w:val="24B2657A"/>
    <w:rsid w:val="24D31D0B"/>
    <w:rsid w:val="24DD3C24"/>
    <w:rsid w:val="250273A3"/>
    <w:rsid w:val="25063B0E"/>
    <w:rsid w:val="25274F1B"/>
    <w:rsid w:val="25276704"/>
    <w:rsid w:val="252C3B2C"/>
    <w:rsid w:val="252E2902"/>
    <w:rsid w:val="25435F18"/>
    <w:rsid w:val="25602C34"/>
    <w:rsid w:val="2576348C"/>
    <w:rsid w:val="25801278"/>
    <w:rsid w:val="258778A8"/>
    <w:rsid w:val="25A466AC"/>
    <w:rsid w:val="25A93136"/>
    <w:rsid w:val="25B3069D"/>
    <w:rsid w:val="25D961D0"/>
    <w:rsid w:val="25F018F1"/>
    <w:rsid w:val="25F24769"/>
    <w:rsid w:val="26217CFD"/>
    <w:rsid w:val="26B166FF"/>
    <w:rsid w:val="26CD7528"/>
    <w:rsid w:val="26D227E7"/>
    <w:rsid w:val="26E80B06"/>
    <w:rsid w:val="27333651"/>
    <w:rsid w:val="27363334"/>
    <w:rsid w:val="27475541"/>
    <w:rsid w:val="27676AF8"/>
    <w:rsid w:val="27735A1F"/>
    <w:rsid w:val="2779686C"/>
    <w:rsid w:val="27AC1848"/>
    <w:rsid w:val="27B20A9C"/>
    <w:rsid w:val="27BD6C9C"/>
    <w:rsid w:val="27C36786"/>
    <w:rsid w:val="27C43035"/>
    <w:rsid w:val="282B4E63"/>
    <w:rsid w:val="28443D9C"/>
    <w:rsid w:val="284C2C15"/>
    <w:rsid w:val="284C4C3E"/>
    <w:rsid w:val="285A2C3A"/>
    <w:rsid w:val="289B0711"/>
    <w:rsid w:val="289C2F2E"/>
    <w:rsid w:val="28A45B9D"/>
    <w:rsid w:val="28AF339E"/>
    <w:rsid w:val="28C055AB"/>
    <w:rsid w:val="28C1688D"/>
    <w:rsid w:val="28C657AC"/>
    <w:rsid w:val="28DE0127"/>
    <w:rsid w:val="28FE70EC"/>
    <w:rsid w:val="2908744F"/>
    <w:rsid w:val="290B39DC"/>
    <w:rsid w:val="29253660"/>
    <w:rsid w:val="295470C2"/>
    <w:rsid w:val="295C30F4"/>
    <w:rsid w:val="2978504E"/>
    <w:rsid w:val="29C61A3E"/>
    <w:rsid w:val="2A220A40"/>
    <w:rsid w:val="2A277E21"/>
    <w:rsid w:val="2A445EEB"/>
    <w:rsid w:val="2A5812C3"/>
    <w:rsid w:val="2A5E7F95"/>
    <w:rsid w:val="2A944F41"/>
    <w:rsid w:val="2AB718E1"/>
    <w:rsid w:val="2AB845D9"/>
    <w:rsid w:val="2AB9599B"/>
    <w:rsid w:val="2AFC6642"/>
    <w:rsid w:val="2AFE23BA"/>
    <w:rsid w:val="2B4116B1"/>
    <w:rsid w:val="2B41674B"/>
    <w:rsid w:val="2B9A4002"/>
    <w:rsid w:val="2B9F572A"/>
    <w:rsid w:val="2BAA69F8"/>
    <w:rsid w:val="2BD22280"/>
    <w:rsid w:val="2BDD15B2"/>
    <w:rsid w:val="2C1861F1"/>
    <w:rsid w:val="2C222FE3"/>
    <w:rsid w:val="2C316ACD"/>
    <w:rsid w:val="2C327ED5"/>
    <w:rsid w:val="2C57025D"/>
    <w:rsid w:val="2C5F5FDF"/>
    <w:rsid w:val="2C604777"/>
    <w:rsid w:val="2C6646BB"/>
    <w:rsid w:val="2CD76BE7"/>
    <w:rsid w:val="2CD8693B"/>
    <w:rsid w:val="2CFA64EC"/>
    <w:rsid w:val="2D1C5FDF"/>
    <w:rsid w:val="2D23435A"/>
    <w:rsid w:val="2D261C60"/>
    <w:rsid w:val="2D316684"/>
    <w:rsid w:val="2D354E16"/>
    <w:rsid w:val="2D6B05ED"/>
    <w:rsid w:val="2D7C1CBC"/>
    <w:rsid w:val="2DCB1063"/>
    <w:rsid w:val="2DD34DB1"/>
    <w:rsid w:val="2DDA4C9A"/>
    <w:rsid w:val="2DFD3E6B"/>
    <w:rsid w:val="2E1819E5"/>
    <w:rsid w:val="2E1F0887"/>
    <w:rsid w:val="2E242797"/>
    <w:rsid w:val="2E5642BC"/>
    <w:rsid w:val="2E9A75B6"/>
    <w:rsid w:val="2EAA6AFB"/>
    <w:rsid w:val="2EC622A9"/>
    <w:rsid w:val="2EE542C4"/>
    <w:rsid w:val="2F083152"/>
    <w:rsid w:val="2F0E0EF2"/>
    <w:rsid w:val="2F103898"/>
    <w:rsid w:val="2F1C638E"/>
    <w:rsid w:val="2F1F5442"/>
    <w:rsid w:val="2F807568"/>
    <w:rsid w:val="2FB877E8"/>
    <w:rsid w:val="2FCE4F9E"/>
    <w:rsid w:val="2FE14059"/>
    <w:rsid w:val="301C78C6"/>
    <w:rsid w:val="3037083C"/>
    <w:rsid w:val="3038011D"/>
    <w:rsid w:val="303A69DD"/>
    <w:rsid w:val="305F15B7"/>
    <w:rsid w:val="309335A5"/>
    <w:rsid w:val="30A12166"/>
    <w:rsid w:val="30CE0A81"/>
    <w:rsid w:val="30D06356"/>
    <w:rsid w:val="30DC319E"/>
    <w:rsid w:val="30DE18A2"/>
    <w:rsid w:val="30EA450A"/>
    <w:rsid w:val="30EB7F92"/>
    <w:rsid w:val="30EC0F07"/>
    <w:rsid w:val="312D7277"/>
    <w:rsid w:val="316D5680"/>
    <w:rsid w:val="317A4765"/>
    <w:rsid w:val="319C0B7F"/>
    <w:rsid w:val="31C1669D"/>
    <w:rsid w:val="31D41125"/>
    <w:rsid w:val="31D64091"/>
    <w:rsid w:val="31FE7144"/>
    <w:rsid w:val="3208573F"/>
    <w:rsid w:val="32095D09"/>
    <w:rsid w:val="32211576"/>
    <w:rsid w:val="32541BBF"/>
    <w:rsid w:val="32695F1B"/>
    <w:rsid w:val="327B7B6B"/>
    <w:rsid w:val="32847649"/>
    <w:rsid w:val="32851613"/>
    <w:rsid w:val="328865F4"/>
    <w:rsid w:val="32AB107A"/>
    <w:rsid w:val="32AD41D4"/>
    <w:rsid w:val="32F02F31"/>
    <w:rsid w:val="331D0913"/>
    <w:rsid w:val="33242BDA"/>
    <w:rsid w:val="3341553A"/>
    <w:rsid w:val="336134F5"/>
    <w:rsid w:val="33890C8F"/>
    <w:rsid w:val="339A66C5"/>
    <w:rsid w:val="33F32DD8"/>
    <w:rsid w:val="33FF71DA"/>
    <w:rsid w:val="340B58B2"/>
    <w:rsid w:val="34382A36"/>
    <w:rsid w:val="344B78F6"/>
    <w:rsid w:val="34563E00"/>
    <w:rsid w:val="34594C70"/>
    <w:rsid w:val="34677222"/>
    <w:rsid w:val="347F7449"/>
    <w:rsid w:val="34831B82"/>
    <w:rsid w:val="34A01B81"/>
    <w:rsid w:val="34A03F46"/>
    <w:rsid w:val="34AD033F"/>
    <w:rsid w:val="350C5BF4"/>
    <w:rsid w:val="350E3B42"/>
    <w:rsid w:val="3529389A"/>
    <w:rsid w:val="353C06AF"/>
    <w:rsid w:val="353E0CA5"/>
    <w:rsid w:val="35694E5F"/>
    <w:rsid w:val="3589693D"/>
    <w:rsid w:val="35AF0E81"/>
    <w:rsid w:val="35BA6262"/>
    <w:rsid w:val="35F40F8A"/>
    <w:rsid w:val="35FC0710"/>
    <w:rsid w:val="36105698"/>
    <w:rsid w:val="361B0C42"/>
    <w:rsid w:val="36251352"/>
    <w:rsid w:val="3627005D"/>
    <w:rsid w:val="364146C1"/>
    <w:rsid w:val="364510DF"/>
    <w:rsid w:val="36753BF9"/>
    <w:rsid w:val="36873BAC"/>
    <w:rsid w:val="369B1C26"/>
    <w:rsid w:val="369B739F"/>
    <w:rsid w:val="36BD11DA"/>
    <w:rsid w:val="36E0150E"/>
    <w:rsid w:val="37176727"/>
    <w:rsid w:val="37270EEB"/>
    <w:rsid w:val="37404D66"/>
    <w:rsid w:val="374750E9"/>
    <w:rsid w:val="37773C20"/>
    <w:rsid w:val="37B55BBE"/>
    <w:rsid w:val="37C07B1C"/>
    <w:rsid w:val="37D82760"/>
    <w:rsid w:val="37ED5899"/>
    <w:rsid w:val="37FB3D3C"/>
    <w:rsid w:val="380F20AB"/>
    <w:rsid w:val="382C6504"/>
    <w:rsid w:val="382E7B37"/>
    <w:rsid w:val="386046B4"/>
    <w:rsid w:val="386A72E1"/>
    <w:rsid w:val="38E321C8"/>
    <w:rsid w:val="38F372D7"/>
    <w:rsid w:val="38F566EC"/>
    <w:rsid w:val="391E1E7A"/>
    <w:rsid w:val="392A6A70"/>
    <w:rsid w:val="392D57E0"/>
    <w:rsid w:val="392E6561"/>
    <w:rsid w:val="39365BED"/>
    <w:rsid w:val="395468E3"/>
    <w:rsid w:val="395732EF"/>
    <w:rsid w:val="39634304"/>
    <w:rsid w:val="3995038E"/>
    <w:rsid w:val="39AC56D7"/>
    <w:rsid w:val="39C9224E"/>
    <w:rsid w:val="39D55FF8"/>
    <w:rsid w:val="39F50E2C"/>
    <w:rsid w:val="3A041A9A"/>
    <w:rsid w:val="3A0478A0"/>
    <w:rsid w:val="3A1714B2"/>
    <w:rsid w:val="3A1944AD"/>
    <w:rsid w:val="3A3A5DC4"/>
    <w:rsid w:val="3A683CF4"/>
    <w:rsid w:val="3A695377"/>
    <w:rsid w:val="3A75715F"/>
    <w:rsid w:val="3A7E0E9C"/>
    <w:rsid w:val="3AA21D55"/>
    <w:rsid w:val="3AA42CDA"/>
    <w:rsid w:val="3AEA6013"/>
    <w:rsid w:val="3B556027"/>
    <w:rsid w:val="3BA26D92"/>
    <w:rsid w:val="3BA548F3"/>
    <w:rsid w:val="3BAA2C3A"/>
    <w:rsid w:val="3BBC4D77"/>
    <w:rsid w:val="3BC44F5A"/>
    <w:rsid w:val="3BC84D65"/>
    <w:rsid w:val="3BD4795A"/>
    <w:rsid w:val="3BFA549D"/>
    <w:rsid w:val="3BFB6994"/>
    <w:rsid w:val="3C2854E9"/>
    <w:rsid w:val="3C2D124D"/>
    <w:rsid w:val="3C300FCC"/>
    <w:rsid w:val="3C556055"/>
    <w:rsid w:val="3C886C7E"/>
    <w:rsid w:val="3C973023"/>
    <w:rsid w:val="3CBA206E"/>
    <w:rsid w:val="3D204412"/>
    <w:rsid w:val="3D4D0D5E"/>
    <w:rsid w:val="3D5A3DC8"/>
    <w:rsid w:val="3D786894"/>
    <w:rsid w:val="3D7D263D"/>
    <w:rsid w:val="3D954E00"/>
    <w:rsid w:val="3DB80AEF"/>
    <w:rsid w:val="3DBD311F"/>
    <w:rsid w:val="3DBE3F84"/>
    <w:rsid w:val="3DC2371B"/>
    <w:rsid w:val="3E467EA9"/>
    <w:rsid w:val="3E582C65"/>
    <w:rsid w:val="3E5E1696"/>
    <w:rsid w:val="3E6704B1"/>
    <w:rsid w:val="3E683F2A"/>
    <w:rsid w:val="3E774506"/>
    <w:rsid w:val="3EC61739"/>
    <w:rsid w:val="3EE719CC"/>
    <w:rsid w:val="3EED6576"/>
    <w:rsid w:val="3EFB14C6"/>
    <w:rsid w:val="3F062386"/>
    <w:rsid w:val="3F0A5895"/>
    <w:rsid w:val="3F1C1719"/>
    <w:rsid w:val="3F253F62"/>
    <w:rsid w:val="3F2C2D48"/>
    <w:rsid w:val="3F4E170B"/>
    <w:rsid w:val="3F6E3B5B"/>
    <w:rsid w:val="3FA66610"/>
    <w:rsid w:val="3FA96941"/>
    <w:rsid w:val="3FC47810"/>
    <w:rsid w:val="3FE1127E"/>
    <w:rsid w:val="3FF14667"/>
    <w:rsid w:val="402013D3"/>
    <w:rsid w:val="405C1A5F"/>
    <w:rsid w:val="409672FB"/>
    <w:rsid w:val="40A60D51"/>
    <w:rsid w:val="40AE762D"/>
    <w:rsid w:val="40C33F68"/>
    <w:rsid w:val="40C90B3F"/>
    <w:rsid w:val="40EB6FE9"/>
    <w:rsid w:val="4122749B"/>
    <w:rsid w:val="412A1D04"/>
    <w:rsid w:val="41410DFB"/>
    <w:rsid w:val="414A4DB7"/>
    <w:rsid w:val="41571E7B"/>
    <w:rsid w:val="41801923"/>
    <w:rsid w:val="41CB5A31"/>
    <w:rsid w:val="41FD2F74"/>
    <w:rsid w:val="41FF76F5"/>
    <w:rsid w:val="421107CE"/>
    <w:rsid w:val="422229DB"/>
    <w:rsid w:val="425964C4"/>
    <w:rsid w:val="42703746"/>
    <w:rsid w:val="42734B21"/>
    <w:rsid w:val="42843BD2"/>
    <w:rsid w:val="42997141"/>
    <w:rsid w:val="42B17904"/>
    <w:rsid w:val="42B51AA1"/>
    <w:rsid w:val="42C8475E"/>
    <w:rsid w:val="43004344"/>
    <w:rsid w:val="43052F92"/>
    <w:rsid w:val="43505313"/>
    <w:rsid w:val="435D635D"/>
    <w:rsid w:val="43AC15BA"/>
    <w:rsid w:val="43AD2778"/>
    <w:rsid w:val="43C156DA"/>
    <w:rsid w:val="43D67F21"/>
    <w:rsid w:val="43E837B0"/>
    <w:rsid w:val="442778D7"/>
    <w:rsid w:val="444B56D1"/>
    <w:rsid w:val="444D132B"/>
    <w:rsid w:val="444E76B3"/>
    <w:rsid w:val="446763F9"/>
    <w:rsid w:val="44A40D42"/>
    <w:rsid w:val="44BB52FF"/>
    <w:rsid w:val="44D80FFD"/>
    <w:rsid w:val="44D9323B"/>
    <w:rsid w:val="44DF2E05"/>
    <w:rsid w:val="45126D36"/>
    <w:rsid w:val="451F7738"/>
    <w:rsid w:val="45281C10"/>
    <w:rsid w:val="45375E5B"/>
    <w:rsid w:val="455B11FA"/>
    <w:rsid w:val="457847A0"/>
    <w:rsid w:val="457F34E4"/>
    <w:rsid w:val="45922779"/>
    <w:rsid w:val="45986A36"/>
    <w:rsid w:val="459D4DD2"/>
    <w:rsid w:val="45C20653"/>
    <w:rsid w:val="45EF387D"/>
    <w:rsid w:val="46303A88"/>
    <w:rsid w:val="464253F9"/>
    <w:rsid w:val="465A1C7B"/>
    <w:rsid w:val="465E6322"/>
    <w:rsid w:val="467B7B0D"/>
    <w:rsid w:val="46BF14ED"/>
    <w:rsid w:val="46E6575F"/>
    <w:rsid w:val="46E82445"/>
    <w:rsid w:val="46FA2F17"/>
    <w:rsid w:val="4703102D"/>
    <w:rsid w:val="47596E9F"/>
    <w:rsid w:val="475B1636"/>
    <w:rsid w:val="475B1642"/>
    <w:rsid w:val="47927BB3"/>
    <w:rsid w:val="479F2405"/>
    <w:rsid w:val="47BA5463"/>
    <w:rsid w:val="47D4119B"/>
    <w:rsid w:val="47D46525"/>
    <w:rsid w:val="480D1A37"/>
    <w:rsid w:val="480F57AF"/>
    <w:rsid w:val="486F19CC"/>
    <w:rsid w:val="48901937"/>
    <w:rsid w:val="48943F06"/>
    <w:rsid w:val="48BB7EDC"/>
    <w:rsid w:val="48BD345D"/>
    <w:rsid w:val="48BE1AC7"/>
    <w:rsid w:val="48CA19D1"/>
    <w:rsid w:val="48D16C6E"/>
    <w:rsid w:val="48E63F75"/>
    <w:rsid w:val="48E766F3"/>
    <w:rsid w:val="49331BA1"/>
    <w:rsid w:val="495468E5"/>
    <w:rsid w:val="496F0653"/>
    <w:rsid w:val="497A134E"/>
    <w:rsid w:val="4A095D85"/>
    <w:rsid w:val="4A22043C"/>
    <w:rsid w:val="4A227A1C"/>
    <w:rsid w:val="4A3749D0"/>
    <w:rsid w:val="4A4C4A99"/>
    <w:rsid w:val="4A630FB1"/>
    <w:rsid w:val="4A7519D3"/>
    <w:rsid w:val="4A761460"/>
    <w:rsid w:val="4A835FE1"/>
    <w:rsid w:val="4A942919"/>
    <w:rsid w:val="4AAB4A13"/>
    <w:rsid w:val="4AD7199F"/>
    <w:rsid w:val="4ADE279D"/>
    <w:rsid w:val="4AF76EC2"/>
    <w:rsid w:val="4B014DB7"/>
    <w:rsid w:val="4B040FB2"/>
    <w:rsid w:val="4B06733D"/>
    <w:rsid w:val="4B0E195E"/>
    <w:rsid w:val="4B661B8A"/>
    <w:rsid w:val="4B7324F9"/>
    <w:rsid w:val="4B756271"/>
    <w:rsid w:val="4B806476"/>
    <w:rsid w:val="4BA13982"/>
    <w:rsid w:val="4BB06DB8"/>
    <w:rsid w:val="4BCC4733"/>
    <w:rsid w:val="4BD41354"/>
    <w:rsid w:val="4BD42F98"/>
    <w:rsid w:val="4C101AF6"/>
    <w:rsid w:val="4C1F546B"/>
    <w:rsid w:val="4C32039C"/>
    <w:rsid w:val="4C4C2744"/>
    <w:rsid w:val="4C4E4E5E"/>
    <w:rsid w:val="4C4F6AC2"/>
    <w:rsid w:val="4C673E0C"/>
    <w:rsid w:val="4C90348F"/>
    <w:rsid w:val="4C924171"/>
    <w:rsid w:val="4C9241D9"/>
    <w:rsid w:val="4C9269AF"/>
    <w:rsid w:val="4CB910DF"/>
    <w:rsid w:val="4CD34FFD"/>
    <w:rsid w:val="4D30575A"/>
    <w:rsid w:val="4D3B091F"/>
    <w:rsid w:val="4D413338"/>
    <w:rsid w:val="4D7B7443"/>
    <w:rsid w:val="4D897DB2"/>
    <w:rsid w:val="4DA61D05"/>
    <w:rsid w:val="4DB41D5F"/>
    <w:rsid w:val="4E0910A4"/>
    <w:rsid w:val="4E146D0E"/>
    <w:rsid w:val="4E152BE6"/>
    <w:rsid w:val="4E1C315D"/>
    <w:rsid w:val="4E203E45"/>
    <w:rsid w:val="4E224F4B"/>
    <w:rsid w:val="4E2D4CA9"/>
    <w:rsid w:val="4E4812DB"/>
    <w:rsid w:val="4E4B5AA0"/>
    <w:rsid w:val="4E5E2FEC"/>
    <w:rsid w:val="4E83512E"/>
    <w:rsid w:val="4E9E5ADF"/>
    <w:rsid w:val="4EA02D52"/>
    <w:rsid w:val="4EBF6917"/>
    <w:rsid w:val="4EC47B64"/>
    <w:rsid w:val="4EC72940"/>
    <w:rsid w:val="4ECC43FA"/>
    <w:rsid w:val="4ECC61A8"/>
    <w:rsid w:val="4EEC23A6"/>
    <w:rsid w:val="4EFB76E8"/>
    <w:rsid w:val="4F1418FD"/>
    <w:rsid w:val="4F2A2ECF"/>
    <w:rsid w:val="4F2E29BF"/>
    <w:rsid w:val="4F3B50DC"/>
    <w:rsid w:val="4F4F0A39"/>
    <w:rsid w:val="4F7C5E20"/>
    <w:rsid w:val="4FC450D1"/>
    <w:rsid w:val="502B6EFE"/>
    <w:rsid w:val="50384490"/>
    <w:rsid w:val="50540473"/>
    <w:rsid w:val="50697210"/>
    <w:rsid w:val="5079410E"/>
    <w:rsid w:val="5080549C"/>
    <w:rsid w:val="508C359C"/>
    <w:rsid w:val="508E4E10"/>
    <w:rsid w:val="50994BD5"/>
    <w:rsid w:val="50F46DCC"/>
    <w:rsid w:val="5124051D"/>
    <w:rsid w:val="512F2A1E"/>
    <w:rsid w:val="51391784"/>
    <w:rsid w:val="513D38B6"/>
    <w:rsid w:val="51581F75"/>
    <w:rsid w:val="51612A46"/>
    <w:rsid w:val="5167665C"/>
    <w:rsid w:val="51772B2B"/>
    <w:rsid w:val="51AE18CA"/>
    <w:rsid w:val="51B75E38"/>
    <w:rsid w:val="51C5755B"/>
    <w:rsid w:val="51CE781B"/>
    <w:rsid w:val="5205073B"/>
    <w:rsid w:val="52612F1E"/>
    <w:rsid w:val="52AB2578"/>
    <w:rsid w:val="52BB415A"/>
    <w:rsid w:val="52DB3467"/>
    <w:rsid w:val="532D7B72"/>
    <w:rsid w:val="53403699"/>
    <w:rsid w:val="53513120"/>
    <w:rsid w:val="537E1DC9"/>
    <w:rsid w:val="53B144DF"/>
    <w:rsid w:val="53CF1281"/>
    <w:rsid w:val="53D93AF1"/>
    <w:rsid w:val="53F3442D"/>
    <w:rsid w:val="54031EEA"/>
    <w:rsid w:val="54057813"/>
    <w:rsid w:val="540B1A2E"/>
    <w:rsid w:val="5412080D"/>
    <w:rsid w:val="541441FF"/>
    <w:rsid w:val="542B1C3A"/>
    <w:rsid w:val="54411362"/>
    <w:rsid w:val="544D6654"/>
    <w:rsid w:val="5451160E"/>
    <w:rsid w:val="54547C25"/>
    <w:rsid w:val="545B6505"/>
    <w:rsid w:val="54933F1F"/>
    <w:rsid w:val="549A694D"/>
    <w:rsid w:val="54A11EB4"/>
    <w:rsid w:val="54A6447C"/>
    <w:rsid w:val="54BC0FB4"/>
    <w:rsid w:val="54FA3343"/>
    <w:rsid w:val="55145697"/>
    <w:rsid w:val="552503C0"/>
    <w:rsid w:val="55284577"/>
    <w:rsid w:val="552A0593"/>
    <w:rsid w:val="552A3C28"/>
    <w:rsid w:val="553931D2"/>
    <w:rsid w:val="55786DF3"/>
    <w:rsid w:val="557944D6"/>
    <w:rsid w:val="558F1CDD"/>
    <w:rsid w:val="5591600D"/>
    <w:rsid w:val="55A16DE2"/>
    <w:rsid w:val="55A33E57"/>
    <w:rsid w:val="55AC0AE1"/>
    <w:rsid w:val="55C0185C"/>
    <w:rsid w:val="55E76AFC"/>
    <w:rsid w:val="55EC088C"/>
    <w:rsid w:val="561C7A25"/>
    <w:rsid w:val="56552EF1"/>
    <w:rsid w:val="56743027"/>
    <w:rsid w:val="5681005E"/>
    <w:rsid w:val="569577C7"/>
    <w:rsid w:val="569B45F1"/>
    <w:rsid w:val="56B040AF"/>
    <w:rsid w:val="56DF4C61"/>
    <w:rsid w:val="56F50266"/>
    <w:rsid w:val="570B7A8A"/>
    <w:rsid w:val="57141815"/>
    <w:rsid w:val="572C4367"/>
    <w:rsid w:val="572D2F61"/>
    <w:rsid w:val="57985EAD"/>
    <w:rsid w:val="579B705F"/>
    <w:rsid w:val="57A2219C"/>
    <w:rsid w:val="57BF2D4E"/>
    <w:rsid w:val="57C42BD2"/>
    <w:rsid w:val="57CA6292"/>
    <w:rsid w:val="57D46B1C"/>
    <w:rsid w:val="57E83060"/>
    <w:rsid w:val="57EA3B43"/>
    <w:rsid w:val="57FB24AF"/>
    <w:rsid w:val="581A0D29"/>
    <w:rsid w:val="581F5768"/>
    <w:rsid w:val="583E0E16"/>
    <w:rsid w:val="58580FB7"/>
    <w:rsid w:val="587530F2"/>
    <w:rsid w:val="587C43CC"/>
    <w:rsid w:val="587D0513"/>
    <w:rsid w:val="588F375F"/>
    <w:rsid w:val="5898534D"/>
    <w:rsid w:val="58A40196"/>
    <w:rsid w:val="58C074B6"/>
    <w:rsid w:val="58DC16DE"/>
    <w:rsid w:val="58EE6FF9"/>
    <w:rsid w:val="5904145C"/>
    <w:rsid w:val="59387D46"/>
    <w:rsid w:val="5949081C"/>
    <w:rsid w:val="5967476F"/>
    <w:rsid w:val="59771E25"/>
    <w:rsid w:val="598700A8"/>
    <w:rsid w:val="598B321A"/>
    <w:rsid w:val="599B50F5"/>
    <w:rsid w:val="59B47051"/>
    <w:rsid w:val="59CD5A4A"/>
    <w:rsid w:val="59E925D2"/>
    <w:rsid w:val="59F7242E"/>
    <w:rsid w:val="5A0C7DA1"/>
    <w:rsid w:val="5A162510"/>
    <w:rsid w:val="5A4C126F"/>
    <w:rsid w:val="5A5D23AA"/>
    <w:rsid w:val="5A771BA3"/>
    <w:rsid w:val="5ACE769D"/>
    <w:rsid w:val="5B19774E"/>
    <w:rsid w:val="5B1E438A"/>
    <w:rsid w:val="5B3F116D"/>
    <w:rsid w:val="5B527A35"/>
    <w:rsid w:val="5B7D784B"/>
    <w:rsid w:val="5BD248F1"/>
    <w:rsid w:val="5C05719D"/>
    <w:rsid w:val="5C0C50F0"/>
    <w:rsid w:val="5C4A2E02"/>
    <w:rsid w:val="5C530746"/>
    <w:rsid w:val="5C6A7000"/>
    <w:rsid w:val="5C8059A1"/>
    <w:rsid w:val="5C981DBF"/>
    <w:rsid w:val="5CB41418"/>
    <w:rsid w:val="5CD310EA"/>
    <w:rsid w:val="5CE07E1D"/>
    <w:rsid w:val="5D000946"/>
    <w:rsid w:val="5D0D2F99"/>
    <w:rsid w:val="5D621292"/>
    <w:rsid w:val="5DA22E1F"/>
    <w:rsid w:val="5DC10EA2"/>
    <w:rsid w:val="5DC6517F"/>
    <w:rsid w:val="5DD32699"/>
    <w:rsid w:val="5DDE5652"/>
    <w:rsid w:val="5DFE3466"/>
    <w:rsid w:val="5E0C65C1"/>
    <w:rsid w:val="5E554AE4"/>
    <w:rsid w:val="5E7F1E4C"/>
    <w:rsid w:val="5F1C5490"/>
    <w:rsid w:val="5F434264"/>
    <w:rsid w:val="5F50072F"/>
    <w:rsid w:val="5F6053D2"/>
    <w:rsid w:val="5F751F44"/>
    <w:rsid w:val="5F9F1AF5"/>
    <w:rsid w:val="5FDE3F8D"/>
    <w:rsid w:val="5FE62E42"/>
    <w:rsid w:val="5FFB1188"/>
    <w:rsid w:val="5FFD535B"/>
    <w:rsid w:val="60026CA8"/>
    <w:rsid w:val="601856F1"/>
    <w:rsid w:val="602E1EB7"/>
    <w:rsid w:val="603B7746"/>
    <w:rsid w:val="6044205E"/>
    <w:rsid w:val="606C3347"/>
    <w:rsid w:val="608363D1"/>
    <w:rsid w:val="60876579"/>
    <w:rsid w:val="6090729E"/>
    <w:rsid w:val="60C60DF5"/>
    <w:rsid w:val="60F736A8"/>
    <w:rsid w:val="61070F6D"/>
    <w:rsid w:val="611F485D"/>
    <w:rsid w:val="612D5A66"/>
    <w:rsid w:val="6131633F"/>
    <w:rsid w:val="614C7180"/>
    <w:rsid w:val="61811074"/>
    <w:rsid w:val="61860438"/>
    <w:rsid w:val="61962114"/>
    <w:rsid w:val="61AB1046"/>
    <w:rsid w:val="61AE2690"/>
    <w:rsid w:val="61F65E83"/>
    <w:rsid w:val="62131E29"/>
    <w:rsid w:val="622532E5"/>
    <w:rsid w:val="62485429"/>
    <w:rsid w:val="627A5057"/>
    <w:rsid w:val="62A212A2"/>
    <w:rsid w:val="62C95C8A"/>
    <w:rsid w:val="62CA25A7"/>
    <w:rsid w:val="62D56107"/>
    <w:rsid w:val="62D60F4C"/>
    <w:rsid w:val="630B3168"/>
    <w:rsid w:val="633D147A"/>
    <w:rsid w:val="634B193A"/>
    <w:rsid w:val="635C295A"/>
    <w:rsid w:val="6368271D"/>
    <w:rsid w:val="637013A0"/>
    <w:rsid w:val="637D1D0F"/>
    <w:rsid w:val="63906262"/>
    <w:rsid w:val="63CC1F45"/>
    <w:rsid w:val="63F465B9"/>
    <w:rsid w:val="63FD7013"/>
    <w:rsid w:val="641B0143"/>
    <w:rsid w:val="642A16AE"/>
    <w:rsid w:val="643A0529"/>
    <w:rsid w:val="647E5FCA"/>
    <w:rsid w:val="648F78A0"/>
    <w:rsid w:val="649965F2"/>
    <w:rsid w:val="64A20939"/>
    <w:rsid w:val="64B41760"/>
    <w:rsid w:val="64EC4654"/>
    <w:rsid w:val="64FA5D2D"/>
    <w:rsid w:val="65276A93"/>
    <w:rsid w:val="65451A8A"/>
    <w:rsid w:val="65607CAE"/>
    <w:rsid w:val="656D0202"/>
    <w:rsid w:val="65716E00"/>
    <w:rsid w:val="65817895"/>
    <w:rsid w:val="659F330F"/>
    <w:rsid w:val="65A842A2"/>
    <w:rsid w:val="65D379C4"/>
    <w:rsid w:val="66306D14"/>
    <w:rsid w:val="664F13E5"/>
    <w:rsid w:val="66612BA8"/>
    <w:rsid w:val="667411A7"/>
    <w:rsid w:val="6695111E"/>
    <w:rsid w:val="66A00680"/>
    <w:rsid w:val="66BF1B5F"/>
    <w:rsid w:val="66C13CC1"/>
    <w:rsid w:val="66D63C10"/>
    <w:rsid w:val="66F660EE"/>
    <w:rsid w:val="670606D7"/>
    <w:rsid w:val="67112E9A"/>
    <w:rsid w:val="67154518"/>
    <w:rsid w:val="6716400D"/>
    <w:rsid w:val="674C7A2E"/>
    <w:rsid w:val="67602EA4"/>
    <w:rsid w:val="678F3DBF"/>
    <w:rsid w:val="67957182"/>
    <w:rsid w:val="67CB00B6"/>
    <w:rsid w:val="67D7311C"/>
    <w:rsid w:val="67EC1211"/>
    <w:rsid w:val="68097EB5"/>
    <w:rsid w:val="68262975"/>
    <w:rsid w:val="685257B7"/>
    <w:rsid w:val="686A1038"/>
    <w:rsid w:val="686B482C"/>
    <w:rsid w:val="686E2A42"/>
    <w:rsid w:val="689C20DC"/>
    <w:rsid w:val="689F6BEB"/>
    <w:rsid w:val="68B0298D"/>
    <w:rsid w:val="68CB0FAF"/>
    <w:rsid w:val="691602F4"/>
    <w:rsid w:val="692A062E"/>
    <w:rsid w:val="6948743F"/>
    <w:rsid w:val="694A3FCB"/>
    <w:rsid w:val="69802EAF"/>
    <w:rsid w:val="69A753F0"/>
    <w:rsid w:val="69BD1270"/>
    <w:rsid w:val="69DA16C4"/>
    <w:rsid w:val="69DC3A7E"/>
    <w:rsid w:val="69E568B5"/>
    <w:rsid w:val="69FC427E"/>
    <w:rsid w:val="6A1B69D6"/>
    <w:rsid w:val="6ABC7EC5"/>
    <w:rsid w:val="6AC16985"/>
    <w:rsid w:val="6B077BD1"/>
    <w:rsid w:val="6B1765A5"/>
    <w:rsid w:val="6B177FC7"/>
    <w:rsid w:val="6B19546A"/>
    <w:rsid w:val="6B317667"/>
    <w:rsid w:val="6B613F56"/>
    <w:rsid w:val="6B621F16"/>
    <w:rsid w:val="6BB12556"/>
    <w:rsid w:val="6BB77467"/>
    <w:rsid w:val="6BC76C49"/>
    <w:rsid w:val="6BE835A9"/>
    <w:rsid w:val="6C0407D9"/>
    <w:rsid w:val="6C0B6BC3"/>
    <w:rsid w:val="6C223454"/>
    <w:rsid w:val="6C2471CC"/>
    <w:rsid w:val="6C54194D"/>
    <w:rsid w:val="6C577DE7"/>
    <w:rsid w:val="6CEC57A5"/>
    <w:rsid w:val="6CFC710B"/>
    <w:rsid w:val="6D0E2A1B"/>
    <w:rsid w:val="6D4E0F1E"/>
    <w:rsid w:val="6D527D69"/>
    <w:rsid w:val="6D6526B8"/>
    <w:rsid w:val="6D986FCA"/>
    <w:rsid w:val="6E0E3C8F"/>
    <w:rsid w:val="6E3E054B"/>
    <w:rsid w:val="6E4B6C92"/>
    <w:rsid w:val="6E8C2E06"/>
    <w:rsid w:val="6EAD7350"/>
    <w:rsid w:val="6F0820AE"/>
    <w:rsid w:val="6F082F43"/>
    <w:rsid w:val="6F1468E1"/>
    <w:rsid w:val="6F250433"/>
    <w:rsid w:val="6F6A770B"/>
    <w:rsid w:val="6F6F723A"/>
    <w:rsid w:val="6F7E35BE"/>
    <w:rsid w:val="6F9208F0"/>
    <w:rsid w:val="6F9D2906"/>
    <w:rsid w:val="6FA046F1"/>
    <w:rsid w:val="6FBB7D0C"/>
    <w:rsid w:val="6FF27C19"/>
    <w:rsid w:val="70293003"/>
    <w:rsid w:val="706F7915"/>
    <w:rsid w:val="70B63C4E"/>
    <w:rsid w:val="70B7060E"/>
    <w:rsid w:val="70BA1EAD"/>
    <w:rsid w:val="70C43D1A"/>
    <w:rsid w:val="70CC0E40"/>
    <w:rsid w:val="70EB50D1"/>
    <w:rsid w:val="70FE448F"/>
    <w:rsid w:val="71061F26"/>
    <w:rsid w:val="710B08D3"/>
    <w:rsid w:val="710B095A"/>
    <w:rsid w:val="71287D44"/>
    <w:rsid w:val="71300AFA"/>
    <w:rsid w:val="714B6FA9"/>
    <w:rsid w:val="716562BC"/>
    <w:rsid w:val="716A5126"/>
    <w:rsid w:val="71866233"/>
    <w:rsid w:val="71881FAB"/>
    <w:rsid w:val="71964BB2"/>
    <w:rsid w:val="71A66149"/>
    <w:rsid w:val="71DC62F5"/>
    <w:rsid w:val="71DF3877"/>
    <w:rsid w:val="71F94C57"/>
    <w:rsid w:val="72143A86"/>
    <w:rsid w:val="72294E91"/>
    <w:rsid w:val="724265FE"/>
    <w:rsid w:val="725549C1"/>
    <w:rsid w:val="72563136"/>
    <w:rsid w:val="726D1462"/>
    <w:rsid w:val="727E762B"/>
    <w:rsid w:val="72BE0C98"/>
    <w:rsid w:val="72BF19FC"/>
    <w:rsid w:val="73092C77"/>
    <w:rsid w:val="73177214"/>
    <w:rsid w:val="73877A65"/>
    <w:rsid w:val="73894DC1"/>
    <w:rsid w:val="739D4008"/>
    <w:rsid w:val="73A15439"/>
    <w:rsid w:val="73A3438C"/>
    <w:rsid w:val="73A429A0"/>
    <w:rsid w:val="73C90867"/>
    <w:rsid w:val="73E76CA0"/>
    <w:rsid w:val="744B3D4C"/>
    <w:rsid w:val="74813359"/>
    <w:rsid w:val="74B8390C"/>
    <w:rsid w:val="74BD58E3"/>
    <w:rsid w:val="750202C6"/>
    <w:rsid w:val="7537615A"/>
    <w:rsid w:val="7546337F"/>
    <w:rsid w:val="756B19C7"/>
    <w:rsid w:val="757A60AE"/>
    <w:rsid w:val="75AA0651"/>
    <w:rsid w:val="75AC1FED"/>
    <w:rsid w:val="75C65F01"/>
    <w:rsid w:val="75D015A3"/>
    <w:rsid w:val="760836BA"/>
    <w:rsid w:val="76223684"/>
    <w:rsid w:val="76290390"/>
    <w:rsid w:val="762C7EDF"/>
    <w:rsid w:val="763F6A80"/>
    <w:rsid w:val="765B285F"/>
    <w:rsid w:val="76854D0B"/>
    <w:rsid w:val="76860973"/>
    <w:rsid w:val="76A01B45"/>
    <w:rsid w:val="76A9033B"/>
    <w:rsid w:val="76BD4232"/>
    <w:rsid w:val="76DA5057"/>
    <w:rsid w:val="76E41157"/>
    <w:rsid w:val="771603BF"/>
    <w:rsid w:val="7718792D"/>
    <w:rsid w:val="77291B3A"/>
    <w:rsid w:val="7732116C"/>
    <w:rsid w:val="774150D6"/>
    <w:rsid w:val="77530965"/>
    <w:rsid w:val="775C4879"/>
    <w:rsid w:val="77757724"/>
    <w:rsid w:val="77C17FC5"/>
    <w:rsid w:val="77E250AD"/>
    <w:rsid w:val="77FC7401"/>
    <w:rsid w:val="782C432F"/>
    <w:rsid w:val="78564BB1"/>
    <w:rsid w:val="78A75E67"/>
    <w:rsid w:val="78BF024C"/>
    <w:rsid w:val="78CC11E9"/>
    <w:rsid w:val="7931273F"/>
    <w:rsid w:val="79393B8B"/>
    <w:rsid w:val="7950681C"/>
    <w:rsid w:val="796C5D0E"/>
    <w:rsid w:val="79955265"/>
    <w:rsid w:val="79B576B5"/>
    <w:rsid w:val="79BB2FBE"/>
    <w:rsid w:val="79D00993"/>
    <w:rsid w:val="79F76A7E"/>
    <w:rsid w:val="7A432F13"/>
    <w:rsid w:val="7A601D17"/>
    <w:rsid w:val="7A8F26F0"/>
    <w:rsid w:val="7ABA37B7"/>
    <w:rsid w:val="7ABD7446"/>
    <w:rsid w:val="7AE904E6"/>
    <w:rsid w:val="7B1B5C3E"/>
    <w:rsid w:val="7B31700F"/>
    <w:rsid w:val="7B350BB3"/>
    <w:rsid w:val="7B373932"/>
    <w:rsid w:val="7B424F78"/>
    <w:rsid w:val="7B767318"/>
    <w:rsid w:val="7B8707E1"/>
    <w:rsid w:val="7BA111E4"/>
    <w:rsid w:val="7BB87930"/>
    <w:rsid w:val="7BD6202F"/>
    <w:rsid w:val="7BDD546D"/>
    <w:rsid w:val="7BF4022C"/>
    <w:rsid w:val="7C240B22"/>
    <w:rsid w:val="7C374CF9"/>
    <w:rsid w:val="7C5D4D89"/>
    <w:rsid w:val="7C63164A"/>
    <w:rsid w:val="7C8F68E3"/>
    <w:rsid w:val="7C923227"/>
    <w:rsid w:val="7C9C2DAE"/>
    <w:rsid w:val="7C9D3FBE"/>
    <w:rsid w:val="7CAF640A"/>
    <w:rsid w:val="7CBF1EE2"/>
    <w:rsid w:val="7CD24A22"/>
    <w:rsid w:val="7CD32D5E"/>
    <w:rsid w:val="7CDC60CE"/>
    <w:rsid w:val="7CDE6741"/>
    <w:rsid w:val="7D0C4147"/>
    <w:rsid w:val="7D8724A6"/>
    <w:rsid w:val="7D8A0E59"/>
    <w:rsid w:val="7D8A2C07"/>
    <w:rsid w:val="7DA51995"/>
    <w:rsid w:val="7DB008BF"/>
    <w:rsid w:val="7DBF4FA6"/>
    <w:rsid w:val="7DE652B4"/>
    <w:rsid w:val="7E0155BF"/>
    <w:rsid w:val="7E0D4209"/>
    <w:rsid w:val="7E196BE2"/>
    <w:rsid w:val="7E9B156F"/>
    <w:rsid w:val="7EA62E94"/>
    <w:rsid w:val="7EB063E5"/>
    <w:rsid w:val="7EC02BB2"/>
    <w:rsid w:val="7ECD1661"/>
    <w:rsid w:val="7ED20D09"/>
    <w:rsid w:val="7EFE1AFE"/>
    <w:rsid w:val="7F1135E0"/>
    <w:rsid w:val="7F115983"/>
    <w:rsid w:val="7F2506AA"/>
    <w:rsid w:val="7F2E407D"/>
    <w:rsid w:val="7F41310A"/>
    <w:rsid w:val="7F473ACE"/>
    <w:rsid w:val="7F6B4E3B"/>
    <w:rsid w:val="7F767DA4"/>
    <w:rsid w:val="7F78637A"/>
    <w:rsid w:val="7F790A0F"/>
    <w:rsid w:val="7FC06DB4"/>
    <w:rsid w:val="7FEA3E31"/>
    <w:rsid w:val="7FEF5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link w:val="75"/>
    <w:qFormat/>
    <w:uiPriority w:val="0"/>
    <w:pPr>
      <w:keepNext/>
      <w:snapToGrid w:val="0"/>
      <w:spacing w:line="360" w:lineRule="atLeast"/>
      <w:outlineLvl w:val="0"/>
    </w:pPr>
    <w:rPr>
      <w:rFonts w:ascii="宋体"/>
    </w:rPr>
  </w:style>
  <w:style w:type="paragraph" w:styleId="4">
    <w:name w:val="heading 2"/>
    <w:basedOn w:val="1"/>
    <w:next w:val="1"/>
    <w:link w:val="81"/>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74"/>
    <w:qFormat/>
    <w:uiPriority w:val="0"/>
    <w:pPr>
      <w:keepNext/>
      <w:keepLines/>
      <w:spacing w:before="200" w:after="200"/>
      <w:outlineLvl w:val="2"/>
    </w:pPr>
    <w:rPr>
      <w:rFonts w:ascii="Times New Roman" w:hAnsi="Times New Roman" w:eastAsia="宋体"/>
      <w:b/>
      <w:sz w:val="24"/>
      <w:szCs w:val="24"/>
    </w:rPr>
  </w:style>
  <w:style w:type="paragraph" w:styleId="6">
    <w:name w:val="heading 4"/>
    <w:basedOn w:val="1"/>
    <w:next w:val="1"/>
    <w:link w:val="82"/>
    <w:qFormat/>
    <w:uiPriority w:val="0"/>
    <w:pPr>
      <w:keepNext/>
      <w:keepLines/>
      <w:spacing w:before="280" w:after="290" w:line="372" w:lineRule="auto"/>
      <w:outlineLvl w:val="3"/>
    </w:pPr>
    <w:rPr>
      <w:rFonts w:ascii="Arial" w:hAnsi="Arial" w:eastAsia="黑体"/>
      <w:b/>
    </w:rPr>
  </w:style>
  <w:style w:type="paragraph" w:styleId="7">
    <w:name w:val="heading 5"/>
    <w:basedOn w:val="1"/>
    <w:next w:val="1"/>
    <w:link w:val="83"/>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link w:val="84"/>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link w:val="85"/>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link w:val="86"/>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link w:val="87"/>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5">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9"/>
    <w:qFormat/>
    <w:uiPriority w:val="0"/>
    <w:rPr>
      <w:rFonts w:ascii="仿宋_GB2312" w:hAnsi="Calibri" w:eastAsia="仿宋_GB2312" w:cs="宋体"/>
      <w:sz w:val="32"/>
      <w:szCs w:val="22"/>
    </w:r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39"/>
    <w:pPr>
      <w:ind w:left="2520" w:leftChars="1200"/>
    </w:pPr>
  </w:style>
  <w:style w:type="paragraph" w:styleId="14">
    <w:name w:val="List Number 2"/>
    <w:basedOn w:val="1"/>
    <w:qFormat/>
    <w:uiPriority w:val="0"/>
    <w:pPr>
      <w:numPr>
        <w:ilvl w:val="0"/>
        <w:numId w:val="1"/>
      </w:numPr>
      <w:tabs>
        <w:tab w:val="clear" w:pos="425"/>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link w:val="160"/>
    <w:qFormat/>
    <w:uiPriority w:val="0"/>
    <w:pPr>
      <w:adjustRightInd w:val="0"/>
      <w:snapToGrid w:val="0"/>
      <w:spacing w:line="360" w:lineRule="auto"/>
      <w:ind w:firstLine="420"/>
    </w:pPr>
    <w:rPr>
      <w:rFonts w:ascii="Calibri" w:hAnsi="Calibri" w:cs="宋体"/>
      <w:sz w:val="24"/>
      <w:szCs w:val="22"/>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link w:val="90"/>
    <w:qFormat/>
    <w:uiPriority w:val="0"/>
    <w:pPr>
      <w:shd w:val="clear" w:color="auto" w:fill="000080"/>
    </w:pPr>
    <w:rPr>
      <w:rFonts w:ascii="Calibri" w:hAnsi="Calibri" w:cs="宋体"/>
      <w:szCs w:val="22"/>
    </w:r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186"/>
    <w:qFormat/>
    <w:uiPriority w:val="0"/>
    <w:pPr>
      <w:jc w:val="left"/>
    </w:pPr>
  </w:style>
  <w:style w:type="paragraph" w:styleId="21">
    <w:name w:val="Body Text 3"/>
    <w:basedOn w:val="1"/>
    <w:link w:val="93"/>
    <w:qFormat/>
    <w:uiPriority w:val="0"/>
    <w:pPr>
      <w:adjustRightInd w:val="0"/>
      <w:snapToGrid w:val="0"/>
      <w:spacing w:after="120" w:line="360" w:lineRule="auto"/>
    </w:pPr>
    <w:rPr>
      <w:rFonts w:ascii="Calibri" w:hAnsi="Calibri" w:cs="宋体"/>
      <w:sz w:val="16"/>
      <w:szCs w:val="22"/>
    </w:rPr>
  </w:style>
  <w:style w:type="paragraph" w:styleId="22">
    <w:name w:val="List Bullet 3"/>
    <w:basedOn w:val="1"/>
    <w:qFormat/>
    <w:uiPriority w:val="0"/>
    <w:pPr>
      <w:numPr>
        <w:ilvl w:val="0"/>
        <w:numId w:val="2"/>
      </w:numPr>
      <w:adjustRightInd w:val="0"/>
      <w:snapToGrid w:val="0"/>
      <w:spacing w:line="360" w:lineRule="auto"/>
    </w:pPr>
    <w:rPr>
      <w:sz w:val="24"/>
    </w:rPr>
  </w:style>
  <w:style w:type="paragraph" w:styleId="23">
    <w:name w:val="Body Text Indent"/>
    <w:basedOn w:val="1"/>
    <w:link w:val="175"/>
    <w:qFormat/>
    <w:uiPriority w:val="0"/>
    <w:pPr>
      <w:spacing w:after="120"/>
      <w:ind w:left="420" w:leftChars="200"/>
    </w:p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sz w:val="72"/>
      <w:szCs w:val="24"/>
    </w:rPr>
  </w:style>
  <w:style w:type="paragraph" w:styleId="28">
    <w:name w:val="List Bullet 2"/>
    <w:basedOn w:val="1"/>
    <w:qFormat/>
    <w:uiPriority w:val="0"/>
    <w:pPr>
      <w:numPr>
        <w:ilvl w:val="0"/>
        <w:numId w:val="3"/>
      </w:numPr>
      <w:adjustRightInd w:val="0"/>
      <w:snapToGrid w:val="0"/>
      <w:spacing w:line="360" w:lineRule="auto"/>
    </w:pPr>
    <w:rPr>
      <w:sz w:val="24"/>
    </w:rPr>
  </w:style>
  <w:style w:type="paragraph" w:styleId="29">
    <w:name w:val="index 4"/>
    <w:basedOn w:val="1"/>
    <w:next w:val="1"/>
    <w:qFormat/>
    <w:uiPriority w:val="0"/>
    <w:pPr>
      <w:ind w:left="600" w:leftChars="600"/>
    </w:pPr>
    <w:rPr>
      <w:rFonts w:ascii="Calibri" w:hAnsi="Calibri"/>
      <w:sz w:val="21"/>
      <w:szCs w:val="24"/>
    </w:rPr>
  </w:style>
  <w:style w:type="paragraph" w:styleId="30">
    <w:name w:val="toc 5"/>
    <w:basedOn w:val="1"/>
    <w:next w:val="1"/>
    <w:qFormat/>
    <w:uiPriority w:val="39"/>
    <w:pPr>
      <w:ind w:left="1680" w:leftChars="800"/>
    </w:pPr>
  </w:style>
  <w:style w:type="paragraph" w:styleId="31">
    <w:name w:val="toc 3"/>
    <w:basedOn w:val="1"/>
    <w:next w:val="1"/>
    <w:qFormat/>
    <w:uiPriority w:val="39"/>
    <w:pPr>
      <w:ind w:left="840" w:leftChars="400"/>
    </w:pPr>
  </w:style>
  <w:style w:type="paragraph" w:styleId="32">
    <w:name w:val="Plain Text"/>
    <w:basedOn w:val="1"/>
    <w:link w:val="163"/>
    <w:qFormat/>
    <w:uiPriority w:val="0"/>
    <w:rPr>
      <w:rFonts w:ascii="宋体" w:hAnsi="Courier New" w:cs="宋体"/>
      <w:sz w:val="21"/>
      <w:szCs w:val="22"/>
    </w:rPr>
  </w:style>
  <w:style w:type="paragraph" w:styleId="33">
    <w:name w:val="toc 8"/>
    <w:basedOn w:val="1"/>
    <w:next w:val="1"/>
    <w:qFormat/>
    <w:uiPriority w:val="39"/>
    <w:pPr>
      <w:ind w:left="2940" w:leftChars="1400"/>
    </w:pPr>
  </w:style>
  <w:style w:type="paragraph" w:styleId="34">
    <w:name w:val="Date"/>
    <w:basedOn w:val="1"/>
    <w:next w:val="1"/>
    <w:link w:val="114"/>
    <w:qFormat/>
    <w:uiPriority w:val="0"/>
    <w:rPr>
      <w:rFonts w:ascii="Calibri" w:hAnsi="Calibri" w:cs="宋体"/>
      <w:szCs w:val="22"/>
    </w:rPr>
  </w:style>
  <w:style w:type="paragraph" w:styleId="35">
    <w:name w:val="Body Text Indent 2"/>
    <w:basedOn w:val="1"/>
    <w:link w:val="153"/>
    <w:qFormat/>
    <w:uiPriority w:val="0"/>
    <w:pPr>
      <w:snapToGrid w:val="0"/>
      <w:spacing w:line="560" w:lineRule="atLeast"/>
      <w:ind w:firstLine="540"/>
    </w:pPr>
    <w:rPr>
      <w:rFonts w:ascii="Calibri" w:hAnsi="Calibri" w:cs="宋体"/>
      <w:szCs w:val="22"/>
    </w:rPr>
  </w:style>
  <w:style w:type="paragraph" w:styleId="36">
    <w:name w:val="endnote text"/>
    <w:basedOn w:val="1"/>
    <w:link w:val="168"/>
    <w:qFormat/>
    <w:uiPriority w:val="0"/>
    <w:pPr>
      <w:widowControl/>
      <w:snapToGrid w:val="0"/>
      <w:jc w:val="left"/>
    </w:pPr>
    <w:rPr>
      <w:rFonts w:ascii="Arial" w:hAnsi="Arial" w:cs="Arial"/>
      <w:sz w:val="21"/>
      <w:szCs w:val="24"/>
      <w:lang w:eastAsia="en-US"/>
    </w:rPr>
  </w:style>
  <w:style w:type="paragraph" w:styleId="37">
    <w:name w:val="Balloon Text"/>
    <w:basedOn w:val="1"/>
    <w:link w:val="98"/>
    <w:qFormat/>
    <w:uiPriority w:val="0"/>
    <w:rPr>
      <w:rFonts w:ascii="Calibri" w:hAnsi="Calibri" w:cs="宋体"/>
      <w:sz w:val="18"/>
      <w:szCs w:val="22"/>
    </w:rPr>
  </w:style>
  <w:style w:type="paragraph" w:styleId="38">
    <w:name w:val="footer"/>
    <w:basedOn w:val="1"/>
    <w:link w:val="167"/>
    <w:qFormat/>
    <w:uiPriority w:val="99"/>
    <w:pPr>
      <w:tabs>
        <w:tab w:val="center" w:pos="4153"/>
        <w:tab w:val="right" w:pos="8306"/>
      </w:tabs>
      <w:snapToGrid w:val="0"/>
      <w:jc w:val="left"/>
    </w:pPr>
    <w:rPr>
      <w:rFonts w:ascii="Calibri" w:hAnsi="Calibri" w:cs="宋体"/>
      <w:sz w:val="18"/>
      <w:szCs w:val="22"/>
    </w:rPr>
  </w:style>
  <w:style w:type="paragraph" w:styleId="39">
    <w:name w:val="header"/>
    <w:basedOn w:val="1"/>
    <w:link w:val="154"/>
    <w:qFormat/>
    <w:uiPriority w:val="99"/>
    <w:pPr>
      <w:pBdr>
        <w:bottom w:val="single" w:color="auto" w:sz="6" w:space="1"/>
      </w:pBdr>
      <w:tabs>
        <w:tab w:val="center" w:pos="4153"/>
        <w:tab w:val="right" w:pos="8306"/>
      </w:tabs>
      <w:snapToGrid w:val="0"/>
      <w:jc w:val="center"/>
    </w:pPr>
    <w:rPr>
      <w:rFonts w:ascii="Calibri" w:hAnsi="Calibri" w:cs="宋体"/>
      <w:sz w:val="18"/>
      <w:szCs w:val="22"/>
    </w:rPr>
  </w:style>
  <w:style w:type="paragraph" w:styleId="40">
    <w:name w:val="toc 1"/>
    <w:basedOn w:val="1"/>
    <w:next w:val="1"/>
    <w:qFormat/>
    <w:uiPriority w:val="39"/>
    <w:pPr>
      <w:spacing w:line="180" w:lineRule="auto"/>
      <w:jc w:val="center"/>
    </w:pPr>
    <w:rPr>
      <w:sz w:val="30"/>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39"/>
    <w:pPr>
      <w:ind w:left="1260" w:leftChars="600"/>
    </w:pPr>
  </w:style>
  <w:style w:type="paragraph" w:styleId="43">
    <w:name w:val="Subtitle"/>
    <w:basedOn w:val="1"/>
    <w:next w:val="1"/>
    <w:link w:val="151"/>
    <w:qFormat/>
    <w:uiPriority w:val="0"/>
    <w:pPr>
      <w:spacing w:before="240" w:after="60" w:line="312" w:lineRule="auto"/>
      <w:jc w:val="center"/>
      <w:outlineLvl w:val="1"/>
    </w:pPr>
    <w:rPr>
      <w:rFonts w:ascii="Cambria" w:hAnsi="Cambria" w:cs="宋体"/>
      <w:b/>
      <w:bCs/>
      <w:kern w:val="28"/>
      <w:sz w:val="32"/>
      <w:szCs w:val="32"/>
    </w:rPr>
  </w:style>
  <w:style w:type="paragraph" w:styleId="44">
    <w:name w:val="List"/>
    <w:basedOn w:val="1"/>
    <w:semiHidden/>
    <w:qFormat/>
    <w:uiPriority w:val="0"/>
    <w:pPr>
      <w:ind w:left="200" w:hanging="200" w:hangingChars="200"/>
    </w:pPr>
  </w:style>
  <w:style w:type="paragraph" w:styleId="45">
    <w:name w:val="footnote text"/>
    <w:basedOn w:val="1"/>
    <w:link w:val="94"/>
    <w:qFormat/>
    <w:uiPriority w:val="0"/>
    <w:pPr>
      <w:spacing w:line="360" w:lineRule="auto"/>
    </w:pPr>
    <w:rPr>
      <w:rFonts w:ascii="Calibri" w:hAnsi="Calibri" w:cs="宋体"/>
      <w:sz w:val="18"/>
      <w:szCs w:val="22"/>
    </w:rPr>
  </w:style>
  <w:style w:type="paragraph" w:styleId="46">
    <w:name w:val="toc 6"/>
    <w:basedOn w:val="1"/>
    <w:next w:val="1"/>
    <w:qFormat/>
    <w:uiPriority w:val="39"/>
    <w:pPr>
      <w:ind w:left="2100" w:leftChars="1000"/>
    </w:pPr>
  </w:style>
  <w:style w:type="paragraph" w:styleId="47">
    <w:name w:val="List 5"/>
    <w:basedOn w:val="1"/>
    <w:qFormat/>
    <w:uiPriority w:val="0"/>
    <w:pPr>
      <w:adjustRightInd w:val="0"/>
      <w:snapToGrid w:val="0"/>
      <w:spacing w:line="360" w:lineRule="auto"/>
      <w:ind w:left="100" w:leftChars="800" w:hanging="200" w:hangingChars="200"/>
    </w:pPr>
    <w:rPr>
      <w:sz w:val="24"/>
    </w:rPr>
  </w:style>
  <w:style w:type="paragraph" w:styleId="48">
    <w:name w:val="Body Text Indent 3"/>
    <w:basedOn w:val="1"/>
    <w:link w:val="131"/>
    <w:qFormat/>
    <w:uiPriority w:val="0"/>
    <w:pPr>
      <w:spacing w:line="360" w:lineRule="auto"/>
      <w:ind w:firstLine="632"/>
    </w:pPr>
    <w:rPr>
      <w:rFonts w:ascii="黑体" w:hAnsi="Calibri" w:eastAsia="黑体" w:cs="宋体"/>
      <w:szCs w:val="22"/>
    </w:rPr>
  </w:style>
  <w:style w:type="paragraph" w:styleId="49">
    <w:name w:val="table of figures"/>
    <w:basedOn w:val="1"/>
    <w:next w:val="1"/>
    <w:qFormat/>
    <w:uiPriority w:val="0"/>
    <w:pPr>
      <w:tabs>
        <w:tab w:val="right" w:leader="dot" w:pos="8640"/>
      </w:tabs>
      <w:spacing w:line="360" w:lineRule="auto"/>
      <w:ind w:left="400" w:hanging="400"/>
    </w:pPr>
    <w:rPr>
      <w:sz w:val="24"/>
    </w:rPr>
  </w:style>
  <w:style w:type="paragraph" w:styleId="50">
    <w:name w:val="toc 2"/>
    <w:basedOn w:val="1"/>
    <w:next w:val="1"/>
    <w:qFormat/>
    <w:uiPriority w:val="39"/>
    <w:pPr>
      <w:ind w:left="420" w:leftChars="200"/>
    </w:pPr>
  </w:style>
  <w:style w:type="paragraph" w:styleId="51">
    <w:name w:val="toc 9"/>
    <w:basedOn w:val="1"/>
    <w:next w:val="1"/>
    <w:qFormat/>
    <w:uiPriority w:val="39"/>
    <w:pPr>
      <w:ind w:left="3360" w:leftChars="1600"/>
    </w:pPr>
  </w:style>
  <w:style w:type="paragraph" w:styleId="52">
    <w:name w:val="Body Text 2"/>
    <w:basedOn w:val="1"/>
    <w:link w:val="183"/>
    <w:qFormat/>
    <w:uiPriority w:val="0"/>
    <w:pPr>
      <w:adjustRightInd w:val="0"/>
      <w:snapToGrid w:val="0"/>
      <w:spacing w:after="120" w:line="480" w:lineRule="auto"/>
    </w:pPr>
    <w:rPr>
      <w:sz w:val="24"/>
    </w:rPr>
  </w:style>
  <w:style w:type="paragraph" w:styleId="53">
    <w:name w:val="List 4"/>
    <w:basedOn w:val="1"/>
    <w:qFormat/>
    <w:uiPriority w:val="0"/>
    <w:pPr>
      <w:adjustRightInd w:val="0"/>
      <w:snapToGrid w:val="0"/>
      <w:spacing w:line="360" w:lineRule="auto"/>
      <w:ind w:left="100" w:leftChars="600" w:hanging="200" w:hangingChars="200"/>
    </w:pPr>
    <w:rPr>
      <w:sz w:val="24"/>
    </w:rPr>
  </w:style>
  <w:style w:type="paragraph" w:styleId="54">
    <w:name w:val="List Continue 2"/>
    <w:basedOn w:val="1"/>
    <w:qFormat/>
    <w:uiPriority w:val="0"/>
    <w:pPr>
      <w:adjustRightInd w:val="0"/>
      <w:snapToGrid w:val="0"/>
      <w:spacing w:after="120" w:line="360" w:lineRule="auto"/>
      <w:ind w:left="840" w:leftChars="400"/>
    </w:pPr>
    <w:rPr>
      <w:sz w:val="24"/>
    </w:rPr>
  </w:style>
  <w:style w:type="paragraph" w:styleId="55">
    <w:name w:val="HTML Preformatted"/>
    <w:basedOn w:val="1"/>
    <w:link w:val="12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sz w:val="24"/>
      <w:szCs w:val="24"/>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List Continue 3"/>
    <w:basedOn w:val="1"/>
    <w:qFormat/>
    <w:uiPriority w:val="0"/>
    <w:pPr>
      <w:adjustRightInd w:val="0"/>
      <w:snapToGrid w:val="0"/>
      <w:spacing w:after="120" w:line="360" w:lineRule="auto"/>
      <w:ind w:left="1260" w:leftChars="600"/>
    </w:pPr>
    <w:rPr>
      <w:sz w:val="24"/>
    </w:rPr>
  </w:style>
  <w:style w:type="paragraph" w:styleId="58">
    <w:name w:val="index 1"/>
    <w:basedOn w:val="1"/>
    <w:next w:val="1"/>
    <w:qFormat/>
    <w:uiPriority w:val="0"/>
    <w:pPr>
      <w:adjustRightInd w:val="0"/>
      <w:spacing w:line="240" w:lineRule="atLeast"/>
      <w:textAlignment w:val="baseline"/>
    </w:pPr>
    <w:rPr>
      <w:rFonts w:ascii="宋体"/>
      <w:kern w:val="0"/>
      <w:sz w:val="21"/>
    </w:rPr>
  </w:style>
  <w:style w:type="paragraph" w:styleId="59">
    <w:name w:val="Title"/>
    <w:basedOn w:val="1"/>
    <w:next w:val="1"/>
    <w:link w:val="128"/>
    <w:qFormat/>
    <w:uiPriority w:val="0"/>
    <w:pPr>
      <w:widowControl/>
      <w:spacing w:after="240" w:line="360" w:lineRule="auto"/>
      <w:jc w:val="center"/>
    </w:pPr>
    <w:rPr>
      <w:rFonts w:ascii="Arial" w:hAnsi="Arial" w:cs="宋体"/>
      <w:b/>
      <w:smallCaps/>
      <w:kern w:val="28"/>
      <w:sz w:val="36"/>
      <w:szCs w:val="22"/>
      <w:lang w:eastAsia="en-US"/>
    </w:rPr>
  </w:style>
  <w:style w:type="paragraph" w:styleId="60">
    <w:name w:val="annotation subject"/>
    <w:basedOn w:val="20"/>
    <w:next w:val="20"/>
    <w:link w:val="139"/>
    <w:qFormat/>
    <w:uiPriority w:val="0"/>
    <w:rPr>
      <w:rFonts w:ascii="Calibri" w:hAnsi="Calibri" w:cs="宋体"/>
      <w:sz w:val="24"/>
      <w:szCs w:val="22"/>
    </w:rPr>
  </w:style>
  <w:style w:type="paragraph" w:styleId="61">
    <w:name w:val="Body Text First Indent"/>
    <w:basedOn w:val="2"/>
    <w:next w:val="1"/>
    <w:link w:val="198"/>
    <w:qFormat/>
    <w:uiPriority w:val="0"/>
    <w:pPr>
      <w:spacing w:line="360" w:lineRule="auto"/>
      <w:ind w:firstLine="420"/>
    </w:pPr>
    <w:rPr>
      <w:rFonts w:ascii="宋体" w:hAnsi="宋体"/>
      <w:sz w:val="24"/>
    </w:rPr>
  </w:style>
  <w:style w:type="paragraph" w:styleId="62">
    <w:name w:val="Body Text First Indent 2"/>
    <w:basedOn w:val="23"/>
    <w:link w:val="120"/>
    <w:qFormat/>
    <w:uiPriority w:val="0"/>
    <w:pPr>
      <w:ind w:firstLine="420" w:firstLineChars="200"/>
    </w:pPr>
    <w:rPr>
      <w:rFonts w:ascii="Calibri" w:hAnsi="Calibri" w:cs="宋体"/>
      <w:sz w:val="44"/>
      <w:szCs w:val="22"/>
    </w:rPr>
  </w:style>
  <w:style w:type="table" w:styleId="64">
    <w:name w:val="Table Grid"/>
    <w:basedOn w:val="6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6">
    <w:name w:val="Strong"/>
    <w:qFormat/>
    <w:uiPriority w:val="0"/>
    <w:rPr>
      <w:b/>
    </w:rPr>
  </w:style>
  <w:style w:type="character" w:styleId="67">
    <w:name w:val="endnote reference"/>
    <w:qFormat/>
    <w:uiPriority w:val="0"/>
    <w:rPr>
      <w:vertAlign w:val="superscript"/>
    </w:rPr>
  </w:style>
  <w:style w:type="character" w:styleId="68">
    <w:name w:val="page number"/>
    <w:basedOn w:val="65"/>
    <w:qFormat/>
    <w:uiPriority w:val="0"/>
  </w:style>
  <w:style w:type="character" w:styleId="69">
    <w:name w:val="FollowedHyperlink"/>
    <w:qFormat/>
    <w:uiPriority w:val="0"/>
    <w:rPr>
      <w:color w:val="800080"/>
      <w:u w:val="single"/>
    </w:rPr>
  </w:style>
  <w:style w:type="character" w:styleId="70">
    <w:name w:val="Emphasis"/>
    <w:qFormat/>
    <w:uiPriority w:val="0"/>
    <w:rPr>
      <w:i/>
    </w:rPr>
  </w:style>
  <w:style w:type="character" w:styleId="71">
    <w:name w:val="Hyperlink"/>
    <w:qFormat/>
    <w:uiPriority w:val="99"/>
    <w:rPr>
      <w:color w:val="0000FF"/>
      <w:u w:val="single"/>
    </w:rPr>
  </w:style>
  <w:style w:type="character" w:styleId="72">
    <w:name w:val="annotation reference"/>
    <w:qFormat/>
    <w:uiPriority w:val="0"/>
    <w:rPr>
      <w:sz w:val="21"/>
      <w:szCs w:val="21"/>
    </w:rPr>
  </w:style>
  <w:style w:type="character" w:styleId="73">
    <w:name w:val="footnote reference"/>
    <w:qFormat/>
    <w:uiPriority w:val="0"/>
    <w:rPr>
      <w:position w:val="6"/>
      <w:sz w:val="14"/>
      <w:vertAlign w:val="superscript"/>
    </w:rPr>
  </w:style>
  <w:style w:type="character" w:customStyle="1" w:styleId="74">
    <w:name w:val="标题 3 Char"/>
    <w:basedOn w:val="65"/>
    <w:link w:val="5"/>
    <w:qFormat/>
    <w:uiPriority w:val="0"/>
    <w:rPr>
      <w:rFonts w:ascii="Times New Roman" w:hAnsi="Times New Roman" w:eastAsia="宋体"/>
      <w:b/>
      <w:kern w:val="2"/>
      <w:sz w:val="24"/>
      <w:szCs w:val="24"/>
    </w:rPr>
  </w:style>
  <w:style w:type="character" w:customStyle="1" w:styleId="75">
    <w:name w:val="标题 1 Char"/>
    <w:basedOn w:val="65"/>
    <w:link w:val="3"/>
    <w:qFormat/>
    <w:uiPriority w:val="0"/>
    <w:rPr>
      <w:rFonts w:ascii="宋体" w:hAnsi="Times New Roman" w:eastAsia="宋体" w:cs="Times New Roman"/>
      <w:sz w:val="28"/>
      <w:szCs w:val="20"/>
    </w:rPr>
  </w:style>
  <w:style w:type="paragraph" w:customStyle="1" w:styleId="76">
    <w:name w:val="无间隔2"/>
    <w:basedOn w:val="1"/>
    <w:qFormat/>
    <w:uiPriority w:val="0"/>
    <w:pPr>
      <w:spacing w:line="400" w:lineRule="exact"/>
    </w:pPr>
    <w:rPr>
      <w:sz w:val="24"/>
    </w:rPr>
  </w:style>
  <w:style w:type="paragraph" w:customStyle="1" w:styleId="77">
    <w:name w:val="引用1"/>
    <w:basedOn w:val="1"/>
    <w:next w:val="1"/>
    <w:link w:val="104"/>
    <w:qFormat/>
    <w:uiPriority w:val="0"/>
    <w:rPr>
      <w:rFonts w:ascii="Calibri" w:hAnsi="Calibri" w:cs="宋体"/>
      <w:i/>
      <w:iCs/>
      <w:color w:val="000000"/>
      <w:sz w:val="21"/>
      <w:szCs w:val="22"/>
    </w:rPr>
  </w:style>
  <w:style w:type="paragraph" w:customStyle="1" w:styleId="78">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9">
    <w:name w:val="电建正文"/>
    <w:basedOn w:val="80"/>
    <w:qFormat/>
    <w:uiPriority w:val="0"/>
    <w:pPr>
      <w:tabs>
        <w:tab w:val="left" w:pos="720"/>
      </w:tabs>
      <w:spacing w:line="360" w:lineRule="auto"/>
      <w:ind w:firstLine="200" w:firstLineChars="200"/>
    </w:pPr>
    <w:rPr>
      <w:rFonts w:ascii="Tahoma" w:hAnsi="Tahoma"/>
      <w:sz w:val="24"/>
    </w:rPr>
  </w:style>
  <w:style w:type="paragraph" w:customStyle="1" w:styleId="80">
    <w:name w:val="List First"/>
    <w:basedOn w:val="44"/>
    <w:next w:val="44"/>
    <w:qFormat/>
    <w:uiPriority w:val="0"/>
    <w:pPr>
      <w:widowControl/>
      <w:tabs>
        <w:tab w:val="left" w:pos="720"/>
      </w:tabs>
      <w:overflowPunct w:val="0"/>
      <w:autoSpaceDE w:val="0"/>
      <w:autoSpaceDN w:val="0"/>
      <w:spacing w:before="80" w:after="80"/>
      <w:ind w:left="0"/>
      <w:jc w:val="left"/>
    </w:pPr>
    <w:rPr>
      <w:rFonts w:ascii="Times New Roman" w:hAnsi="Times New Roman"/>
      <w:kern w:val="0"/>
      <w:sz w:val="20"/>
    </w:rPr>
  </w:style>
  <w:style w:type="character" w:customStyle="1" w:styleId="81">
    <w:name w:val="标题 2 Char"/>
    <w:basedOn w:val="65"/>
    <w:link w:val="4"/>
    <w:qFormat/>
    <w:uiPriority w:val="0"/>
    <w:rPr>
      <w:rFonts w:ascii="Arial" w:hAnsi="Arial" w:eastAsia="黑体" w:cs="Times New Roman"/>
      <w:b/>
      <w:sz w:val="32"/>
      <w:szCs w:val="20"/>
    </w:rPr>
  </w:style>
  <w:style w:type="character" w:customStyle="1" w:styleId="82">
    <w:name w:val="标题 4 Char"/>
    <w:basedOn w:val="65"/>
    <w:link w:val="6"/>
    <w:qFormat/>
    <w:uiPriority w:val="0"/>
    <w:rPr>
      <w:rFonts w:ascii="Arial" w:hAnsi="Arial" w:eastAsia="黑体" w:cs="Times New Roman"/>
      <w:b/>
      <w:sz w:val="28"/>
      <w:szCs w:val="20"/>
    </w:rPr>
  </w:style>
  <w:style w:type="character" w:customStyle="1" w:styleId="83">
    <w:name w:val="标题 5 Char"/>
    <w:basedOn w:val="65"/>
    <w:link w:val="7"/>
    <w:qFormat/>
    <w:uiPriority w:val="0"/>
    <w:rPr>
      <w:rFonts w:ascii="Times New Roman" w:hAnsi="Times New Roman" w:eastAsia="宋体" w:cs="Times New Roman"/>
      <w:b/>
      <w:sz w:val="28"/>
      <w:szCs w:val="20"/>
    </w:rPr>
  </w:style>
  <w:style w:type="character" w:customStyle="1" w:styleId="84">
    <w:name w:val="标题 6 Char"/>
    <w:basedOn w:val="65"/>
    <w:link w:val="8"/>
    <w:qFormat/>
    <w:uiPriority w:val="0"/>
    <w:rPr>
      <w:rFonts w:ascii="Arial" w:hAnsi="Arial" w:eastAsia="黑体" w:cs="Times New Roman"/>
      <w:b/>
      <w:sz w:val="24"/>
      <w:szCs w:val="20"/>
    </w:rPr>
  </w:style>
  <w:style w:type="character" w:customStyle="1" w:styleId="85">
    <w:name w:val="标题 7 Char"/>
    <w:basedOn w:val="65"/>
    <w:link w:val="9"/>
    <w:qFormat/>
    <w:uiPriority w:val="0"/>
    <w:rPr>
      <w:rFonts w:ascii="Arial" w:hAnsi="Arial" w:eastAsia="黑体" w:cs="Times New Roman"/>
      <w:b/>
      <w:sz w:val="24"/>
      <w:szCs w:val="20"/>
    </w:rPr>
  </w:style>
  <w:style w:type="character" w:customStyle="1" w:styleId="86">
    <w:name w:val="标题 8 Char"/>
    <w:basedOn w:val="65"/>
    <w:link w:val="10"/>
    <w:qFormat/>
    <w:uiPriority w:val="0"/>
    <w:rPr>
      <w:rFonts w:ascii="Arial" w:hAnsi="Arial" w:eastAsia="黑体" w:cs="Times New Roman"/>
      <w:b/>
      <w:sz w:val="24"/>
      <w:szCs w:val="20"/>
    </w:rPr>
  </w:style>
  <w:style w:type="character" w:customStyle="1" w:styleId="87">
    <w:name w:val="标题 9 Char"/>
    <w:basedOn w:val="65"/>
    <w:link w:val="11"/>
    <w:qFormat/>
    <w:uiPriority w:val="0"/>
    <w:rPr>
      <w:rFonts w:ascii="Arial" w:hAnsi="Arial" w:eastAsia="黑体" w:cs="Times New Roman"/>
      <w:b/>
      <w:sz w:val="24"/>
      <w:szCs w:val="20"/>
    </w:rPr>
  </w:style>
  <w:style w:type="character" w:customStyle="1" w:styleId="88">
    <w:name w:val="Table Text Char"/>
    <w:link w:val="89"/>
    <w:qFormat/>
    <w:uiPriority w:val="0"/>
    <w:rPr>
      <w:rFonts w:ascii="Arial" w:hAnsi="Arial"/>
      <w:sz w:val="18"/>
    </w:rPr>
  </w:style>
  <w:style w:type="paragraph" w:customStyle="1" w:styleId="89">
    <w:name w:val="Table Text"/>
    <w:link w:val="88"/>
    <w:qFormat/>
    <w:uiPriority w:val="0"/>
    <w:pPr>
      <w:snapToGrid w:val="0"/>
      <w:spacing w:before="80" w:after="80"/>
    </w:pPr>
    <w:rPr>
      <w:rFonts w:ascii="Arial" w:hAnsi="Arial" w:eastAsia="宋体" w:cs="宋体"/>
      <w:kern w:val="2"/>
      <w:sz w:val="18"/>
      <w:szCs w:val="22"/>
      <w:lang w:val="en-US" w:eastAsia="zh-CN" w:bidi="ar-SA"/>
    </w:rPr>
  </w:style>
  <w:style w:type="character" w:customStyle="1" w:styleId="90">
    <w:name w:val="文档结构图 Char"/>
    <w:link w:val="18"/>
    <w:qFormat/>
    <w:uiPriority w:val="0"/>
    <w:rPr>
      <w:sz w:val="28"/>
      <w:shd w:val="clear" w:color="auto" w:fill="000080"/>
    </w:rPr>
  </w:style>
  <w:style w:type="character" w:customStyle="1" w:styleId="91">
    <w:name w:val="批注文字 Char"/>
    <w:qFormat/>
    <w:uiPriority w:val="0"/>
    <w:rPr>
      <w:sz w:val="24"/>
    </w:rPr>
  </w:style>
  <w:style w:type="character" w:customStyle="1" w:styleId="92">
    <w:name w:val="14t1"/>
    <w:qFormat/>
    <w:uiPriority w:val="0"/>
    <w:rPr>
      <w:rFonts w:hint="eastAsia" w:ascii="宋体" w:hAnsi="宋体" w:eastAsia="宋体"/>
      <w:sz w:val="11"/>
      <w:szCs w:val="11"/>
    </w:rPr>
  </w:style>
  <w:style w:type="character" w:customStyle="1" w:styleId="93">
    <w:name w:val="正文文本 3 Char"/>
    <w:link w:val="21"/>
    <w:qFormat/>
    <w:uiPriority w:val="0"/>
    <w:rPr>
      <w:sz w:val="16"/>
    </w:rPr>
  </w:style>
  <w:style w:type="character" w:customStyle="1" w:styleId="94">
    <w:name w:val="脚注文本 Char"/>
    <w:link w:val="45"/>
    <w:qFormat/>
    <w:uiPriority w:val="0"/>
    <w:rPr>
      <w:sz w:val="18"/>
    </w:rPr>
  </w:style>
  <w:style w:type="character" w:customStyle="1" w:styleId="95">
    <w:name w:val="docpro"/>
    <w:qFormat/>
    <w:uiPriority w:val="0"/>
  </w:style>
  <w:style w:type="character" w:customStyle="1" w:styleId="96">
    <w:name w:val="正文缩进2格 Char"/>
    <w:link w:val="97"/>
    <w:qFormat/>
    <w:uiPriority w:val="99"/>
    <w:rPr>
      <w:rFonts w:ascii="仿宋_GB2312" w:hAnsi="宋体" w:eastAsia="仿宋_GB2312"/>
      <w:sz w:val="28"/>
    </w:rPr>
  </w:style>
  <w:style w:type="paragraph" w:customStyle="1" w:styleId="97">
    <w:name w:val="正文缩进2格"/>
    <w:basedOn w:val="1"/>
    <w:link w:val="96"/>
    <w:qFormat/>
    <w:uiPriority w:val="99"/>
    <w:pPr>
      <w:spacing w:line="600" w:lineRule="exact"/>
      <w:ind w:firstLine="639" w:firstLineChars="206"/>
    </w:pPr>
    <w:rPr>
      <w:rFonts w:ascii="仿宋_GB2312" w:hAnsi="宋体" w:eastAsia="仿宋_GB2312" w:cs="宋体"/>
      <w:szCs w:val="22"/>
    </w:rPr>
  </w:style>
  <w:style w:type="character" w:customStyle="1" w:styleId="98">
    <w:name w:val="批注框文本 Char"/>
    <w:link w:val="37"/>
    <w:qFormat/>
    <w:uiPriority w:val="0"/>
    <w:rPr>
      <w:sz w:val="18"/>
    </w:rPr>
  </w:style>
  <w:style w:type="character" w:customStyle="1" w:styleId="99">
    <w:name w:val="Table Text Char Char Char Char"/>
    <w:link w:val="100"/>
    <w:qFormat/>
    <w:uiPriority w:val="0"/>
    <w:rPr>
      <w:rFonts w:ascii="Arial" w:hAnsi="Arial"/>
      <w:sz w:val="18"/>
    </w:rPr>
  </w:style>
  <w:style w:type="paragraph" w:customStyle="1" w:styleId="100">
    <w:name w:val="Table Text Char Char Char"/>
    <w:link w:val="99"/>
    <w:qFormat/>
    <w:uiPriority w:val="0"/>
    <w:pPr>
      <w:snapToGrid w:val="0"/>
      <w:spacing w:before="80" w:after="80"/>
    </w:pPr>
    <w:rPr>
      <w:rFonts w:ascii="Arial" w:hAnsi="Arial" w:eastAsia="宋体" w:cs="宋体"/>
      <w:kern w:val="2"/>
      <w:sz w:val="18"/>
      <w:szCs w:val="22"/>
      <w:lang w:val="en-US" w:eastAsia="zh-CN" w:bidi="ar-SA"/>
    </w:rPr>
  </w:style>
  <w:style w:type="character" w:customStyle="1" w:styleId="101">
    <w:name w:val="font161"/>
    <w:qFormat/>
    <w:uiPriority w:val="0"/>
    <w:rPr>
      <w:b/>
      <w:bCs/>
      <w:sz w:val="32"/>
      <w:szCs w:val="32"/>
    </w:rPr>
  </w:style>
  <w:style w:type="character" w:customStyle="1" w:styleId="102">
    <w:name w:val="文字 Char"/>
    <w:link w:val="103"/>
    <w:qFormat/>
    <w:uiPriority w:val="0"/>
    <w:rPr>
      <w:rFonts w:ascii="宋体"/>
      <w:sz w:val="28"/>
    </w:rPr>
  </w:style>
  <w:style w:type="paragraph" w:customStyle="1" w:styleId="103">
    <w:name w:val="文字"/>
    <w:basedOn w:val="1"/>
    <w:link w:val="102"/>
    <w:qFormat/>
    <w:uiPriority w:val="0"/>
    <w:pPr>
      <w:tabs>
        <w:tab w:val="left" w:pos="8520"/>
      </w:tabs>
      <w:spacing w:line="312" w:lineRule="auto"/>
      <w:ind w:right="-210" w:firstLine="556"/>
    </w:pPr>
    <w:rPr>
      <w:rFonts w:ascii="宋体" w:hAnsi="Calibri" w:cs="宋体"/>
      <w:szCs w:val="22"/>
    </w:rPr>
  </w:style>
  <w:style w:type="character" w:customStyle="1" w:styleId="104">
    <w:name w:val="引用 Char"/>
    <w:link w:val="77"/>
    <w:qFormat/>
    <w:uiPriority w:val="0"/>
    <w:rPr>
      <w:i/>
      <w:iCs/>
      <w:color w:val="000000"/>
    </w:rPr>
  </w:style>
  <w:style w:type="character" w:customStyle="1" w:styleId="105">
    <w:name w:val="0d1471"/>
    <w:qFormat/>
    <w:uiPriority w:val="0"/>
    <w:rPr>
      <w:color w:val="000000"/>
      <w:sz w:val="11"/>
      <w:szCs w:val="11"/>
      <w:u w:val="none"/>
    </w:rPr>
  </w:style>
  <w:style w:type="character" w:customStyle="1" w:styleId="106">
    <w:name w:val="*正文 Char"/>
    <w:link w:val="107"/>
    <w:qFormat/>
    <w:uiPriority w:val="0"/>
    <w:rPr>
      <w:rFonts w:ascii="仿宋_GB2312" w:eastAsia="仿宋_GB2312"/>
      <w:sz w:val="24"/>
      <w:szCs w:val="28"/>
    </w:rPr>
  </w:style>
  <w:style w:type="paragraph" w:customStyle="1" w:styleId="107">
    <w:name w:val="*正文"/>
    <w:basedOn w:val="1"/>
    <w:link w:val="106"/>
    <w:qFormat/>
    <w:uiPriority w:val="0"/>
    <w:pPr>
      <w:widowControl/>
      <w:ind w:firstLine="200" w:firstLineChars="200"/>
    </w:pPr>
    <w:rPr>
      <w:rFonts w:ascii="仿宋_GB2312" w:hAnsi="Calibri" w:eastAsia="仿宋_GB2312" w:cs="宋体"/>
      <w:sz w:val="24"/>
      <w:szCs w:val="28"/>
    </w:rPr>
  </w:style>
  <w:style w:type="character" w:customStyle="1" w:styleId="108">
    <w:name w:val="intel3"/>
    <w:qFormat/>
    <w:uiPriority w:val="0"/>
  </w:style>
  <w:style w:type="character" w:customStyle="1" w:styleId="109">
    <w:name w:val="Table Text Char1 Char"/>
    <w:qFormat/>
    <w:uiPriority w:val="0"/>
    <w:rPr>
      <w:rFonts w:ascii="Arial" w:hAnsi="Arial"/>
      <w:kern w:val="2"/>
      <w:sz w:val="18"/>
      <w:lang w:val="en-US" w:eastAsia="zh-CN" w:bidi="ar-SA"/>
    </w:rPr>
  </w:style>
  <w:style w:type="character" w:customStyle="1" w:styleId="110">
    <w:name w:val="标题5 Char Char"/>
    <w:link w:val="111"/>
    <w:qFormat/>
    <w:uiPriority w:val="0"/>
    <w:rPr>
      <w:rFonts w:ascii="宋体"/>
    </w:rPr>
  </w:style>
  <w:style w:type="paragraph" w:customStyle="1" w:styleId="111">
    <w:name w:val="标题5"/>
    <w:basedOn w:val="1"/>
    <w:link w:val="110"/>
    <w:qFormat/>
    <w:uiPriority w:val="0"/>
    <w:pPr>
      <w:tabs>
        <w:tab w:val="left" w:pos="0"/>
      </w:tabs>
      <w:autoSpaceDE w:val="0"/>
      <w:autoSpaceDN w:val="0"/>
      <w:adjustRightInd w:val="0"/>
      <w:snapToGrid w:val="0"/>
      <w:spacing w:line="320" w:lineRule="atLeast"/>
    </w:pPr>
    <w:rPr>
      <w:rFonts w:ascii="宋体" w:hAnsi="Calibri" w:cs="宋体"/>
      <w:sz w:val="21"/>
      <w:szCs w:val="22"/>
    </w:rPr>
  </w:style>
  <w:style w:type="character" w:customStyle="1" w:styleId="112">
    <w:name w:val="main_tdbg_7601"/>
    <w:qFormat/>
    <w:uiPriority w:val="0"/>
    <w:rPr>
      <w:sz w:val="14"/>
      <w:szCs w:val="14"/>
    </w:rPr>
  </w:style>
  <w:style w:type="character" w:customStyle="1" w:styleId="113">
    <w:name w:val="font1"/>
    <w:qFormat/>
    <w:uiPriority w:val="0"/>
    <w:rPr>
      <w:color w:val="000000"/>
      <w:sz w:val="18"/>
    </w:rPr>
  </w:style>
  <w:style w:type="character" w:customStyle="1" w:styleId="114">
    <w:name w:val="日期 Char"/>
    <w:link w:val="34"/>
    <w:qFormat/>
    <w:uiPriority w:val="0"/>
    <w:rPr>
      <w:sz w:val="28"/>
    </w:rPr>
  </w:style>
  <w:style w:type="character" w:customStyle="1" w:styleId="115">
    <w:name w:val="Char Char6"/>
    <w:qFormat/>
    <w:uiPriority w:val="0"/>
    <w:rPr>
      <w:rFonts w:ascii="仿宋_GB2312" w:eastAsia="仿宋_GB2312"/>
      <w:kern w:val="2"/>
      <w:sz w:val="32"/>
    </w:rPr>
  </w:style>
  <w:style w:type="character" w:customStyle="1" w:styleId="116">
    <w:name w:val="title_emph1"/>
    <w:qFormat/>
    <w:uiPriority w:val="0"/>
    <w:rPr>
      <w:rFonts w:hint="default" w:ascii="Arial" w:hAnsi="Arial"/>
      <w:b/>
      <w:sz w:val="20"/>
    </w:rPr>
  </w:style>
  <w:style w:type="character" w:customStyle="1" w:styleId="117">
    <w:name w:val="未命名11"/>
    <w:qFormat/>
    <w:uiPriority w:val="0"/>
    <w:rPr>
      <w:color w:val="77FFFF"/>
      <w:sz w:val="24"/>
    </w:rPr>
  </w:style>
  <w:style w:type="character" w:customStyle="1" w:styleId="118">
    <w:name w:val="ca-141"/>
    <w:qFormat/>
    <w:uiPriority w:val="0"/>
    <w:rPr>
      <w:rFonts w:hint="eastAsia" w:ascii="仿宋_GB2312" w:eastAsia="仿宋_GB2312"/>
      <w:sz w:val="21"/>
      <w:szCs w:val="21"/>
    </w:rPr>
  </w:style>
  <w:style w:type="character" w:customStyle="1" w:styleId="119">
    <w:name w:val="Table Heading Char Char"/>
    <w:qFormat/>
    <w:uiPriority w:val="0"/>
    <w:rPr>
      <w:rFonts w:ascii="Arial" w:hAnsi="Arial" w:eastAsia="黑体"/>
      <w:kern w:val="2"/>
      <w:sz w:val="18"/>
      <w:lang w:val="en-US" w:eastAsia="zh-CN"/>
    </w:rPr>
  </w:style>
  <w:style w:type="character" w:customStyle="1" w:styleId="120">
    <w:name w:val="正文首行缩进 2 Char"/>
    <w:basedOn w:val="121"/>
    <w:link w:val="62"/>
    <w:qFormat/>
    <w:uiPriority w:val="0"/>
    <w:rPr>
      <w:kern w:val="2"/>
      <w:sz w:val="44"/>
    </w:rPr>
  </w:style>
  <w:style w:type="character" w:customStyle="1" w:styleId="121">
    <w:name w:val="正文文本缩进 Char"/>
    <w:qFormat/>
    <w:uiPriority w:val="0"/>
    <w:rPr>
      <w:kern w:val="2"/>
      <w:sz w:val="44"/>
    </w:rPr>
  </w:style>
  <w:style w:type="character" w:customStyle="1" w:styleId="122">
    <w:name w:val="l1"/>
    <w:qFormat/>
    <w:uiPriority w:val="0"/>
  </w:style>
  <w:style w:type="character" w:customStyle="1" w:styleId="123">
    <w:name w:val="标题4 Char Char"/>
    <w:link w:val="124"/>
    <w:qFormat/>
    <w:uiPriority w:val="0"/>
    <w:rPr>
      <w:rFonts w:ascii="Arial" w:hAnsi="Arial"/>
      <w:b/>
      <w:bCs/>
      <w:sz w:val="24"/>
      <w:szCs w:val="32"/>
    </w:rPr>
  </w:style>
  <w:style w:type="paragraph" w:customStyle="1" w:styleId="124">
    <w:name w:val="标题4"/>
    <w:basedOn w:val="4"/>
    <w:next w:val="29"/>
    <w:link w:val="123"/>
    <w:qFormat/>
    <w:uiPriority w:val="0"/>
    <w:rPr>
      <w:rFonts w:eastAsia="宋体" w:cs="宋体"/>
      <w:bCs/>
      <w:sz w:val="24"/>
      <w:szCs w:val="32"/>
    </w:rPr>
  </w:style>
  <w:style w:type="character" w:customStyle="1" w:styleId="125">
    <w:name w:val="HTML 预设格式 Char"/>
    <w:link w:val="55"/>
    <w:qFormat/>
    <w:uiPriority w:val="0"/>
    <w:rPr>
      <w:rFonts w:ascii="宋体" w:hAnsi="宋体" w:cs="宋体"/>
      <w:color w:val="000000"/>
      <w:sz w:val="24"/>
      <w:szCs w:val="24"/>
    </w:rPr>
  </w:style>
  <w:style w:type="character" w:customStyle="1" w:styleId="126">
    <w:name w:val="Char Char2"/>
    <w:qFormat/>
    <w:uiPriority w:val="0"/>
    <w:rPr>
      <w:rFonts w:eastAsia="宋体"/>
      <w:kern w:val="2"/>
      <w:sz w:val="18"/>
      <w:lang w:val="en-US" w:eastAsia="zh-CN"/>
    </w:rPr>
  </w:style>
  <w:style w:type="character" w:customStyle="1" w:styleId="127">
    <w:name w:val="ht1"/>
    <w:qFormat/>
    <w:uiPriority w:val="0"/>
    <w:rPr>
      <w:rFonts w:ascii="黑体" w:eastAsia="黑体"/>
      <w:b/>
      <w:bCs/>
    </w:rPr>
  </w:style>
  <w:style w:type="character" w:customStyle="1" w:styleId="128">
    <w:name w:val="标题 Char"/>
    <w:link w:val="59"/>
    <w:qFormat/>
    <w:uiPriority w:val="0"/>
    <w:rPr>
      <w:rFonts w:ascii="Arial" w:hAnsi="Arial"/>
      <w:b/>
      <w:smallCaps/>
      <w:kern w:val="28"/>
      <w:sz w:val="36"/>
      <w:lang w:eastAsia="en-US"/>
    </w:rPr>
  </w:style>
  <w:style w:type="character" w:customStyle="1" w:styleId="129">
    <w:name w:val="正文文本 Char"/>
    <w:link w:val="2"/>
    <w:qFormat/>
    <w:uiPriority w:val="0"/>
    <w:rPr>
      <w:rFonts w:ascii="仿宋_GB2312" w:eastAsia="仿宋_GB2312"/>
      <w:sz w:val="32"/>
    </w:rPr>
  </w:style>
  <w:style w:type="character" w:customStyle="1" w:styleId="130">
    <w:name w:val="Char Char11"/>
    <w:qFormat/>
    <w:uiPriority w:val="0"/>
    <w:rPr>
      <w:rFonts w:ascii="宋体"/>
      <w:kern w:val="2"/>
      <w:sz w:val="28"/>
    </w:rPr>
  </w:style>
  <w:style w:type="character" w:customStyle="1" w:styleId="131">
    <w:name w:val="正文文本缩进 3 Char"/>
    <w:link w:val="48"/>
    <w:qFormat/>
    <w:uiPriority w:val="0"/>
    <w:rPr>
      <w:rFonts w:ascii="黑体" w:eastAsia="黑体"/>
      <w:sz w:val="28"/>
    </w:rPr>
  </w:style>
  <w:style w:type="character" w:customStyle="1" w:styleId="132">
    <w:name w:val="Char Char111"/>
    <w:qFormat/>
    <w:uiPriority w:val="0"/>
    <w:rPr>
      <w:rFonts w:eastAsia="黑体"/>
      <w:kern w:val="2"/>
      <w:sz w:val="44"/>
      <w:szCs w:val="44"/>
      <w:lang w:val="en-US" w:eastAsia="zh-CN" w:bidi="ar-SA"/>
    </w:rPr>
  </w:style>
  <w:style w:type="character" w:customStyle="1" w:styleId="133">
    <w:name w:val="style31"/>
    <w:qFormat/>
    <w:uiPriority w:val="0"/>
    <w:rPr>
      <w:sz w:val="10"/>
      <w:szCs w:val="10"/>
    </w:rPr>
  </w:style>
  <w:style w:type="character" w:customStyle="1" w:styleId="134">
    <w:name w:val="top-det1"/>
    <w:qFormat/>
    <w:uiPriority w:val="0"/>
    <w:rPr>
      <w:b/>
      <w:color w:val="000000"/>
    </w:rPr>
  </w:style>
  <w:style w:type="character" w:customStyle="1" w:styleId="135">
    <w:name w:val="明显引用 Char"/>
    <w:link w:val="136"/>
    <w:qFormat/>
    <w:uiPriority w:val="0"/>
    <w:rPr>
      <w:b/>
      <w:bCs/>
      <w:i/>
      <w:iCs/>
      <w:color w:val="4F81BD"/>
    </w:rPr>
  </w:style>
  <w:style w:type="paragraph" w:customStyle="1" w:styleId="136">
    <w:name w:val="明显引用1"/>
    <w:basedOn w:val="1"/>
    <w:next w:val="1"/>
    <w:link w:val="135"/>
    <w:qFormat/>
    <w:uiPriority w:val="0"/>
    <w:pPr>
      <w:pBdr>
        <w:bottom w:val="single" w:color="4F81BD" w:sz="4" w:space="4"/>
      </w:pBdr>
      <w:spacing w:before="200" w:after="280"/>
      <w:ind w:left="936" w:right="936"/>
    </w:pPr>
    <w:rPr>
      <w:rFonts w:ascii="Calibri" w:hAnsi="Calibri" w:cs="宋体"/>
      <w:b/>
      <w:bCs/>
      <w:i/>
      <w:iCs/>
      <w:color w:val="4F81BD"/>
      <w:sz w:val="21"/>
      <w:szCs w:val="22"/>
    </w:rPr>
  </w:style>
  <w:style w:type="character" w:customStyle="1" w:styleId="137">
    <w:name w:val="normaltext1"/>
    <w:qFormat/>
    <w:uiPriority w:val="0"/>
    <w:rPr>
      <w:rFonts w:hint="default" w:ascii="ˎ̥" w:hAnsi="ˎ̥"/>
      <w:sz w:val="9"/>
      <w:szCs w:val="9"/>
    </w:rPr>
  </w:style>
  <w:style w:type="character" w:customStyle="1" w:styleId="138">
    <w:name w:val="Char Char3"/>
    <w:qFormat/>
    <w:uiPriority w:val="0"/>
    <w:rPr>
      <w:rFonts w:eastAsia="宋体"/>
      <w:kern w:val="2"/>
      <w:sz w:val="18"/>
      <w:lang w:val="en-US" w:eastAsia="zh-CN"/>
    </w:rPr>
  </w:style>
  <w:style w:type="character" w:customStyle="1" w:styleId="139">
    <w:name w:val="批注主题 Char"/>
    <w:basedOn w:val="91"/>
    <w:link w:val="60"/>
    <w:qFormat/>
    <w:uiPriority w:val="0"/>
    <w:rPr>
      <w:sz w:val="24"/>
    </w:rPr>
  </w:style>
  <w:style w:type="character" w:customStyle="1" w:styleId="140">
    <w:name w:val="正文缩进 Char1"/>
    <w:qFormat/>
    <w:uiPriority w:val="99"/>
    <w:rPr>
      <w:rFonts w:ascii="Times New Roman" w:hAnsi="Times New Roman" w:eastAsia="仿宋_GB2312" w:cs="Times New Roman"/>
      <w:sz w:val="24"/>
      <w:szCs w:val="24"/>
    </w:rPr>
  </w:style>
  <w:style w:type="character" w:customStyle="1" w:styleId="141">
    <w:name w:val="HTML 预设格式 Char1"/>
    <w:qFormat/>
    <w:uiPriority w:val="0"/>
    <w:rPr>
      <w:rFonts w:ascii="Courier New" w:hAnsi="Courier New" w:cs="Courier New"/>
      <w:kern w:val="2"/>
    </w:rPr>
  </w:style>
  <w:style w:type="character" w:customStyle="1" w:styleId="142">
    <w:name w:val="Char Char"/>
    <w:qFormat/>
    <w:uiPriority w:val="0"/>
    <w:rPr>
      <w:rFonts w:ascii="宋体" w:hAnsi="宋体" w:eastAsia="宋体"/>
      <w:kern w:val="2"/>
      <w:sz w:val="24"/>
      <w:lang w:val="en-US" w:eastAsia="zh-CN" w:bidi="ar-SA"/>
    </w:rPr>
  </w:style>
  <w:style w:type="character" w:customStyle="1" w:styleId="143">
    <w:name w:val="v151"/>
    <w:qFormat/>
    <w:uiPriority w:val="0"/>
    <w:rPr>
      <w:sz w:val="18"/>
    </w:rPr>
  </w:style>
  <w:style w:type="character" w:customStyle="1" w:styleId="144">
    <w:name w:val="color_red1"/>
    <w:qFormat/>
    <w:uiPriority w:val="0"/>
    <w:rPr>
      <w:color w:val="FA0004"/>
    </w:rPr>
  </w:style>
  <w:style w:type="character" w:customStyle="1" w:styleId="145">
    <w:name w:val="1[858D7CFB-ED40-4347-BF05-701D383B685F]"/>
    <w:link w:val="146"/>
    <w:qFormat/>
    <w:uiPriority w:val="0"/>
    <w:rPr>
      <w:rFonts w:ascii="宋体" w:hAnsi="Courier New"/>
    </w:rPr>
  </w:style>
  <w:style w:type="paragraph" w:customStyle="1" w:styleId="146">
    <w:name w:val="1"/>
    <w:basedOn w:val="1"/>
    <w:next w:val="32"/>
    <w:link w:val="145"/>
    <w:qFormat/>
    <w:uiPriority w:val="0"/>
    <w:rPr>
      <w:rFonts w:ascii="宋体" w:hAnsi="Courier New" w:cs="宋体"/>
      <w:sz w:val="21"/>
      <w:szCs w:val="22"/>
    </w:rPr>
  </w:style>
  <w:style w:type="character" w:customStyle="1" w:styleId="147">
    <w:name w:val="尾注文本 Char1"/>
    <w:qFormat/>
    <w:uiPriority w:val="0"/>
    <w:rPr>
      <w:kern w:val="2"/>
      <w:sz w:val="28"/>
    </w:rPr>
  </w:style>
  <w:style w:type="character" w:customStyle="1" w:styleId="148">
    <w:name w:val="content-white1"/>
    <w:qFormat/>
    <w:uiPriority w:val="0"/>
    <w:rPr>
      <w:color w:val="auto"/>
      <w:sz w:val="18"/>
      <w:u w:val="none"/>
    </w:rPr>
  </w:style>
  <w:style w:type="character" w:customStyle="1" w:styleId="149">
    <w:name w:val="unnamed1"/>
    <w:qFormat/>
    <w:uiPriority w:val="0"/>
  </w:style>
  <w:style w:type="character" w:customStyle="1" w:styleId="150">
    <w:name w:val="批注主题 Char1"/>
    <w:qFormat/>
    <w:uiPriority w:val="0"/>
    <w:rPr>
      <w:rFonts w:eastAsia="宋体"/>
      <w:b/>
      <w:bCs/>
      <w:kern w:val="2"/>
      <w:sz w:val="21"/>
      <w:szCs w:val="24"/>
      <w:lang w:val="en-US" w:eastAsia="zh-CN" w:bidi="ar-SA"/>
    </w:rPr>
  </w:style>
  <w:style w:type="character" w:customStyle="1" w:styleId="151">
    <w:name w:val="副标题 Char"/>
    <w:link w:val="43"/>
    <w:qFormat/>
    <w:uiPriority w:val="0"/>
    <w:rPr>
      <w:rFonts w:ascii="Cambria" w:hAnsi="Cambria"/>
      <w:b/>
      <w:bCs/>
      <w:kern w:val="28"/>
      <w:sz w:val="32"/>
      <w:szCs w:val="32"/>
    </w:rPr>
  </w:style>
  <w:style w:type="character" w:customStyle="1" w:styleId="152">
    <w:name w:val="style161"/>
    <w:qFormat/>
    <w:uiPriority w:val="0"/>
    <w:rPr>
      <w:b/>
      <w:bCs/>
      <w:color w:val="333333"/>
    </w:rPr>
  </w:style>
  <w:style w:type="character" w:customStyle="1" w:styleId="153">
    <w:name w:val="正文文本缩进 2 Char"/>
    <w:link w:val="35"/>
    <w:qFormat/>
    <w:uiPriority w:val="0"/>
    <w:rPr>
      <w:sz w:val="28"/>
    </w:rPr>
  </w:style>
  <w:style w:type="character" w:customStyle="1" w:styleId="154">
    <w:name w:val="页眉 Char"/>
    <w:link w:val="39"/>
    <w:qFormat/>
    <w:uiPriority w:val="99"/>
    <w:rPr>
      <w:sz w:val="18"/>
    </w:rPr>
  </w:style>
  <w:style w:type="character" w:customStyle="1" w:styleId="155">
    <w:name w:val="样式 宋体"/>
    <w:qFormat/>
    <w:uiPriority w:val="0"/>
    <w:rPr>
      <w:rFonts w:ascii="宋体" w:hAnsi="宋体" w:eastAsia="宋体"/>
      <w:sz w:val="28"/>
    </w:rPr>
  </w:style>
  <w:style w:type="character" w:customStyle="1" w:styleId="156">
    <w:name w:val="小 Char"/>
    <w:qFormat/>
    <w:uiPriority w:val="0"/>
    <w:rPr>
      <w:rFonts w:ascii="宋体" w:hAnsi="Courier New" w:eastAsia="宋体"/>
      <w:kern w:val="2"/>
      <w:sz w:val="21"/>
      <w:lang w:val="en-US" w:eastAsia="zh-CN" w:bidi="ar-SA"/>
    </w:rPr>
  </w:style>
  <w:style w:type="character" w:customStyle="1" w:styleId="157">
    <w:name w:val="正文 + 三号 Char"/>
    <w:qFormat/>
    <w:uiPriority w:val="0"/>
    <w:rPr>
      <w:rFonts w:eastAsia="宋体"/>
      <w:kern w:val="2"/>
      <w:sz w:val="21"/>
      <w:lang w:val="en-US" w:eastAsia="zh-CN"/>
    </w:rPr>
  </w:style>
  <w:style w:type="character" w:customStyle="1" w:styleId="158">
    <w:name w:val="H2 Char"/>
    <w:qFormat/>
    <w:uiPriority w:val="0"/>
    <w:rPr>
      <w:rFonts w:ascii="Arial" w:hAnsi="Arial" w:eastAsia="宋体"/>
      <w:kern w:val="2"/>
      <w:sz w:val="28"/>
      <w:lang w:val="en-US" w:eastAsia="zh-CN"/>
    </w:rPr>
  </w:style>
  <w:style w:type="character" w:customStyle="1" w:styleId="159">
    <w:name w:val="副标题 Char1"/>
    <w:qFormat/>
    <w:uiPriority w:val="0"/>
    <w:rPr>
      <w:rFonts w:ascii="Calibri Light" w:hAnsi="Calibri Light" w:cs="Times New Roman"/>
      <w:b/>
      <w:bCs/>
      <w:kern w:val="28"/>
      <w:sz w:val="32"/>
      <w:szCs w:val="32"/>
    </w:rPr>
  </w:style>
  <w:style w:type="character" w:customStyle="1" w:styleId="160">
    <w:name w:val="正文缩进 Char"/>
    <w:link w:val="16"/>
    <w:qFormat/>
    <w:uiPriority w:val="0"/>
    <w:rPr>
      <w:sz w:val="24"/>
    </w:rPr>
  </w:style>
  <w:style w:type="character" w:customStyle="1" w:styleId="161">
    <w:name w:val="crowed11"/>
    <w:qFormat/>
    <w:uiPriority w:val="0"/>
    <w:rPr>
      <w:rFonts w:hint="default"/>
      <w:sz w:val="24"/>
    </w:rPr>
  </w:style>
  <w:style w:type="character" w:customStyle="1" w:styleId="162">
    <w:name w:val="title11"/>
    <w:qFormat/>
    <w:uiPriority w:val="0"/>
    <w:rPr>
      <w:b/>
      <w:bCs/>
      <w:color w:val="FFFFFF"/>
      <w:sz w:val="11"/>
      <w:szCs w:val="11"/>
    </w:rPr>
  </w:style>
  <w:style w:type="character" w:customStyle="1" w:styleId="163">
    <w:name w:val="纯文本 Char"/>
    <w:link w:val="32"/>
    <w:qFormat/>
    <w:uiPriority w:val="99"/>
    <w:rPr>
      <w:rFonts w:ascii="宋体" w:hAnsi="Courier New"/>
    </w:rPr>
  </w:style>
  <w:style w:type="character" w:customStyle="1" w:styleId="164">
    <w:name w:val="ss16"/>
    <w:qFormat/>
    <w:uiPriority w:val="0"/>
    <w:rPr>
      <w:rFonts w:hint="eastAsia" w:ascii="宋体" w:hAnsi="宋体" w:eastAsia="宋体"/>
      <w:color w:val="000000"/>
      <w:sz w:val="9"/>
      <w:szCs w:val="9"/>
    </w:rPr>
  </w:style>
  <w:style w:type="character" w:customStyle="1" w:styleId="165">
    <w:name w:val="Char Char7"/>
    <w:qFormat/>
    <w:uiPriority w:val="0"/>
    <w:rPr>
      <w:rFonts w:ascii="宋体" w:hAnsi="宋体" w:eastAsia="宋体"/>
      <w:kern w:val="2"/>
      <w:sz w:val="28"/>
    </w:rPr>
  </w:style>
  <w:style w:type="character" w:customStyle="1" w:styleId="166">
    <w:name w:val="Char Char5"/>
    <w:qFormat/>
    <w:uiPriority w:val="0"/>
    <w:rPr>
      <w:rFonts w:ascii="Arial" w:hAnsi="Arial" w:eastAsia="宋体"/>
      <w:b/>
      <w:smallCaps/>
      <w:kern w:val="28"/>
      <w:sz w:val="36"/>
      <w:lang w:val="en-US" w:eastAsia="en-US"/>
    </w:rPr>
  </w:style>
  <w:style w:type="character" w:customStyle="1" w:styleId="167">
    <w:name w:val="页脚 Char"/>
    <w:link w:val="38"/>
    <w:qFormat/>
    <w:uiPriority w:val="99"/>
    <w:rPr>
      <w:sz w:val="18"/>
    </w:rPr>
  </w:style>
  <w:style w:type="character" w:customStyle="1" w:styleId="168">
    <w:name w:val="尾注文本 Char"/>
    <w:link w:val="36"/>
    <w:qFormat/>
    <w:uiPriority w:val="0"/>
    <w:rPr>
      <w:rFonts w:ascii="Arial" w:hAnsi="Arial" w:cs="Arial"/>
      <w:szCs w:val="24"/>
      <w:lang w:eastAsia="en-US"/>
    </w:rPr>
  </w:style>
  <w:style w:type="character" w:customStyle="1" w:styleId="169">
    <w:name w:val="style21"/>
    <w:qFormat/>
    <w:uiPriority w:val="0"/>
    <w:rPr>
      <w:b/>
      <w:bCs/>
      <w:sz w:val="28"/>
      <w:szCs w:val="28"/>
    </w:rPr>
  </w:style>
  <w:style w:type="character" w:customStyle="1" w:styleId="170">
    <w:name w:val="标书正文:  0.74 厘米 Char1"/>
    <w:qFormat/>
    <w:uiPriority w:val="0"/>
    <w:rPr>
      <w:rFonts w:eastAsia="宋体"/>
      <w:kern w:val="2"/>
      <w:sz w:val="24"/>
      <w:lang w:val="en-US" w:eastAsia="zh-CN"/>
    </w:rPr>
  </w:style>
  <w:style w:type="character" w:customStyle="1" w:styleId="171">
    <w:name w:val="Char Char4"/>
    <w:qFormat/>
    <w:uiPriority w:val="0"/>
    <w:rPr>
      <w:rFonts w:eastAsia="宋体"/>
      <w:b/>
      <w:kern w:val="2"/>
      <w:sz w:val="21"/>
      <w:lang w:val="en-US" w:eastAsia="zh-CN"/>
    </w:rPr>
  </w:style>
  <w:style w:type="character" w:customStyle="1" w:styleId="172">
    <w:name w:val="style121"/>
    <w:qFormat/>
    <w:uiPriority w:val="0"/>
    <w:rPr>
      <w:rFonts w:hint="eastAsia" w:ascii="宋体" w:hAnsi="宋体" w:eastAsia="宋体"/>
      <w:sz w:val="18"/>
      <w:szCs w:val="18"/>
    </w:rPr>
  </w:style>
  <w:style w:type="character" w:customStyle="1" w:styleId="173">
    <w:name w:val="引用 Char1"/>
    <w:qFormat/>
    <w:uiPriority w:val="99"/>
    <w:rPr>
      <w:i/>
      <w:iCs/>
      <w:color w:val="404040"/>
      <w:kern w:val="2"/>
      <w:sz w:val="28"/>
    </w:rPr>
  </w:style>
  <w:style w:type="character" w:customStyle="1" w:styleId="174">
    <w:name w:val="明显引用 Char1"/>
    <w:qFormat/>
    <w:uiPriority w:val="99"/>
    <w:rPr>
      <w:i/>
      <w:iCs/>
      <w:color w:val="5B9BD5"/>
      <w:kern w:val="2"/>
      <w:sz w:val="28"/>
    </w:rPr>
  </w:style>
  <w:style w:type="character" w:customStyle="1" w:styleId="175">
    <w:name w:val="正文文本缩进 Char1"/>
    <w:basedOn w:val="65"/>
    <w:link w:val="23"/>
    <w:qFormat/>
    <w:uiPriority w:val="99"/>
    <w:rPr>
      <w:rFonts w:ascii="Times New Roman" w:hAnsi="Times New Roman" w:eastAsia="宋体" w:cs="Times New Roman"/>
      <w:sz w:val="28"/>
      <w:szCs w:val="20"/>
    </w:rPr>
  </w:style>
  <w:style w:type="character" w:customStyle="1" w:styleId="176">
    <w:name w:val="正文首行缩进 2 Char1"/>
    <w:basedOn w:val="175"/>
    <w:qFormat/>
    <w:uiPriority w:val="99"/>
    <w:rPr>
      <w:rFonts w:ascii="Times New Roman" w:hAnsi="Times New Roman" w:eastAsia="宋体" w:cs="Times New Roman"/>
      <w:sz w:val="28"/>
      <w:szCs w:val="20"/>
    </w:rPr>
  </w:style>
  <w:style w:type="character" w:customStyle="1" w:styleId="177">
    <w:name w:val="正文文本缩进 3 Char1"/>
    <w:basedOn w:val="65"/>
    <w:qFormat/>
    <w:uiPriority w:val="99"/>
    <w:rPr>
      <w:rFonts w:ascii="Times New Roman" w:hAnsi="Times New Roman" w:eastAsia="宋体" w:cs="Times New Roman"/>
      <w:sz w:val="16"/>
      <w:szCs w:val="16"/>
    </w:rPr>
  </w:style>
  <w:style w:type="character" w:customStyle="1" w:styleId="178">
    <w:name w:val="副标题 Char2"/>
    <w:basedOn w:val="65"/>
    <w:qFormat/>
    <w:uiPriority w:val="11"/>
    <w:rPr>
      <w:rFonts w:ascii="Calibri Light" w:hAnsi="Calibri Light" w:eastAsia="宋体" w:cs="宋体"/>
      <w:b/>
      <w:bCs/>
      <w:kern w:val="28"/>
      <w:sz w:val="32"/>
      <w:szCs w:val="32"/>
    </w:rPr>
  </w:style>
  <w:style w:type="paragraph" w:customStyle="1" w:styleId="179">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80">
    <w:name w:val="样式 正文首行缩进 2 + 首行缩进:  2 字符"/>
    <w:basedOn w:val="1"/>
    <w:qFormat/>
    <w:uiPriority w:val="0"/>
    <w:pPr>
      <w:numPr>
        <w:ilvl w:val="0"/>
        <w:numId w:val="4"/>
      </w:numPr>
      <w:adjustRightInd w:val="0"/>
      <w:snapToGrid w:val="0"/>
      <w:spacing w:line="360" w:lineRule="auto"/>
    </w:pPr>
    <w:rPr>
      <w:rFonts w:ascii="Arial" w:hAnsi="Arial"/>
      <w:b/>
      <w:sz w:val="24"/>
    </w:rPr>
  </w:style>
  <w:style w:type="character" w:customStyle="1" w:styleId="181">
    <w:name w:val="页眉 Char1"/>
    <w:basedOn w:val="65"/>
    <w:qFormat/>
    <w:uiPriority w:val="99"/>
    <w:rPr>
      <w:rFonts w:ascii="Times New Roman" w:hAnsi="Times New Roman" w:eastAsia="宋体" w:cs="Times New Roman"/>
      <w:sz w:val="18"/>
      <w:szCs w:val="18"/>
    </w:rPr>
  </w:style>
  <w:style w:type="character" w:customStyle="1" w:styleId="182">
    <w:name w:val="标题 Char1"/>
    <w:basedOn w:val="65"/>
    <w:qFormat/>
    <w:uiPriority w:val="10"/>
    <w:rPr>
      <w:rFonts w:ascii="Calibri Light" w:hAnsi="Calibri Light" w:eastAsia="宋体" w:cs="宋体"/>
      <w:b/>
      <w:bCs/>
      <w:sz w:val="32"/>
      <w:szCs w:val="32"/>
    </w:rPr>
  </w:style>
  <w:style w:type="character" w:customStyle="1" w:styleId="183">
    <w:name w:val="正文文本 2 Char"/>
    <w:basedOn w:val="65"/>
    <w:link w:val="52"/>
    <w:qFormat/>
    <w:uiPriority w:val="0"/>
    <w:rPr>
      <w:rFonts w:ascii="Times New Roman" w:hAnsi="Times New Roman" w:eastAsia="宋体" w:cs="Times New Roman"/>
      <w:sz w:val="24"/>
      <w:szCs w:val="20"/>
    </w:rPr>
  </w:style>
  <w:style w:type="character" w:customStyle="1" w:styleId="184">
    <w:name w:val="日期 Char1"/>
    <w:basedOn w:val="65"/>
    <w:qFormat/>
    <w:uiPriority w:val="99"/>
    <w:rPr>
      <w:rFonts w:ascii="Times New Roman" w:hAnsi="Times New Roman" w:eastAsia="宋体" w:cs="Times New Roman"/>
      <w:sz w:val="28"/>
      <w:szCs w:val="20"/>
    </w:rPr>
  </w:style>
  <w:style w:type="paragraph" w:customStyle="1" w:styleId="185">
    <w:name w:val="正文字缩2字"/>
    <w:basedOn w:val="1"/>
    <w:qFormat/>
    <w:uiPriority w:val="0"/>
    <w:pPr>
      <w:spacing w:before="60" w:after="60" w:line="360" w:lineRule="auto"/>
      <w:ind w:left="200" w:leftChars="200" w:firstLine="200" w:firstLineChars="200"/>
    </w:pPr>
    <w:rPr>
      <w:sz w:val="24"/>
    </w:rPr>
  </w:style>
  <w:style w:type="character" w:customStyle="1" w:styleId="186">
    <w:name w:val="批注文字 Char1"/>
    <w:basedOn w:val="65"/>
    <w:link w:val="20"/>
    <w:qFormat/>
    <w:uiPriority w:val="99"/>
    <w:rPr>
      <w:rFonts w:ascii="Times New Roman" w:hAnsi="Times New Roman" w:eastAsia="宋体" w:cs="Times New Roman"/>
      <w:sz w:val="28"/>
      <w:szCs w:val="20"/>
    </w:rPr>
  </w:style>
  <w:style w:type="character" w:customStyle="1" w:styleId="187">
    <w:name w:val="批注主题 Char2"/>
    <w:basedOn w:val="186"/>
    <w:qFormat/>
    <w:uiPriority w:val="99"/>
    <w:rPr>
      <w:rFonts w:ascii="Times New Roman" w:hAnsi="Times New Roman" w:eastAsia="宋体" w:cs="Times New Roman"/>
      <w:b/>
      <w:bCs/>
      <w:sz w:val="28"/>
      <w:szCs w:val="20"/>
    </w:rPr>
  </w:style>
  <w:style w:type="character" w:customStyle="1" w:styleId="188">
    <w:name w:val="正文文本 Char1"/>
    <w:basedOn w:val="65"/>
    <w:qFormat/>
    <w:uiPriority w:val="99"/>
    <w:rPr>
      <w:rFonts w:ascii="Times New Roman" w:hAnsi="Times New Roman" w:eastAsia="宋体" w:cs="Times New Roman"/>
      <w:sz w:val="28"/>
      <w:szCs w:val="20"/>
    </w:rPr>
  </w:style>
  <w:style w:type="paragraph" w:customStyle="1" w:styleId="189">
    <w:name w:val="文章正文"/>
    <w:basedOn w:val="1"/>
    <w:qFormat/>
    <w:uiPriority w:val="0"/>
    <w:pPr>
      <w:ind w:firstLine="560" w:firstLineChars="200"/>
    </w:pPr>
    <w:rPr>
      <w:rFonts w:ascii="仿宋_GB2312" w:hAnsi="宋体" w:eastAsia="仿宋_GB2312"/>
      <w:color w:val="000000"/>
    </w:rPr>
  </w:style>
  <w:style w:type="character" w:customStyle="1" w:styleId="190">
    <w:name w:val="正文文本 3 Char1"/>
    <w:basedOn w:val="65"/>
    <w:qFormat/>
    <w:uiPriority w:val="99"/>
    <w:rPr>
      <w:rFonts w:ascii="Times New Roman" w:hAnsi="Times New Roman" w:eastAsia="宋体" w:cs="Times New Roman"/>
      <w:sz w:val="16"/>
      <w:szCs w:val="16"/>
    </w:rPr>
  </w:style>
  <w:style w:type="character" w:customStyle="1" w:styleId="191">
    <w:name w:val="文档结构图 Char1"/>
    <w:basedOn w:val="65"/>
    <w:qFormat/>
    <w:uiPriority w:val="99"/>
    <w:rPr>
      <w:rFonts w:ascii="Microsoft YaHei UI" w:hAnsi="Times New Roman" w:eastAsia="Microsoft YaHei UI" w:cs="Times New Roman"/>
      <w:sz w:val="18"/>
      <w:szCs w:val="18"/>
    </w:rPr>
  </w:style>
  <w:style w:type="paragraph" w:customStyle="1" w:styleId="192">
    <w:name w:val="表头样式"/>
    <w:basedOn w:val="1"/>
    <w:qFormat/>
    <w:uiPriority w:val="0"/>
    <w:pPr>
      <w:autoSpaceDE w:val="0"/>
      <w:autoSpaceDN w:val="0"/>
      <w:adjustRightInd w:val="0"/>
      <w:spacing w:line="360" w:lineRule="auto"/>
      <w:jc w:val="left"/>
    </w:pPr>
    <w:rPr>
      <w:b/>
      <w:kern w:val="0"/>
      <w:sz w:val="21"/>
    </w:rPr>
  </w:style>
  <w:style w:type="character" w:customStyle="1" w:styleId="193">
    <w:name w:val="纯文本 Char1"/>
    <w:basedOn w:val="65"/>
    <w:qFormat/>
    <w:uiPriority w:val="99"/>
    <w:rPr>
      <w:rFonts w:ascii="宋体" w:hAnsi="Courier New" w:eastAsia="宋体" w:cs="Courier New"/>
      <w:szCs w:val="21"/>
    </w:rPr>
  </w:style>
  <w:style w:type="character" w:customStyle="1" w:styleId="194">
    <w:name w:val="批注框文本 Char1"/>
    <w:basedOn w:val="65"/>
    <w:qFormat/>
    <w:uiPriority w:val="99"/>
    <w:rPr>
      <w:rFonts w:ascii="Times New Roman" w:hAnsi="Times New Roman" w:eastAsia="宋体" w:cs="Times New Roman"/>
      <w:sz w:val="18"/>
      <w:szCs w:val="18"/>
    </w:rPr>
  </w:style>
  <w:style w:type="paragraph" w:customStyle="1" w:styleId="195">
    <w:name w:val="WW-表格标题"/>
    <w:basedOn w:val="196"/>
    <w:qFormat/>
    <w:uiPriority w:val="0"/>
  </w:style>
  <w:style w:type="paragraph" w:customStyle="1" w:styleId="196">
    <w:name w:val="WW-表格内容"/>
    <w:basedOn w:val="1"/>
    <w:qFormat/>
    <w:uiPriority w:val="0"/>
    <w:pPr>
      <w:suppressLineNumbers/>
      <w:suppressAutoHyphens/>
    </w:pPr>
    <w:rPr>
      <w:rFonts w:ascii="Calibri" w:hAnsi="Calibri"/>
      <w:sz w:val="21"/>
      <w:szCs w:val="24"/>
    </w:rPr>
  </w:style>
  <w:style w:type="character" w:customStyle="1" w:styleId="197">
    <w:name w:val="正文文本缩进 2 Char1"/>
    <w:basedOn w:val="65"/>
    <w:qFormat/>
    <w:uiPriority w:val="99"/>
    <w:rPr>
      <w:rFonts w:ascii="Times New Roman" w:hAnsi="Times New Roman" w:eastAsia="宋体" w:cs="Times New Roman"/>
      <w:sz w:val="28"/>
      <w:szCs w:val="20"/>
    </w:rPr>
  </w:style>
  <w:style w:type="character" w:customStyle="1" w:styleId="198">
    <w:name w:val="正文首行缩进 Char"/>
    <w:basedOn w:val="188"/>
    <w:link w:val="61"/>
    <w:qFormat/>
    <w:uiPriority w:val="0"/>
    <w:rPr>
      <w:rFonts w:ascii="宋体" w:hAnsi="宋体" w:eastAsia="宋体" w:cs="Times New Roman"/>
      <w:sz w:val="24"/>
      <w:szCs w:val="20"/>
    </w:rPr>
  </w:style>
  <w:style w:type="paragraph" w:customStyle="1" w:styleId="199">
    <w:name w:val="表号"/>
    <w:basedOn w:val="1"/>
    <w:qFormat/>
    <w:uiPriority w:val="0"/>
    <w:pPr>
      <w:numPr>
        <w:ilvl w:val="0"/>
        <w:numId w:val="5"/>
      </w:numPr>
      <w:tabs>
        <w:tab w:val="clear" w:pos="360"/>
      </w:tabs>
      <w:autoSpaceDE w:val="0"/>
      <w:autoSpaceDN w:val="0"/>
      <w:adjustRightInd w:val="0"/>
      <w:spacing w:before="210" w:after="210"/>
      <w:ind w:left="425" w:hanging="137"/>
      <w:jc w:val="center"/>
    </w:pPr>
    <w:rPr>
      <w:kern w:val="0"/>
      <w:sz w:val="21"/>
      <w:lang w:eastAsia="en-US"/>
    </w:rPr>
  </w:style>
  <w:style w:type="character" w:customStyle="1" w:styleId="200">
    <w:name w:val="脚注文本 Char1"/>
    <w:basedOn w:val="65"/>
    <w:qFormat/>
    <w:uiPriority w:val="99"/>
    <w:rPr>
      <w:rFonts w:ascii="Times New Roman" w:hAnsi="Times New Roman" w:eastAsia="宋体" w:cs="Times New Roman"/>
      <w:sz w:val="18"/>
      <w:szCs w:val="18"/>
    </w:rPr>
  </w:style>
  <w:style w:type="character" w:customStyle="1" w:styleId="201">
    <w:name w:val="尾注文本 Char2"/>
    <w:basedOn w:val="65"/>
    <w:qFormat/>
    <w:uiPriority w:val="99"/>
    <w:rPr>
      <w:rFonts w:ascii="Times New Roman" w:hAnsi="Times New Roman" w:eastAsia="宋体" w:cs="Times New Roman"/>
      <w:sz w:val="28"/>
      <w:szCs w:val="20"/>
    </w:rPr>
  </w:style>
  <w:style w:type="character" w:customStyle="1" w:styleId="202">
    <w:name w:val="HTML 预设格式 Char2"/>
    <w:basedOn w:val="65"/>
    <w:qFormat/>
    <w:uiPriority w:val="99"/>
    <w:rPr>
      <w:rFonts w:ascii="Courier New" w:hAnsi="Courier New" w:eastAsia="宋体" w:cs="Courier New"/>
      <w:sz w:val="20"/>
      <w:szCs w:val="20"/>
    </w:rPr>
  </w:style>
  <w:style w:type="character" w:customStyle="1" w:styleId="203">
    <w:name w:val="页脚 Char1"/>
    <w:basedOn w:val="65"/>
    <w:qFormat/>
    <w:uiPriority w:val="99"/>
    <w:rPr>
      <w:rFonts w:ascii="Times New Roman" w:hAnsi="Times New Roman" w:eastAsia="宋体" w:cs="Times New Roman"/>
      <w:sz w:val="18"/>
      <w:szCs w:val="18"/>
    </w:rPr>
  </w:style>
  <w:style w:type="paragraph" w:customStyle="1" w:styleId="204">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205">
    <w:name w:val="样式 标题 6第五层条 + 三号 段前: 0.5 行"/>
    <w:basedOn w:val="8"/>
    <w:qFormat/>
    <w:uiPriority w:val="0"/>
    <w:pPr>
      <w:widowControl/>
      <w:adjustRightInd/>
      <w:snapToGrid/>
      <w:spacing w:before="156" w:beforeLines="50"/>
      <w:jc w:val="left"/>
    </w:pPr>
    <w:rPr>
      <w:snapToGrid w:val="0"/>
      <w:kern w:val="24"/>
      <w:sz w:val="28"/>
    </w:rPr>
  </w:style>
  <w:style w:type="paragraph" w:customStyle="1" w:styleId="206">
    <w:name w:val="表格标题"/>
    <w:basedOn w:val="207"/>
    <w:qFormat/>
    <w:uiPriority w:val="0"/>
  </w:style>
  <w:style w:type="paragraph" w:customStyle="1" w:styleId="207">
    <w:name w:val="表格内容"/>
    <w:basedOn w:val="1"/>
    <w:qFormat/>
    <w:uiPriority w:val="0"/>
    <w:pPr>
      <w:suppressLineNumbers/>
      <w:suppressAutoHyphens/>
    </w:pPr>
    <w:rPr>
      <w:rFonts w:ascii="Calibri" w:hAnsi="Calibri"/>
      <w:sz w:val="21"/>
      <w:szCs w:val="24"/>
    </w:rPr>
  </w:style>
  <w:style w:type="paragraph" w:customStyle="1" w:styleId="208">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09">
    <w:name w:val="Title - Revision"/>
    <w:basedOn w:val="59"/>
    <w:qFormat/>
    <w:uiPriority w:val="0"/>
    <w:pPr>
      <w:spacing w:before="720"/>
    </w:pPr>
  </w:style>
  <w:style w:type="paragraph" w:customStyle="1" w:styleId="210">
    <w:name w:val="Char Char Char Char Char Char Char Char Char Char Char Char Char Char Char Char"/>
    <w:basedOn w:val="1"/>
    <w:qFormat/>
    <w:uiPriority w:val="0"/>
    <w:pPr>
      <w:tabs>
        <w:tab w:val="left" w:pos="360"/>
      </w:tabs>
    </w:pPr>
    <w:rPr>
      <w:sz w:val="24"/>
    </w:rPr>
  </w:style>
  <w:style w:type="paragraph" w:customStyle="1" w:styleId="211">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212">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Char Char Char Char Char"/>
    <w:basedOn w:val="1"/>
    <w:qFormat/>
    <w:uiPriority w:val="0"/>
    <w:pPr>
      <w:tabs>
        <w:tab w:val="left" w:pos="425"/>
      </w:tabs>
      <w:ind w:left="1620" w:hanging="360"/>
    </w:pPr>
    <w:rPr>
      <w:rFonts w:ascii="Tahoma" w:hAnsi="Tahoma"/>
      <w:sz w:val="24"/>
    </w:rPr>
  </w:style>
  <w:style w:type="paragraph" w:customStyle="1" w:styleId="215">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16">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17">
    <w:name w:val="标准正文"/>
    <w:basedOn w:val="23"/>
    <w:qFormat/>
    <w:uiPriority w:val="0"/>
    <w:pPr>
      <w:spacing w:before="60" w:after="60" w:line="360" w:lineRule="auto"/>
      <w:ind w:left="0" w:leftChars="0" w:firstLine="482"/>
    </w:pPr>
    <w:rPr>
      <w:rFonts w:ascii="Arial" w:hAnsi="Arial"/>
      <w:sz w:val="24"/>
    </w:rPr>
  </w:style>
  <w:style w:type="paragraph" w:customStyle="1" w:styleId="218">
    <w:name w:val="样式 宋体 五号 行距: 单倍行距"/>
    <w:basedOn w:val="1"/>
    <w:qFormat/>
    <w:uiPriority w:val="0"/>
    <w:pPr>
      <w:adjustRightInd w:val="0"/>
      <w:jc w:val="left"/>
    </w:pPr>
    <w:rPr>
      <w:rFonts w:ascii="宋体" w:hAnsi="宋体"/>
      <w:kern w:val="0"/>
      <w:sz w:val="21"/>
    </w:rPr>
  </w:style>
  <w:style w:type="paragraph" w:customStyle="1" w:styleId="219">
    <w:name w:val="Char1 Char Char Char"/>
    <w:basedOn w:val="1"/>
    <w:qFormat/>
    <w:uiPriority w:val="0"/>
    <w:rPr>
      <w:rFonts w:ascii="Tahoma" w:hAnsi="Tahoma"/>
      <w:sz w:val="24"/>
    </w:rPr>
  </w:style>
  <w:style w:type="paragraph" w:customStyle="1" w:styleId="220">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221">
    <w:name w:val="段落正文"/>
    <w:basedOn w:val="1"/>
    <w:qFormat/>
    <w:uiPriority w:val="0"/>
    <w:pPr>
      <w:spacing w:before="156" w:beforeLines="50" w:line="360" w:lineRule="auto"/>
      <w:ind w:firstLine="200" w:firstLineChars="200"/>
    </w:pPr>
    <w:rPr>
      <w:spacing w:val="2"/>
      <w:sz w:val="24"/>
    </w:rPr>
  </w:style>
  <w:style w:type="paragraph" w:customStyle="1" w:styleId="222">
    <w:name w:val="Title - Date"/>
    <w:basedOn w:val="59"/>
    <w:next w:val="1"/>
    <w:qFormat/>
    <w:uiPriority w:val="0"/>
    <w:pPr>
      <w:spacing w:before="240" w:after="720"/>
    </w:pPr>
    <w:rPr>
      <w:sz w:val="28"/>
    </w:rPr>
  </w:style>
  <w:style w:type="paragraph" w:customStyle="1" w:styleId="223">
    <w:name w:val="00"/>
    <w:basedOn w:val="1"/>
    <w:qFormat/>
    <w:uiPriority w:val="0"/>
    <w:pPr>
      <w:autoSpaceDE w:val="0"/>
      <w:autoSpaceDN w:val="0"/>
      <w:adjustRightInd w:val="0"/>
      <w:jc w:val="left"/>
    </w:pPr>
    <w:rPr>
      <w:rFonts w:ascii="黑体" w:eastAsia="黑体"/>
      <w:b/>
      <w:kern w:val="0"/>
      <w:sz w:val="20"/>
    </w:rPr>
  </w:style>
  <w:style w:type="paragraph" w:customStyle="1" w:styleId="224">
    <w:name w:val="pa-27"/>
    <w:basedOn w:val="1"/>
    <w:qFormat/>
    <w:uiPriority w:val="0"/>
    <w:pPr>
      <w:widowControl/>
      <w:spacing w:line="360" w:lineRule="atLeast"/>
      <w:ind w:firstLine="420"/>
    </w:pPr>
    <w:rPr>
      <w:rFonts w:ascii="宋体" w:hAnsi="宋体" w:cs="宋体"/>
      <w:kern w:val="0"/>
      <w:sz w:val="24"/>
      <w:szCs w:val="24"/>
    </w:rPr>
  </w:style>
  <w:style w:type="paragraph" w:customStyle="1" w:styleId="225">
    <w:name w:val="正文4"/>
    <w:basedOn w:val="1"/>
    <w:qFormat/>
    <w:uiPriority w:val="0"/>
    <w:pPr>
      <w:tabs>
        <w:tab w:val="left" w:pos="1275"/>
      </w:tabs>
      <w:spacing w:before="60" w:after="60" w:line="360" w:lineRule="auto"/>
      <w:ind w:left="820" w:leftChars="400" w:hanging="705"/>
    </w:pPr>
    <w:rPr>
      <w:sz w:val="24"/>
    </w:rPr>
  </w:style>
  <w:style w:type="paragraph" w:customStyle="1" w:styleId="226">
    <w:name w:val="TOC Heading_628a5cda-1b0f-415f-b4e5-c21c51a3073f"/>
    <w:basedOn w:val="3"/>
    <w:next w:val="1"/>
    <w:qFormat/>
    <w:uiPriority w:val="0"/>
    <w:pPr>
      <w:keepLines/>
      <w:widowControl/>
      <w:snapToGrid/>
      <w:spacing w:before="480" w:line="276" w:lineRule="auto"/>
      <w:jc w:val="left"/>
      <w:outlineLvl w:val="9"/>
    </w:pPr>
    <w:rPr>
      <w:rFonts w:ascii="Cambria" w:hAnsi="Cambria"/>
      <w:b/>
      <w:bCs/>
      <w:color w:val="365F91"/>
      <w:kern w:val="0"/>
      <w:szCs w:val="28"/>
    </w:rPr>
  </w:style>
  <w:style w:type="paragraph" w:customStyle="1" w:styleId="227">
    <w:name w:val="样式 样式 首行缩进:  2 字符 + 首行缩进:  2 字符"/>
    <w:basedOn w:val="1"/>
    <w:qFormat/>
    <w:uiPriority w:val="0"/>
    <w:pPr>
      <w:numPr>
        <w:ilvl w:val="0"/>
        <w:numId w:val="6"/>
      </w:numPr>
      <w:tabs>
        <w:tab w:val="clear" w:pos="1230"/>
      </w:tabs>
      <w:spacing w:line="360" w:lineRule="auto"/>
      <w:ind w:firstLine="480" w:firstLineChars="200"/>
    </w:pPr>
    <w:rPr>
      <w:sz w:val="24"/>
    </w:rPr>
  </w:style>
  <w:style w:type="paragraph" w:customStyle="1" w:styleId="228">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229">
    <w:name w:val="af"/>
    <w:basedOn w:val="1"/>
    <w:qFormat/>
    <w:uiPriority w:val="0"/>
    <w:pPr>
      <w:widowControl/>
      <w:spacing w:line="300" w:lineRule="atLeast"/>
      <w:jc w:val="left"/>
    </w:pPr>
    <w:rPr>
      <w:rFonts w:ascii="宋体" w:hAnsi="宋体"/>
      <w:kern w:val="0"/>
      <w:sz w:val="18"/>
    </w:rPr>
  </w:style>
  <w:style w:type="paragraph" w:customStyle="1" w:styleId="230">
    <w:name w:val="Table Contents"/>
    <w:basedOn w:val="2"/>
    <w:qFormat/>
    <w:uiPriority w:val="0"/>
    <w:pPr>
      <w:suppressAutoHyphens/>
      <w:jc w:val="left"/>
    </w:pPr>
    <w:rPr>
      <w:rFonts w:ascii="Times New Roman" w:eastAsia="Times New Roman"/>
      <w:kern w:val="0"/>
      <w:sz w:val="24"/>
    </w:rPr>
  </w:style>
  <w:style w:type="paragraph" w:customStyle="1" w:styleId="231">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232">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33">
    <w:name w:val="文本框样式1"/>
    <w:basedOn w:val="1"/>
    <w:qFormat/>
    <w:uiPriority w:val="0"/>
    <w:pPr>
      <w:adjustRightInd w:val="0"/>
      <w:snapToGrid w:val="0"/>
      <w:spacing w:before="60" w:line="180" w:lineRule="exact"/>
      <w:jc w:val="center"/>
    </w:pPr>
    <w:rPr>
      <w:sz w:val="21"/>
    </w:rPr>
  </w:style>
  <w:style w:type="paragraph" w:customStyle="1" w:styleId="234">
    <w:name w:val="正文表格"/>
    <w:basedOn w:val="1"/>
    <w:qFormat/>
    <w:uiPriority w:val="0"/>
    <w:pPr>
      <w:adjustRightInd w:val="0"/>
      <w:spacing w:before="40" w:after="40"/>
    </w:pPr>
    <w:rPr>
      <w:sz w:val="24"/>
    </w:rPr>
  </w:style>
  <w:style w:type="paragraph" w:customStyle="1" w:styleId="235">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 w:val="21"/>
    </w:rPr>
  </w:style>
  <w:style w:type="paragraph" w:customStyle="1" w:styleId="236">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237">
    <w:name w:val="zz"/>
    <w:basedOn w:val="1"/>
    <w:qFormat/>
    <w:uiPriority w:val="0"/>
    <w:pPr>
      <w:widowControl/>
      <w:spacing w:before="30"/>
      <w:jc w:val="right"/>
    </w:pPr>
    <w:rPr>
      <w:rFonts w:ascii="方正书宋简体" w:hAnsi="宋体" w:eastAsia="方正书宋简体"/>
      <w:color w:val="000000"/>
      <w:kern w:val="0"/>
      <w:sz w:val="21"/>
      <w:szCs w:val="21"/>
    </w:rPr>
  </w:style>
  <w:style w:type="paragraph" w:customStyle="1" w:styleId="238">
    <w:name w:val="样式1"/>
    <w:basedOn w:val="6"/>
    <w:qFormat/>
    <w:uiPriority w:val="0"/>
    <w:pPr>
      <w:tabs>
        <w:tab w:val="left" w:pos="720"/>
      </w:tabs>
      <w:spacing w:before="500" w:after="260" w:line="560" w:lineRule="atLeast"/>
      <w:ind w:left="420" w:hanging="420"/>
    </w:pPr>
  </w:style>
  <w:style w:type="paragraph" w:customStyle="1" w:styleId="239">
    <w:name w:val="Char Char Char Char Char Char Char"/>
    <w:basedOn w:val="18"/>
    <w:qFormat/>
    <w:uiPriority w:val="0"/>
    <w:rPr>
      <w:rFonts w:ascii="宋体" w:hAnsi="Tahoma"/>
    </w:rPr>
  </w:style>
  <w:style w:type="paragraph" w:customStyle="1" w:styleId="240">
    <w:name w:val="样式 正文文本缩进 + 左  0 字符"/>
    <w:basedOn w:val="1"/>
    <w:qFormat/>
    <w:uiPriority w:val="0"/>
    <w:pPr>
      <w:spacing w:line="360" w:lineRule="auto"/>
      <w:ind w:firstLine="250" w:firstLineChars="250"/>
    </w:pPr>
    <w:rPr>
      <w:rFonts w:cs="宋体"/>
      <w:sz w:val="24"/>
    </w:rPr>
  </w:style>
  <w:style w:type="paragraph" w:customStyle="1" w:styleId="241">
    <w:name w:val="首行缩进"/>
    <w:basedOn w:val="1"/>
    <w:qFormat/>
    <w:uiPriority w:val="0"/>
    <w:pPr>
      <w:numPr>
        <w:ilvl w:val="0"/>
        <w:numId w:val="7"/>
      </w:numPr>
      <w:spacing w:line="360" w:lineRule="auto"/>
    </w:pPr>
    <w:rPr>
      <w:rFonts w:eastAsia="仿宋_GB2312"/>
    </w:rPr>
  </w:style>
  <w:style w:type="paragraph" w:customStyle="1" w:styleId="242">
    <w:name w:val="3"/>
    <w:next w:val="1"/>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243">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44">
    <w:name w:val="可研正文"/>
    <w:basedOn w:val="2"/>
    <w:qFormat/>
    <w:uiPriority w:val="0"/>
    <w:pPr>
      <w:adjustRightInd w:val="0"/>
      <w:snapToGrid w:val="0"/>
      <w:spacing w:line="440" w:lineRule="exact"/>
      <w:ind w:firstLine="567"/>
    </w:pPr>
    <w:rPr>
      <w:sz w:val="28"/>
    </w:rPr>
  </w:style>
  <w:style w:type="paragraph" w:customStyle="1" w:styleId="245">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46">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47">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48">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0">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51">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52">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253">
    <w:name w:val="标题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4">
    <w:name w:val="章标题"/>
    <w:next w:val="1"/>
    <w:qFormat/>
    <w:uiPriority w:val="0"/>
    <w:pPr>
      <w:numPr>
        <w:ilvl w:val="1"/>
        <w:numId w:val="8"/>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255">
    <w:name w:val="rw"/>
    <w:basedOn w:val="1"/>
    <w:qFormat/>
    <w:uiPriority w:val="0"/>
    <w:pPr>
      <w:widowControl/>
      <w:spacing w:before="30"/>
      <w:ind w:left="100" w:right="100"/>
      <w:jc w:val="right"/>
    </w:pPr>
    <w:rPr>
      <w:rFonts w:ascii="方正仿宋简体" w:hAnsi="宋体" w:eastAsia="方正仿宋简体"/>
      <w:color w:val="000000"/>
      <w:kern w:val="0"/>
      <w:sz w:val="21"/>
      <w:szCs w:val="21"/>
    </w:rPr>
  </w:style>
  <w:style w:type="paragraph" w:customStyle="1" w:styleId="256">
    <w:name w:val="Note"/>
    <w:basedOn w:val="1"/>
    <w:qFormat/>
    <w:uiPriority w:val="0"/>
    <w:pPr>
      <w:pBdr>
        <w:top w:val="single" w:color="auto" w:sz="12" w:space="3"/>
        <w:bottom w:val="single" w:color="auto" w:sz="12" w:space="3"/>
      </w:pBdr>
      <w:spacing w:line="360" w:lineRule="auto"/>
    </w:pPr>
    <w:rPr>
      <w:sz w:val="24"/>
    </w:rPr>
  </w:style>
  <w:style w:type="paragraph" w:customStyle="1" w:styleId="257">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58">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59">
    <w:name w:val="列出段落1"/>
    <w:basedOn w:val="1"/>
    <w:qFormat/>
    <w:uiPriority w:val="34"/>
    <w:pPr>
      <w:ind w:firstLine="420" w:firstLineChars="200"/>
    </w:pPr>
    <w:rPr>
      <w:rFonts w:ascii="Calibri" w:hAnsi="Calibri"/>
      <w:sz w:val="21"/>
      <w:szCs w:val="24"/>
    </w:rPr>
  </w:style>
  <w:style w:type="paragraph" w:customStyle="1" w:styleId="260">
    <w:name w:val="样式 正文缩进正文（首行缩进两字）表正文正文非缩进特点标题4段1 + 首行缩进:  2 字符"/>
    <w:basedOn w:val="16"/>
    <w:qFormat/>
    <w:uiPriority w:val="0"/>
    <w:pPr>
      <w:ind w:firstLine="480" w:firstLineChars="200"/>
    </w:pPr>
  </w:style>
  <w:style w:type="paragraph" w:customStyle="1" w:styleId="261">
    <w:name w:val="Char Char 字元 字元 字元 Char Char Char Char"/>
    <w:basedOn w:val="1"/>
    <w:qFormat/>
    <w:uiPriority w:val="0"/>
    <w:pPr>
      <w:adjustRightInd w:val="0"/>
      <w:spacing w:line="360" w:lineRule="auto"/>
    </w:pPr>
    <w:rPr>
      <w:kern w:val="0"/>
      <w:sz w:val="24"/>
    </w:rPr>
  </w:style>
  <w:style w:type="paragraph" w:customStyle="1" w:styleId="262">
    <w:name w:val="表格"/>
    <w:basedOn w:val="1"/>
    <w:qFormat/>
    <w:uiPriority w:val="0"/>
    <w:pPr>
      <w:jc w:val="center"/>
      <w:textAlignment w:val="center"/>
    </w:pPr>
    <w:rPr>
      <w:rFonts w:ascii="华文细黑" w:hAnsi="华文细黑"/>
      <w:kern w:val="0"/>
      <w:sz w:val="21"/>
    </w:rPr>
  </w:style>
  <w:style w:type="paragraph" w:customStyle="1" w:styleId="263">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64">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6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66">
    <w:name w:val="标书正文:  0.74 厘米"/>
    <w:basedOn w:val="1"/>
    <w:qFormat/>
    <w:uiPriority w:val="0"/>
    <w:pPr>
      <w:snapToGrid w:val="0"/>
      <w:spacing w:line="360" w:lineRule="auto"/>
      <w:ind w:firstLine="420"/>
    </w:pPr>
    <w:rPr>
      <w:sz w:val="24"/>
    </w:rPr>
  </w:style>
  <w:style w:type="paragraph" w:customStyle="1" w:styleId="267">
    <w:name w:val="默认段落字体 Para Char Char Char Char Char Char Char"/>
    <w:basedOn w:val="1"/>
    <w:qFormat/>
    <w:uiPriority w:val="0"/>
    <w:rPr>
      <w:rFonts w:ascii="Tahoma" w:hAnsi="Tahoma"/>
      <w:sz w:val="24"/>
    </w:rPr>
  </w:style>
  <w:style w:type="paragraph" w:customStyle="1" w:styleId="268">
    <w:name w:val="Char"/>
    <w:basedOn w:val="1"/>
    <w:qFormat/>
    <w:uiPriority w:val="0"/>
    <w:pPr>
      <w:spacing w:line="240" w:lineRule="atLeast"/>
      <w:ind w:left="420" w:firstLine="420"/>
    </w:pPr>
    <w:rPr>
      <w:kern w:val="0"/>
      <w:sz w:val="21"/>
    </w:rPr>
  </w:style>
  <w:style w:type="paragraph" w:customStyle="1" w:styleId="269">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270">
    <w:name w:val="一级条标题"/>
    <w:basedOn w:val="254"/>
    <w:next w:val="271"/>
    <w:qFormat/>
    <w:uiPriority w:val="0"/>
    <w:pPr>
      <w:numPr>
        <w:ilvl w:val="0"/>
        <w:numId w:val="0"/>
      </w:numPr>
      <w:spacing w:before="0" w:after="0"/>
      <w:ind w:left="525"/>
      <w:outlineLvl w:val="2"/>
    </w:pPr>
    <w:rPr>
      <w:sz w:val="21"/>
    </w:rPr>
  </w:style>
  <w:style w:type="paragraph" w:customStyle="1" w:styleId="27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2">
    <w:name w:val="p15"/>
    <w:basedOn w:val="1"/>
    <w:qFormat/>
    <w:uiPriority w:val="0"/>
    <w:pPr>
      <w:widowControl/>
      <w:spacing w:after="120"/>
    </w:pPr>
    <w:rPr>
      <w:rFonts w:ascii="Calibri" w:hAnsi="Calibri"/>
      <w:kern w:val="0"/>
      <w:sz w:val="21"/>
      <w:szCs w:val="21"/>
    </w:rPr>
  </w:style>
  <w:style w:type="paragraph" w:customStyle="1" w:styleId="273">
    <w:name w:val="表格文本"/>
    <w:qFormat/>
    <w:uiPriority w:val="0"/>
    <w:pPr>
      <w:tabs>
        <w:tab w:val="decimal" w:pos="0"/>
      </w:tabs>
    </w:pPr>
    <w:rPr>
      <w:rFonts w:ascii="Arial" w:hAnsi="Arial" w:eastAsia="宋体" w:cs="Times New Roman"/>
      <w:sz w:val="21"/>
      <w:lang w:val="en-US" w:eastAsia="zh-CN" w:bidi="ar-SA"/>
    </w:rPr>
  </w:style>
  <w:style w:type="paragraph" w:customStyle="1" w:styleId="274">
    <w:name w:val="样式2"/>
    <w:basedOn w:val="6"/>
    <w:qFormat/>
    <w:uiPriority w:val="0"/>
    <w:pPr>
      <w:numPr>
        <w:ilvl w:val="0"/>
        <w:numId w:val="9"/>
      </w:numPr>
      <w:spacing w:before="560" w:line="400" w:lineRule="exact"/>
      <w:jc w:val="center"/>
      <w:outlineLvl w:val="0"/>
    </w:pPr>
    <w:rPr>
      <w:b w:val="0"/>
      <w:sz w:val="44"/>
    </w:rPr>
  </w:style>
  <w:style w:type="paragraph" w:customStyle="1" w:styleId="27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76">
    <w:name w:val="首行缩进 1"/>
    <w:basedOn w:val="1"/>
    <w:qFormat/>
    <w:uiPriority w:val="0"/>
    <w:pPr>
      <w:spacing w:after="120" w:line="360" w:lineRule="auto"/>
      <w:ind w:firstLine="200" w:firstLineChars="200"/>
    </w:pPr>
    <w:rPr>
      <w:sz w:val="24"/>
    </w:rPr>
  </w:style>
  <w:style w:type="paragraph" w:customStyle="1" w:styleId="277">
    <w:name w:val="g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78">
    <w:name w:val="表头"/>
    <w:basedOn w:val="1"/>
    <w:qFormat/>
    <w:uiPriority w:val="0"/>
    <w:pPr>
      <w:keepNext/>
      <w:autoSpaceDE w:val="0"/>
      <w:autoSpaceDN w:val="0"/>
      <w:adjustRightInd w:val="0"/>
      <w:spacing w:line="200" w:lineRule="atLeast"/>
    </w:pPr>
    <w:rPr>
      <w:rFonts w:ascii="黑体" w:hAnsi="Calibri" w:eastAsia="黑体"/>
      <w:kern w:val="0"/>
      <w:sz w:val="24"/>
      <w:szCs w:val="24"/>
    </w:rPr>
  </w:style>
  <w:style w:type="paragraph" w:customStyle="1" w:styleId="279">
    <w:name w:val="二级列表"/>
    <w:basedOn w:val="221"/>
    <w:next w:val="221"/>
    <w:qFormat/>
    <w:uiPriority w:val="0"/>
    <w:pPr>
      <w:tabs>
        <w:tab w:val="left" w:pos="2120"/>
      </w:tabs>
      <w:ind w:firstLine="0" w:firstLineChars="0"/>
    </w:pPr>
    <w:rPr>
      <w:b/>
    </w:rPr>
  </w:style>
  <w:style w:type="paragraph" w:customStyle="1" w:styleId="28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81">
    <w:name w:val="rr"/>
    <w:basedOn w:val="1"/>
    <w:qFormat/>
    <w:uiPriority w:val="0"/>
    <w:pPr>
      <w:widowControl/>
      <w:spacing w:before="100" w:beforeAutospacing="1" w:after="100" w:afterAutospacing="1"/>
      <w:jc w:val="left"/>
    </w:pPr>
    <w:rPr>
      <w:rFonts w:hint="eastAsia" w:ascii="宋体" w:hAnsi="宋体"/>
      <w:kern w:val="0"/>
      <w:sz w:val="21"/>
      <w:szCs w:val="21"/>
    </w:rPr>
  </w:style>
  <w:style w:type="paragraph" w:customStyle="1" w:styleId="282">
    <w:name w:val="列表项目"/>
    <w:basedOn w:val="1"/>
    <w:qFormat/>
    <w:uiPriority w:val="0"/>
    <w:pPr>
      <w:tabs>
        <w:tab w:val="left" w:pos="420"/>
      </w:tabs>
      <w:spacing w:line="288" w:lineRule="auto"/>
      <w:ind w:left="840" w:leftChars="200" w:hanging="420" w:hangingChars="200"/>
    </w:pPr>
    <w:rPr>
      <w:sz w:val="21"/>
    </w:rPr>
  </w:style>
  <w:style w:type="paragraph" w:customStyle="1" w:styleId="283">
    <w:name w:val="Char Char14 Char Char"/>
    <w:basedOn w:val="1"/>
    <w:qFormat/>
    <w:uiPriority w:val="0"/>
    <w:rPr>
      <w:sz w:val="21"/>
      <w:szCs w:val="24"/>
    </w:rPr>
  </w:style>
  <w:style w:type="paragraph" w:customStyle="1" w:styleId="284">
    <w:name w:val="bt"/>
    <w:basedOn w:val="1"/>
    <w:next w:val="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285">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86">
    <w:name w:val="表头文本"/>
    <w:qFormat/>
    <w:uiPriority w:val="0"/>
    <w:pPr>
      <w:jc w:val="center"/>
    </w:pPr>
    <w:rPr>
      <w:rFonts w:ascii="Arial" w:hAnsi="Arial" w:eastAsia="宋体" w:cs="Times New Roman"/>
      <w:b/>
      <w:sz w:val="21"/>
      <w:lang w:val="en-US" w:eastAsia="zh-CN" w:bidi="ar-SA"/>
    </w:rPr>
  </w:style>
  <w:style w:type="paragraph" w:customStyle="1" w:styleId="287">
    <w:name w:val="Char Char1 Char"/>
    <w:basedOn w:val="1"/>
    <w:qFormat/>
    <w:uiPriority w:val="0"/>
    <w:rPr>
      <w:rFonts w:ascii="Tahoma" w:hAnsi="Tahoma"/>
      <w:sz w:val="24"/>
      <w:szCs w:val="24"/>
    </w:rPr>
  </w:style>
  <w:style w:type="paragraph" w:customStyle="1" w:styleId="288">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89">
    <w:name w:val="列出段落11"/>
    <w:basedOn w:val="1"/>
    <w:qFormat/>
    <w:uiPriority w:val="34"/>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290">
    <w:name w:val="表文字"/>
    <w:qFormat/>
    <w:uiPriority w:val="0"/>
    <w:rPr>
      <w:rFonts w:ascii="宋体" w:hAnsi="Times New Roman" w:eastAsia="宋体" w:cs="Times New Roman"/>
      <w:kern w:val="2"/>
      <w:lang w:val="en-US" w:eastAsia="zh-CN" w:bidi="ar-SA"/>
    </w:rPr>
  </w:style>
  <w:style w:type="paragraph" w:customStyle="1" w:styleId="29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92">
    <w:name w:val="关键词"/>
    <w:basedOn w:val="1"/>
    <w:next w:val="1"/>
    <w:qFormat/>
    <w:uiPriority w:val="0"/>
    <w:pPr>
      <w:spacing w:line="360" w:lineRule="auto"/>
    </w:pPr>
    <w:rPr>
      <w:rFonts w:eastAsia="黑体"/>
      <w:sz w:val="20"/>
    </w:rPr>
  </w:style>
  <w:style w:type="paragraph" w:customStyle="1" w:styleId="293">
    <w:name w:val="样式 标题 3 + (中文) 黑体 小四 非加粗 段前: 7.8 磅 段后: 0 磅 行距: 固定值 20 磅"/>
    <w:basedOn w:val="5"/>
    <w:next w:val="1"/>
    <w:qFormat/>
    <w:uiPriority w:val="0"/>
    <w:pPr>
      <w:spacing w:before="0" w:after="0" w:line="400" w:lineRule="exact"/>
    </w:pPr>
    <w:rPr>
      <w:rFonts w:ascii="Calibri" w:hAnsi="Calibri" w:eastAsia="黑体" w:cs="宋体"/>
      <w:b w:val="0"/>
    </w:rPr>
  </w:style>
  <w:style w:type="paragraph" w:customStyle="1" w:styleId="294">
    <w:name w:val="列出段落2"/>
    <w:basedOn w:val="1"/>
    <w:qFormat/>
    <w:uiPriority w:val="34"/>
    <w:pPr>
      <w:adjustRightInd w:val="0"/>
      <w:snapToGrid w:val="0"/>
      <w:spacing w:line="360" w:lineRule="auto"/>
      <w:ind w:firstLine="420" w:firstLineChars="200"/>
      <w:jc w:val="left"/>
    </w:pPr>
    <w:rPr>
      <w:rFonts w:ascii="宋体" w:hAnsi="宋体"/>
      <w:sz w:val="24"/>
    </w:rPr>
  </w:style>
  <w:style w:type="paragraph" w:customStyle="1" w:styleId="295">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sz w:val="28"/>
    </w:rPr>
  </w:style>
  <w:style w:type="paragraph" w:customStyle="1" w:styleId="296">
    <w:name w:val="1.正文"/>
    <w:basedOn w:val="1"/>
    <w:qFormat/>
    <w:uiPriority w:val="0"/>
    <w:pPr>
      <w:spacing w:line="360" w:lineRule="auto"/>
      <w:ind w:left="540" w:leftChars="225" w:firstLine="540" w:firstLineChars="225"/>
    </w:pPr>
    <w:rPr>
      <w:sz w:val="24"/>
    </w:rPr>
  </w:style>
  <w:style w:type="paragraph" w:customStyle="1" w:styleId="297">
    <w:name w:val="Char1 Char Char Char1"/>
    <w:basedOn w:val="1"/>
    <w:qFormat/>
    <w:uiPriority w:val="0"/>
    <w:rPr>
      <w:rFonts w:ascii="Tahoma" w:hAnsi="Tahoma"/>
      <w:sz w:val="30"/>
    </w:rPr>
  </w:style>
  <w:style w:type="paragraph" w:customStyle="1" w:styleId="298">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299">
    <w:name w:val="Item List"/>
    <w:qFormat/>
    <w:uiPriority w:val="0"/>
    <w:pPr>
      <w:numPr>
        <w:ilvl w:val="0"/>
        <w:numId w:val="10"/>
      </w:numPr>
      <w:spacing w:line="300" w:lineRule="auto"/>
      <w:jc w:val="both"/>
    </w:pPr>
    <w:rPr>
      <w:rFonts w:ascii="Arial" w:hAnsi="Arial" w:eastAsia="宋体" w:cs="Times New Roman"/>
      <w:sz w:val="21"/>
      <w:lang w:val="en-US" w:eastAsia="zh-CN" w:bidi="ar-SA"/>
    </w:rPr>
  </w:style>
  <w:style w:type="paragraph" w:customStyle="1" w:styleId="300">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301">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302">
    <w:name w:val="p1"/>
    <w:basedOn w:val="1"/>
    <w:qFormat/>
    <w:uiPriority w:val="0"/>
    <w:pPr>
      <w:widowControl/>
      <w:jc w:val="left"/>
    </w:pPr>
    <w:rPr>
      <w:rFonts w:ascii="仿宋" w:hAnsi="仿宋" w:eastAsia="仿宋"/>
      <w:kern w:val="0"/>
      <w:sz w:val="21"/>
      <w:szCs w:val="21"/>
      <w:lang w:eastAsia="zh-TW"/>
    </w:rPr>
  </w:style>
  <w:style w:type="paragraph" w:customStyle="1" w:styleId="303">
    <w:name w:val="Item Step in Table"/>
    <w:qFormat/>
    <w:uiPriority w:val="0"/>
    <w:pPr>
      <w:numPr>
        <w:ilvl w:val="0"/>
        <w:numId w:val="8"/>
      </w:numPr>
      <w:tabs>
        <w:tab w:val="left" w:pos="397"/>
      </w:tabs>
      <w:spacing w:before="40" w:after="40"/>
      <w:jc w:val="both"/>
    </w:pPr>
    <w:rPr>
      <w:rFonts w:ascii="Arial" w:hAnsi="Arial" w:eastAsia="宋体" w:cs="Times New Roman"/>
      <w:sz w:val="18"/>
      <w:lang w:val="en-US" w:eastAsia="zh-CN" w:bidi="ar-SA"/>
    </w:rPr>
  </w:style>
  <w:style w:type="paragraph" w:customStyle="1" w:styleId="304">
    <w:name w:val="ly"/>
    <w:basedOn w:val="1"/>
    <w:qFormat/>
    <w:uiPriority w:val="0"/>
    <w:pPr>
      <w:widowControl/>
      <w:spacing w:before="30"/>
      <w:jc w:val="right"/>
    </w:pPr>
    <w:rPr>
      <w:rFonts w:ascii="方正书宋简体" w:hAnsi="宋体" w:eastAsia="方正书宋简体"/>
      <w:color w:val="000000"/>
      <w:kern w:val="0"/>
      <w:sz w:val="21"/>
      <w:szCs w:val="21"/>
    </w:rPr>
  </w:style>
  <w:style w:type="paragraph" w:customStyle="1" w:styleId="305">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306">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307">
    <w:name w:val="二级条标题"/>
    <w:basedOn w:val="270"/>
    <w:next w:val="271"/>
    <w:qFormat/>
    <w:uiPriority w:val="0"/>
    <w:pPr>
      <w:ind w:left="840"/>
      <w:outlineLvl w:val="3"/>
    </w:pPr>
  </w:style>
  <w:style w:type="paragraph" w:customStyle="1" w:styleId="30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309">
    <w:name w:val="列出段落21"/>
    <w:basedOn w:val="1"/>
    <w:qFormat/>
    <w:uiPriority w:val="34"/>
    <w:pPr>
      <w:spacing w:line="360" w:lineRule="auto"/>
      <w:ind w:firstLine="420" w:firstLineChars="200"/>
    </w:pPr>
    <w:rPr>
      <w:rFonts w:ascii="Calibri" w:hAnsi="Calibri"/>
      <w:sz w:val="21"/>
      <w:szCs w:val="22"/>
    </w:rPr>
  </w:style>
  <w:style w:type="paragraph" w:customStyle="1" w:styleId="310">
    <w:name w:val="正文（首行不缩进）"/>
    <w:basedOn w:val="1"/>
    <w:qFormat/>
    <w:uiPriority w:val="0"/>
    <w:pPr>
      <w:autoSpaceDE w:val="0"/>
      <w:autoSpaceDN w:val="0"/>
      <w:adjustRightInd w:val="0"/>
      <w:spacing w:line="360" w:lineRule="auto"/>
      <w:jc w:val="left"/>
    </w:pPr>
    <w:rPr>
      <w:kern w:val="0"/>
      <w:sz w:val="21"/>
    </w:rPr>
  </w:style>
  <w:style w:type="paragraph" w:customStyle="1" w:styleId="311">
    <w:name w:val="IN Feature"/>
    <w:next w:val="245"/>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312">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313">
    <w:name w:val="附录3"/>
    <w:basedOn w:val="1"/>
    <w:next w:val="1"/>
    <w:qFormat/>
    <w:uiPriority w:val="0"/>
    <w:pPr>
      <w:tabs>
        <w:tab w:val="left" w:pos="851"/>
      </w:tabs>
      <w:ind w:left="425" w:hanging="425"/>
      <w:outlineLvl w:val="2"/>
    </w:pPr>
    <w:rPr>
      <w:rFonts w:eastAsia="黑体"/>
      <w:b/>
      <w:sz w:val="32"/>
    </w:rPr>
  </w:style>
  <w:style w:type="paragraph" w:customStyle="1" w:styleId="314">
    <w:name w:val="Char2 Char Char Char Char Char Char"/>
    <w:basedOn w:val="1"/>
    <w:qFormat/>
    <w:uiPriority w:val="0"/>
    <w:rPr>
      <w:rFonts w:ascii="仿宋_GB2312"/>
      <w:b/>
      <w:sz w:val="30"/>
    </w:rPr>
  </w:style>
  <w:style w:type="character" w:customStyle="1" w:styleId="315">
    <w:name w:val="明显引用 Char2"/>
    <w:basedOn w:val="65"/>
    <w:qFormat/>
    <w:uiPriority w:val="30"/>
    <w:rPr>
      <w:rFonts w:ascii="Times New Roman" w:hAnsi="Times New Roman" w:eastAsia="宋体" w:cs="Times New Roman"/>
      <w:i/>
      <w:iCs/>
      <w:color w:val="5B9BD5"/>
      <w:sz w:val="28"/>
      <w:szCs w:val="20"/>
    </w:rPr>
  </w:style>
  <w:style w:type="paragraph" w:customStyle="1" w:styleId="3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317">
    <w:name w:val="图片文字"/>
    <w:basedOn w:val="1"/>
    <w:qFormat/>
    <w:uiPriority w:val="0"/>
    <w:pPr>
      <w:spacing w:line="240" w:lineRule="atLeast"/>
      <w:jc w:val="center"/>
    </w:pPr>
    <w:rPr>
      <w:sz w:val="21"/>
    </w:rPr>
  </w:style>
  <w:style w:type="paragraph" w:customStyle="1" w:styleId="318">
    <w:name w:val="Char2"/>
    <w:basedOn w:val="1"/>
    <w:qFormat/>
    <w:uiPriority w:val="0"/>
    <w:pPr>
      <w:spacing w:line="240" w:lineRule="atLeast"/>
      <w:ind w:left="420" w:firstLine="420"/>
    </w:pPr>
    <w:rPr>
      <w:kern w:val="0"/>
      <w:sz w:val="21"/>
    </w:rPr>
  </w:style>
  <w:style w:type="paragraph" w:customStyle="1" w:styleId="319">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320">
    <w:name w:val="正文文本缩进 21"/>
    <w:basedOn w:val="1"/>
    <w:qFormat/>
    <w:uiPriority w:val="0"/>
    <w:pPr>
      <w:adjustRightInd w:val="0"/>
      <w:spacing w:before="120"/>
      <w:ind w:firstLine="420"/>
      <w:textAlignment w:val="baseline"/>
    </w:pPr>
    <w:rPr>
      <w:sz w:val="24"/>
    </w:rPr>
  </w:style>
  <w:style w:type="paragraph" w:customStyle="1" w:styleId="321">
    <w:name w:val="标题3——2"/>
    <w:basedOn w:val="5"/>
    <w:next w:val="61"/>
    <w:qFormat/>
    <w:uiPriority w:val="0"/>
    <w:pPr>
      <w:tabs>
        <w:tab w:val="left" w:pos="1280"/>
        <w:tab w:val="right" w:leader="dot" w:pos="8777"/>
      </w:tabs>
      <w:spacing w:before="312" w:beforeLines="100" w:after="0"/>
      <w:ind w:left="851" w:hanging="851"/>
      <w:outlineLvl w:val="9"/>
    </w:pPr>
    <w:rPr>
      <w:rFonts w:ascii="黑体" w:hAnsi="宋体" w:eastAsia="黑体"/>
      <w:sz w:val="30"/>
    </w:rPr>
  </w:style>
  <w:style w:type="paragraph" w:customStyle="1" w:styleId="322">
    <w:name w:val="样式 首行缩进:  0.74 厘米"/>
    <w:basedOn w:val="1"/>
    <w:qFormat/>
    <w:uiPriority w:val="0"/>
    <w:pPr>
      <w:spacing w:line="360" w:lineRule="auto"/>
      <w:ind w:firstLine="420"/>
    </w:pPr>
    <w:rPr>
      <w:sz w:val="24"/>
    </w:rPr>
  </w:style>
  <w:style w:type="paragraph" w:customStyle="1" w:styleId="323">
    <w:name w:val="内容标题"/>
    <w:basedOn w:val="18"/>
    <w:qFormat/>
    <w:uiPriority w:val="0"/>
    <w:rPr>
      <w:rFonts w:ascii="Tahoma" w:hAnsi="Tahoma"/>
      <w:sz w:val="24"/>
    </w:rPr>
  </w:style>
  <w:style w:type="paragraph" w:customStyle="1" w:styleId="324">
    <w:name w:val="正文 + 三号"/>
    <w:basedOn w:val="1"/>
    <w:qFormat/>
    <w:uiPriority w:val="0"/>
    <w:rPr>
      <w:sz w:val="21"/>
    </w:rPr>
  </w:style>
  <w:style w:type="paragraph" w:customStyle="1" w:styleId="325">
    <w:name w:val="正文文本 21"/>
    <w:basedOn w:val="1"/>
    <w:qFormat/>
    <w:uiPriority w:val="0"/>
    <w:pPr>
      <w:adjustRightInd w:val="0"/>
      <w:spacing w:before="120" w:line="360" w:lineRule="auto"/>
      <w:ind w:firstLine="480"/>
      <w:textAlignment w:val="baseline"/>
    </w:pPr>
    <w:rPr>
      <w:sz w:val="24"/>
    </w:rPr>
  </w:style>
  <w:style w:type="paragraph" w:customStyle="1" w:styleId="326">
    <w:name w:val="标题无"/>
    <w:basedOn w:val="1"/>
    <w:qFormat/>
    <w:uiPriority w:val="0"/>
    <w:pPr>
      <w:spacing w:line="360" w:lineRule="auto"/>
    </w:pPr>
    <w:rPr>
      <w:sz w:val="24"/>
    </w:rPr>
  </w:style>
  <w:style w:type="paragraph" w:customStyle="1" w:styleId="327">
    <w:name w:val="摘要"/>
    <w:basedOn w:val="1"/>
    <w:next w:val="4"/>
    <w:qFormat/>
    <w:uiPriority w:val="0"/>
    <w:pPr>
      <w:spacing w:line="360" w:lineRule="auto"/>
    </w:pPr>
    <w:rPr>
      <w:rFonts w:eastAsia="黑体"/>
      <w:sz w:val="20"/>
    </w:rPr>
  </w:style>
  <w:style w:type="paragraph" w:customStyle="1" w:styleId="328">
    <w:name w:val="Char1"/>
    <w:basedOn w:val="1"/>
    <w:qFormat/>
    <w:uiPriority w:val="0"/>
    <w:rPr>
      <w:sz w:val="21"/>
    </w:rPr>
  </w:style>
  <w:style w:type="paragraph" w:customStyle="1" w:styleId="329">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330">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331">
    <w:name w:val="intel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2">
    <w:name w:val="没有缩进（为图形使用）"/>
    <w:basedOn w:val="1"/>
    <w:qFormat/>
    <w:uiPriority w:val="0"/>
    <w:pPr>
      <w:spacing w:before="120" w:after="120" w:line="360" w:lineRule="auto"/>
    </w:pPr>
    <w:rPr>
      <w:sz w:val="24"/>
    </w:rPr>
  </w:style>
  <w:style w:type="paragraph" w:customStyle="1" w:styleId="333">
    <w:name w:val="操作步骤"/>
    <w:basedOn w:val="1"/>
    <w:qFormat/>
    <w:uiPriority w:val="0"/>
    <w:pPr>
      <w:numPr>
        <w:ilvl w:val="0"/>
        <w:numId w:val="11"/>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334">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335">
    <w:name w:val="图例"/>
    <w:basedOn w:val="1"/>
    <w:qFormat/>
    <w:uiPriority w:val="0"/>
    <w:pPr>
      <w:spacing w:before="120" w:after="120" w:line="360" w:lineRule="auto"/>
      <w:jc w:val="center"/>
    </w:pPr>
    <w:rPr>
      <w:rFonts w:eastAsia="仿宋_GB2312"/>
      <w:b/>
      <w:sz w:val="24"/>
    </w:rPr>
  </w:style>
  <w:style w:type="paragraph" w:customStyle="1" w:styleId="336">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337">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338">
    <w:name w:val="Char Char Char Char Char Char Char1"/>
    <w:basedOn w:val="1"/>
    <w:qFormat/>
    <w:uiPriority w:val="0"/>
    <w:rPr>
      <w:rFonts w:ascii="Tahoma" w:hAnsi="Tahoma"/>
      <w:sz w:val="24"/>
    </w:rPr>
  </w:style>
  <w:style w:type="paragraph" w:customStyle="1" w:styleId="339">
    <w:name w:val="表格内文字"/>
    <w:basedOn w:val="32"/>
    <w:qFormat/>
    <w:uiPriority w:val="0"/>
    <w:pPr>
      <w:adjustRightInd w:val="0"/>
    </w:pPr>
    <w:rPr>
      <w:color w:val="000000"/>
      <w:lang w:val="en-GB"/>
    </w:rPr>
  </w:style>
  <w:style w:type="paragraph" w:customStyle="1" w:styleId="340">
    <w:name w:val="正文1"/>
    <w:basedOn w:val="1"/>
    <w:qFormat/>
    <w:uiPriority w:val="0"/>
    <w:pPr>
      <w:spacing w:line="300" w:lineRule="auto"/>
      <w:ind w:firstLine="200" w:firstLineChars="200"/>
    </w:pPr>
    <w:rPr>
      <w:sz w:val="24"/>
    </w:rPr>
  </w:style>
  <w:style w:type="paragraph" w:customStyle="1" w:styleId="341">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342">
    <w:name w:val="默认段落字体 Para Char Char Char Char Char Char Char Char Char1 Char Char Char Char"/>
    <w:basedOn w:val="1"/>
    <w:qFormat/>
    <w:uiPriority w:val="0"/>
    <w:rPr>
      <w:rFonts w:ascii="Tahoma" w:hAnsi="Tahoma"/>
      <w:sz w:val="24"/>
    </w:rPr>
  </w:style>
  <w:style w:type="paragraph" w:customStyle="1" w:styleId="343">
    <w:name w:val="zw"/>
    <w:basedOn w:val="1"/>
    <w:qFormat/>
    <w:uiPriority w:val="0"/>
    <w:pPr>
      <w:widowControl/>
      <w:spacing w:before="30"/>
      <w:ind w:left="100" w:right="100"/>
    </w:pPr>
    <w:rPr>
      <w:rFonts w:ascii="方正书宋简体" w:hAnsi="宋体" w:eastAsia="方正书宋简体"/>
      <w:color w:val="000000"/>
      <w:kern w:val="0"/>
      <w:sz w:val="21"/>
      <w:szCs w:val="21"/>
    </w:rPr>
  </w:style>
  <w:style w:type="paragraph" w:customStyle="1" w:styleId="344">
    <w:name w:val="样式 行距: 1.5 倍行距1"/>
    <w:basedOn w:val="1"/>
    <w:qFormat/>
    <w:uiPriority w:val="0"/>
    <w:pPr>
      <w:snapToGrid w:val="0"/>
    </w:pPr>
    <w:rPr>
      <w:sz w:val="21"/>
    </w:rPr>
  </w:style>
  <w:style w:type="paragraph" w:customStyle="1" w:styleId="345">
    <w:name w:val="样式4"/>
    <w:basedOn w:val="6"/>
    <w:qFormat/>
    <w:uiPriority w:val="0"/>
    <w:pPr>
      <w:adjustRightInd w:val="0"/>
      <w:snapToGrid w:val="0"/>
    </w:pPr>
  </w:style>
  <w:style w:type="paragraph" w:customStyle="1" w:styleId="346">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347">
    <w:name w:val="缺省文本"/>
    <w:basedOn w:val="1"/>
    <w:qFormat/>
    <w:uiPriority w:val="0"/>
    <w:pPr>
      <w:tabs>
        <w:tab w:val="left" w:pos="1260"/>
      </w:tabs>
      <w:autoSpaceDE w:val="0"/>
      <w:autoSpaceDN w:val="0"/>
      <w:adjustRightInd w:val="0"/>
      <w:spacing w:line="360" w:lineRule="auto"/>
      <w:jc w:val="left"/>
    </w:pPr>
    <w:rPr>
      <w:kern w:val="0"/>
      <w:sz w:val="24"/>
    </w:rPr>
  </w:style>
  <w:style w:type="character" w:customStyle="1" w:styleId="348">
    <w:name w:val="引用 Char2"/>
    <w:basedOn w:val="65"/>
    <w:qFormat/>
    <w:uiPriority w:val="29"/>
    <w:rPr>
      <w:rFonts w:ascii="Times New Roman" w:hAnsi="Times New Roman" w:eastAsia="宋体" w:cs="Times New Roman"/>
      <w:i/>
      <w:iCs/>
      <w:color w:val="3F3F3F"/>
      <w:sz w:val="28"/>
      <w:szCs w:val="20"/>
    </w:rPr>
  </w:style>
  <w:style w:type="paragraph" w:customStyle="1" w:styleId="349">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50">
    <w:name w:val="pa-34"/>
    <w:basedOn w:val="1"/>
    <w:qFormat/>
    <w:uiPriority w:val="0"/>
    <w:pPr>
      <w:widowControl/>
      <w:spacing w:line="360" w:lineRule="atLeast"/>
      <w:ind w:firstLine="420"/>
      <w:jc w:val="left"/>
    </w:pPr>
    <w:rPr>
      <w:rFonts w:ascii="宋体" w:hAnsi="宋体" w:cs="宋体"/>
      <w:kern w:val="0"/>
      <w:sz w:val="24"/>
      <w:szCs w:val="24"/>
    </w:rPr>
  </w:style>
  <w:style w:type="paragraph" w:customStyle="1" w:styleId="351">
    <w:name w:val="文本1"/>
    <w:basedOn w:val="1"/>
    <w:qFormat/>
    <w:uiPriority w:val="0"/>
    <w:pPr>
      <w:adjustRightInd w:val="0"/>
      <w:spacing w:line="312" w:lineRule="atLeast"/>
      <w:jc w:val="center"/>
      <w:textAlignment w:val="baseline"/>
    </w:pPr>
    <w:rPr>
      <w:kern w:val="0"/>
      <w:sz w:val="18"/>
    </w:rPr>
  </w:style>
  <w:style w:type="paragraph" w:customStyle="1" w:styleId="352">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53">
    <w:name w:val="Revision_c3942d1e-39bf-49dd-9576-7632bac9555f"/>
    <w:qFormat/>
    <w:uiPriority w:val="0"/>
    <w:rPr>
      <w:rFonts w:ascii="Times New Roman" w:hAnsi="Times New Roman" w:eastAsia="宋体" w:cs="Times New Roman"/>
      <w:kern w:val="2"/>
      <w:sz w:val="21"/>
      <w:lang w:val="en-US" w:eastAsia="zh-CN" w:bidi="ar-SA"/>
    </w:rPr>
  </w:style>
  <w:style w:type="paragraph" w:customStyle="1" w:styleId="354">
    <w:name w:val="Char Char Char"/>
    <w:basedOn w:val="1"/>
    <w:qFormat/>
    <w:uiPriority w:val="0"/>
    <w:rPr>
      <w:rFonts w:ascii="Tahoma" w:hAnsi="Tahoma"/>
      <w:sz w:val="24"/>
    </w:rPr>
  </w:style>
  <w:style w:type="paragraph" w:customStyle="1" w:styleId="355">
    <w:name w:val="自定样式1"/>
    <w:basedOn w:val="1"/>
    <w:qFormat/>
    <w:uiPriority w:val="0"/>
    <w:pPr>
      <w:suppressAutoHyphens/>
      <w:jc w:val="center"/>
    </w:pPr>
    <w:rPr>
      <w:rFonts w:ascii="宋体" w:hAnsi="宋体"/>
      <w:color w:val="000000"/>
      <w:sz w:val="18"/>
      <w:szCs w:val="24"/>
    </w:rPr>
  </w:style>
  <w:style w:type="paragraph" w:customStyle="1" w:styleId="356">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357">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358">
    <w:name w:val="样式 标题 1 + 黑体 三号 非加粗 居中 段前: 6 磅 段后: 6 磅 行距: 固定值 20 磅"/>
    <w:basedOn w:val="3"/>
    <w:qFormat/>
    <w:uiPriority w:val="0"/>
    <w:pPr>
      <w:keepLines/>
      <w:snapToGrid/>
      <w:spacing w:before="120" w:after="120" w:line="400" w:lineRule="exact"/>
      <w:jc w:val="center"/>
    </w:pPr>
    <w:rPr>
      <w:rFonts w:ascii="黑体" w:hAnsi="黑体" w:eastAsia="黑体" w:cs="宋体"/>
      <w:kern w:val="44"/>
      <w:sz w:val="32"/>
    </w:rPr>
  </w:style>
  <w:style w:type="paragraph" w:customStyle="1" w:styleId="359">
    <w:name w:val="简单回函地址"/>
    <w:basedOn w:val="1"/>
    <w:qFormat/>
    <w:uiPriority w:val="0"/>
    <w:pPr>
      <w:adjustRightInd w:val="0"/>
      <w:snapToGrid w:val="0"/>
      <w:spacing w:line="360" w:lineRule="auto"/>
    </w:pPr>
    <w:rPr>
      <w:sz w:val="24"/>
    </w:rPr>
  </w:style>
  <w:style w:type="paragraph" w:customStyle="1" w:styleId="360">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361">
    <w:name w:val="Style Heading 3h3Heading 3 - oldLevel 3 HeadH3level_3PIM 3se..."/>
    <w:basedOn w:val="5"/>
    <w:qFormat/>
    <w:uiPriority w:val="0"/>
    <w:pPr>
      <w:numPr>
        <w:ilvl w:val="0"/>
        <w:numId w:val="12"/>
      </w:numPr>
      <w:tabs>
        <w:tab w:val="left" w:pos="709"/>
      </w:tabs>
    </w:pPr>
  </w:style>
  <w:style w:type="paragraph" w:customStyle="1" w:styleId="362">
    <w:name w:val="表格文字"/>
    <w:basedOn w:val="1"/>
    <w:qFormat/>
    <w:uiPriority w:val="0"/>
    <w:pPr>
      <w:adjustRightInd w:val="0"/>
      <w:spacing w:line="420" w:lineRule="atLeast"/>
      <w:jc w:val="left"/>
      <w:textAlignment w:val="baseline"/>
    </w:pPr>
    <w:rPr>
      <w:rFonts w:ascii="Calibri" w:hAnsi="Calibri"/>
      <w:kern w:val="0"/>
      <w:sz w:val="21"/>
    </w:rPr>
  </w:style>
  <w:style w:type="paragraph" w:customStyle="1" w:styleId="363">
    <w:name w:val="编号正文"/>
    <w:basedOn w:val="334"/>
    <w:qFormat/>
    <w:uiPriority w:val="0"/>
    <w:pPr>
      <w:snapToGrid/>
      <w:spacing w:line="360" w:lineRule="auto"/>
      <w:ind w:left="1407" w:hanging="1047"/>
      <w:jc w:val="left"/>
    </w:pPr>
    <w:rPr>
      <w:rFonts w:eastAsia="仿宋_GB2312"/>
    </w:rPr>
  </w:style>
  <w:style w:type="paragraph" w:customStyle="1" w:styleId="364">
    <w:name w:val="标书正文1"/>
    <w:basedOn w:val="1"/>
    <w:qFormat/>
    <w:uiPriority w:val="0"/>
    <w:pPr>
      <w:spacing w:line="520" w:lineRule="exact"/>
      <w:ind w:firstLine="640" w:firstLineChars="200"/>
    </w:pPr>
  </w:style>
  <w:style w:type="paragraph" w:customStyle="1" w:styleId="365">
    <w:name w:val="无间隔1"/>
    <w:qFormat/>
    <w:uiPriority w:val="1"/>
    <w:pPr>
      <w:jc w:val="both"/>
    </w:pPr>
    <w:rPr>
      <w:rFonts w:ascii="Times New Roman" w:hAnsi="Times New Roman" w:eastAsia="Times New Roman" w:cs="Times New Roman"/>
      <w:lang w:val="en-US" w:eastAsia="zh-CN" w:bidi="ar-SA"/>
    </w:rPr>
  </w:style>
  <w:style w:type="paragraph" w:customStyle="1" w:styleId="366">
    <w:name w:val="正文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367">
    <w:name w:val="招标节"/>
    <w:basedOn w:val="1"/>
    <w:next w:val="1"/>
    <w:link w:val="371"/>
    <w:qFormat/>
    <w:uiPriority w:val="0"/>
    <w:pPr>
      <w:spacing w:before="156" w:beforeLines="50" w:after="156" w:afterLines="50"/>
      <w:outlineLvl w:val="1"/>
    </w:pPr>
    <w:rPr>
      <w:rFonts w:ascii="宋体" w:hAnsi="宋体"/>
      <w:b/>
      <w:sz w:val="24"/>
    </w:rPr>
  </w:style>
  <w:style w:type="paragraph" w:styleId="368">
    <w:name w:val="List Paragraph"/>
    <w:basedOn w:val="1"/>
    <w:qFormat/>
    <w:uiPriority w:val="99"/>
    <w:pPr>
      <w:ind w:firstLine="420" w:firstLineChars="200"/>
    </w:pPr>
  </w:style>
  <w:style w:type="character" w:customStyle="1" w:styleId="369">
    <w:name w:val="招标正文 Char"/>
    <w:basedOn w:val="65"/>
    <w:link w:val="370"/>
    <w:qFormat/>
    <w:uiPriority w:val="0"/>
    <w:rPr>
      <w:rFonts w:ascii="宋体" w:hAnsi="宋体"/>
      <w:kern w:val="2"/>
      <w:sz w:val="21"/>
      <w:szCs w:val="21"/>
    </w:rPr>
  </w:style>
  <w:style w:type="paragraph" w:customStyle="1" w:styleId="370">
    <w:name w:val="招标正文"/>
    <w:basedOn w:val="1"/>
    <w:link w:val="369"/>
    <w:qFormat/>
    <w:uiPriority w:val="0"/>
    <w:pPr>
      <w:spacing w:line="300" w:lineRule="auto"/>
      <w:ind w:firstLine="420" w:firstLineChars="200"/>
    </w:pPr>
    <w:rPr>
      <w:rFonts w:ascii="宋体" w:hAnsi="宋体"/>
      <w:sz w:val="21"/>
      <w:szCs w:val="21"/>
    </w:rPr>
  </w:style>
  <w:style w:type="character" w:customStyle="1" w:styleId="371">
    <w:name w:val="招标节 Char"/>
    <w:basedOn w:val="65"/>
    <w:link w:val="367"/>
    <w:qFormat/>
    <w:uiPriority w:val="0"/>
    <w:rPr>
      <w:rFonts w:ascii="宋体" w:hAnsi="宋体"/>
      <w:b/>
      <w:kern w:val="2"/>
      <w:sz w:val="24"/>
    </w:rPr>
  </w:style>
  <w:style w:type="character" w:customStyle="1" w:styleId="372">
    <w:name w:val="小标题 Char"/>
    <w:basedOn w:val="369"/>
    <w:link w:val="373"/>
    <w:qFormat/>
    <w:uiPriority w:val="0"/>
    <w:rPr>
      <w:rFonts w:ascii="宋体" w:hAnsi="宋体"/>
      <w:kern w:val="2"/>
      <w:sz w:val="21"/>
      <w:szCs w:val="21"/>
    </w:rPr>
  </w:style>
  <w:style w:type="paragraph" w:customStyle="1" w:styleId="373">
    <w:name w:val="小标题"/>
    <w:basedOn w:val="370"/>
    <w:next w:val="370"/>
    <w:link w:val="372"/>
    <w:qFormat/>
    <w:uiPriority w:val="0"/>
    <w:pPr>
      <w:outlineLvl w:val="2"/>
    </w:pPr>
  </w:style>
  <w:style w:type="character" w:customStyle="1" w:styleId="374">
    <w:name w:val="招标章 Char"/>
    <w:basedOn w:val="65"/>
    <w:link w:val="375"/>
    <w:qFormat/>
    <w:uiPriority w:val="0"/>
    <w:rPr>
      <w:rFonts w:eastAsia="黑体"/>
      <w:b/>
      <w:kern w:val="2"/>
      <w:sz w:val="32"/>
      <w:szCs w:val="24"/>
    </w:rPr>
  </w:style>
  <w:style w:type="paragraph" w:customStyle="1" w:styleId="375">
    <w:name w:val="招标章"/>
    <w:basedOn w:val="1"/>
    <w:link w:val="374"/>
    <w:qFormat/>
    <w:uiPriority w:val="0"/>
    <w:pPr>
      <w:spacing w:line="360" w:lineRule="auto"/>
      <w:jc w:val="center"/>
      <w:outlineLvl w:val="0"/>
    </w:pPr>
    <w:rPr>
      <w:rFonts w:eastAsia="黑体"/>
      <w:b/>
      <w:sz w:val="32"/>
      <w:szCs w:val="24"/>
    </w:rPr>
  </w:style>
  <w:style w:type="paragraph" w:customStyle="1" w:styleId="376">
    <w:name w:val="标准节"/>
    <w:basedOn w:val="367"/>
    <w:qFormat/>
    <w:uiPriority w:val="0"/>
    <w:pPr>
      <w:jc w:val="center"/>
    </w:pPr>
    <w:rPr>
      <w:rFonts w:ascii="Times New Roman" w:hAnsi="Times New Roman"/>
      <w:sz w:val="30"/>
      <w:szCs w:val="32"/>
    </w:rPr>
  </w:style>
  <w:style w:type="paragraph" w:customStyle="1" w:styleId="377">
    <w:name w:val="附件"/>
    <w:basedOn w:val="367"/>
    <w:qFormat/>
    <w:uiPriority w:val="0"/>
    <w:pPr>
      <w:spacing w:before="0" w:beforeLines="0" w:after="0" w:afterLines="0"/>
    </w:pPr>
    <w:rPr>
      <w:rFonts w:ascii="Times New Roman" w:hAnsi="Times New Roman" w:eastAsia="黑体"/>
      <w:szCs w:val="28"/>
    </w:rPr>
  </w:style>
  <w:style w:type="paragraph" w:customStyle="1" w:styleId="378">
    <w:name w:val="身份证明授权委托投标函等行距"/>
    <w:qFormat/>
    <w:uiPriority w:val="0"/>
    <w:pPr>
      <w:spacing w:line="560" w:lineRule="exact"/>
      <w:ind w:firstLine="200" w:firstLineChars="200"/>
    </w:pPr>
    <w:rPr>
      <w:rFonts w:ascii="Times New Roman" w:hAnsi="Times New Roman" w:eastAsia="仿宋_GB2312" w:cs="Times New Roman"/>
      <w:kern w:val="2"/>
      <w:sz w:val="24"/>
      <w:szCs w:val="24"/>
      <w:lang w:val="en-US" w:eastAsia="zh-CN" w:bidi="ar-SA"/>
    </w:rPr>
  </w:style>
  <w:style w:type="paragraph" w:customStyle="1" w:styleId="379">
    <w:name w:val="授权书和信息卡行距"/>
    <w:qFormat/>
    <w:uiPriority w:val="0"/>
    <w:pPr>
      <w:spacing w:line="560" w:lineRule="exact"/>
    </w:pPr>
    <w:rPr>
      <w:rFonts w:ascii="Times New Roman" w:hAnsi="Times New Roman" w:eastAsia="仿宋_GB2312" w:cs="Times New Roman"/>
      <w:kern w:val="2"/>
      <w:sz w:val="24"/>
      <w:szCs w:val="24"/>
      <w:lang w:val="en-US" w:eastAsia="zh-CN" w:bidi="ar-SA"/>
    </w:rPr>
  </w:style>
  <w:style w:type="character" w:customStyle="1" w:styleId="380">
    <w:name w:val="16"/>
    <w:qFormat/>
    <w:uiPriority w:val="0"/>
    <w:rPr>
      <w:rFonts w:hint="eastAsia" w:ascii="宋体" w:hAnsi="宋体" w:eastAsia="Times New Roman"/>
      <w:spacing w:val="0"/>
      <w:sz w:val="20"/>
      <w:szCs w:val="20"/>
      <w:shd w:val="clear" w:color="auto" w:fill="FFFFFF"/>
    </w:rPr>
  </w:style>
  <w:style w:type="paragraph" w:customStyle="1" w:styleId="381">
    <w:name w:val="No Spacing"/>
    <w:basedOn w:val="1"/>
    <w:qFormat/>
    <w:uiPriority w:val="1"/>
    <w:pPr>
      <w:spacing w:line="400" w:lineRule="exact"/>
    </w:pPr>
    <w:rPr>
      <w:sz w:val="24"/>
      <w:szCs w:val="20"/>
    </w:rPr>
  </w:style>
  <w:style w:type="character" w:customStyle="1" w:styleId="382">
    <w:name w:val="NormalCharacter"/>
    <w:semiHidden/>
    <w:qFormat/>
    <w:uiPriority w:val="0"/>
  </w:style>
  <w:style w:type="paragraph" w:customStyle="1" w:styleId="383">
    <w:name w:val="标题 5（有编号）（绿盟科技）"/>
    <w:basedOn w:val="1"/>
    <w:next w:val="384"/>
    <w:qFormat/>
    <w:uiPriority w:val="0"/>
    <w:pPr>
      <w:keepNext/>
      <w:keepLines/>
      <w:numPr>
        <w:ilvl w:val="4"/>
        <w:numId w:val="13"/>
      </w:numPr>
      <w:spacing w:before="280" w:after="156" w:line="377" w:lineRule="auto"/>
      <w:jc w:val="left"/>
      <w:outlineLvl w:val="4"/>
    </w:pPr>
    <w:rPr>
      <w:rFonts w:ascii="Arial" w:hAnsi="Arial" w:eastAsia="黑体"/>
      <w:b/>
      <w:kern w:val="0"/>
      <w:szCs w:val="28"/>
    </w:rPr>
  </w:style>
  <w:style w:type="paragraph" w:customStyle="1" w:styleId="384">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115</Pages>
  <Words>1089</Words>
  <Characters>1174</Characters>
  <Lines>261</Lines>
  <Paragraphs>73</Paragraphs>
  <TotalTime>2</TotalTime>
  <ScaleCrop>false</ScaleCrop>
  <LinksUpToDate>false</LinksUpToDate>
  <CharactersWithSpaces>1265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2022-03-07T01:34:00Z</dcterms:created>
  <dc:creator>Sky123.Org</dc:creator>
  <cp:lastModifiedBy>温星星</cp:lastModifiedBy>
  <cp:lastPrinted>2025-11-11T01:25:00Z</cp:lastPrinted>
  <dcterms:modified xsi:type="dcterms:W3CDTF">2026-08-03T07:47:35Z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518FFD62209F4944AD9AFD352275AAAC_13</vt:lpwstr>
  </property>
  <property fmtid="{D5CDD505-2E9C-101B-9397-08002B2CF9AE}" pid="4" name="KSOTemplateDocerSaveRecord">
    <vt:lpwstr>eyJoZGlkIjoiZDRlMTI0ZmZkNWVkNDk2ZTg4NWYwOTQyMjQxMmY4NGEiLCJ1c2VySWQiOiIxMzIzODcwMDMzIn0=</vt:lpwstr>
  </property>
</Properties>
</file>