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0" w:firstLineChars="0"/>
        <w:jc w:val="left"/>
        <w:textAlignment w:val="auto"/>
        <w:rPr>
          <w:rFonts w:hint="eastAsia" w:ascii="方正黑体_GBK" w:hAnsi="方正黑体_GBK" w:eastAsia="方正黑体_GBK" w:cs="方正黑体_GBK"/>
          <w:sz w:val="32"/>
          <w:szCs w:val="32"/>
          <w:lang w:val="en-US" w:eastAsia="zh-CN"/>
        </w:rPr>
      </w:pPr>
    </w:p>
    <w:p>
      <w:pPr>
        <w:pStyle w:val="2"/>
        <w:keepNext/>
        <w:keepLines w:val="0"/>
        <w:pageBreakBefore w:val="0"/>
        <w:widowControl/>
        <w:kinsoku/>
        <w:wordWrap/>
        <w:overflowPunct/>
        <w:topLinePunct w:val="0"/>
        <w:autoSpaceDE/>
        <w:autoSpaceDN/>
        <w:bidi w:val="0"/>
        <w:adjustRightInd/>
        <w:snapToGrid/>
        <w:spacing w:after="0" w:line="620" w:lineRule="exact"/>
        <w:textAlignment w:val="auto"/>
        <w:rPr>
          <w:rFonts w:hint="eastAsia"/>
          <w:b w:val="0"/>
          <w:bCs/>
          <w:lang w:val="en-US" w:eastAsia="zh-CN"/>
        </w:rPr>
      </w:pPr>
    </w:p>
    <w:p>
      <w:pPr>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0" w:firstLineChars="0"/>
        <w:jc w:val="center"/>
        <w:textAlignment w:val="auto"/>
        <w:rPr>
          <w:rFonts w:hint="default" w:ascii="Times New Roman" w:hAnsi="Times New Roman" w:eastAsia="方正小标宋_GBK" w:cs="Times New Roman"/>
          <w:sz w:val="44"/>
          <w:szCs w:val="36"/>
          <w:lang w:val="en-US" w:eastAsia="zh-CN"/>
        </w:rPr>
      </w:pPr>
      <w:r>
        <w:rPr>
          <w:rFonts w:hint="default" w:ascii="Times New Roman" w:hAnsi="Times New Roman" w:eastAsia="方正小标宋_GBK" w:cs="Times New Roman"/>
          <w:sz w:val="44"/>
          <w:szCs w:val="36"/>
          <w:lang w:val="en-US" w:eastAsia="zh-CN"/>
        </w:rPr>
        <w:t>重庆旅投景典房地产开发有限公司</w:t>
      </w:r>
    </w:p>
    <w:p>
      <w:pPr>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0" w:firstLineChars="0"/>
        <w:jc w:val="center"/>
        <w:textAlignment w:val="auto"/>
        <w:rPr>
          <w:rFonts w:hint="default" w:ascii="Times New Roman" w:hAnsi="Times New Roman" w:eastAsia="方正小标宋_GBK" w:cs="Times New Roman"/>
          <w:sz w:val="44"/>
          <w:szCs w:val="36"/>
          <w:lang w:val="en-US" w:eastAsia="zh-CN"/>
        </w:rPr>
      </w:pPr>
      <w:r>
        <w:rPr>
          <w:rFonts w:hint="default" w:ascii="Times New Roman" w:hAnsi="Times New Roman" w:eastAsia="方正小标宋_GBK" w:cs="Times New Roman"/>
          <w:sz w:val="44"/>
          <w:szCs w:val="36"/>
          <w:lang w:val="en-US" w:eastAsia="zh-CN"/>
        </w:rPr>
        <w:t>国有土地使用权</w:t>
      </w:r>
      <w:r>
        <w:rPr>
          <w:rFonts w:hint="default" w:ascii="Times New Roman" w:hAnsi="Times New Roman" w:eastAsia="方正小标宋_GBK" w:cs="Times New Roman"/>
          <w:sz w:val="44"/>
          <w:szCs w:val="36"/>
        </w:rPr>
        <w:t>收</w:t>
      </w:r>
      <w:r>
        <w:rPr>
          <w:rFonts w:hint="default" w:ascii="Times New Roman" w:hAnsi="Times New Roman" w:eastAsia="方正小标宋_GBK" w:cs="Times New Roman"/>
          <w:sz w:val="44"/>
          <w:szCs w:val="36"/>
          <w:lang w:val="en-US" w:eastAsia="zh-CN"/>
        </w:rPr>
        <w:t>回方案</w:t>
      </w:r>
    </w:p>
    <w:p>
      <w:pPr>
        <w:keepLines w:val="0"/>
        <w:pageBreakBefore w:val="0"/>
        <w:kinsoku/>
        <w:wordWrap/>
        <w:overflowPunct/>
        <w:topLinePunct w:val="0"/>
        <w:autoSpaceDE/>
        <w:autoSpaceDN/>
        <w:bidi w:val="0"/>
        <w:adjustRightInd/>
        <w:snapToGrid/>
        <w:spacing w:line="620" w:lineRule="exact"/>
        <w:textAlignment w:val="auto"/>
        <w:rPr>
          <w:rFonts w:hint="default" w:ascii="Times New Roman" w:hAnsi="Times New Roman" w:cs="Times New Roman"/>
          <w:b w:val="0"/>
          <w:bCs w:val="0"/>
          <w:color w:val="000000"/>
          <w:kern w:val="2"/>
          <w:sz w:val="32"/>
          <w:szCs w:val="32"/>
          <w:lang w:val="en-US" w:eastAsia="zh-CN" w:bidi="ar-SA"/>
        </w:rPr>
      </w:pPr>
    </w:p>
    <w:p>
      <w:pPr>
        <w:keepLines w:val="0"/>
        <w:pageBreakBefore w:val="0"/>
        <w:kinsoku/>
        <w:wordWrap/>
        <w:overflowPunct/>
        <w:topLinePunct w:val="0"/>
        <w:autoSpaceDE/>
        <w:autoSpaceDN/>
        <w:bidi w:val="0"/>
        <w:adjustRightInd/>
        <w:snapToGrid/>
        <w:spacing w:line="620" w:lineRule="exact"/>
        <w:ind w:firstLine="632" w:firstLineChars="200"/>
        <w:textAlignment w:val="auto"/>
        <w:rPr>
          <w:rFonts w:hint="default" w:ascii="Times New Roman" w:hAnsi="Times New Roman" w:cs="Times New Roman"/>
          <w:b w:val="0"/>
          <w:bCs w:val="0"/>
          <w:color w:val="000000"/>
          <w:kern w:val="2"/>
          <w:sz w:val="32"/>
          <w:szCs w:val="32"/>
          <w:lang w:val="en-US" w:eastAsia="zh-CN" w:bidi="ar-SA"/>
        </w:rPr>
      </w:pPr>
      <w:r>
        <w:rPr>
          <w:rFonts w:hint="default" w:ascii="Times New Roman" w:hAnsi="Times New Roman" w:cs="Times New Roman"/>
          <w:b w:val="0"/>
          <w:bCs w:val="0"/>
          <w:color w:val="000000"/>
          <w:kern w:val="2"/>
          <w:sz w:val="32"/>
          <w:szCs w:val="32"/>
          <w:lang w:val="en-US" w:eastAsia="zh-CN" w:bidi="ar-SA"/>
        </w:rPr>
        <w:t>为贯彻落实市委、市政府</w:t>
      </w:r>
      <w:r>
        <w:rPr>
          <w:rFonts w:hint="eastAsia" w:cs="Times New Roman"/>
          <w:b w:val="0"/>
          <w:bCs w:val="0"/>
          <w:color w:val="000000"/>
          <w:kern w:val="2"/>
          <w:sz w:val="32"/>
          <w:szCs w:val="32"/>
          <w:lang w:val="en-US" w:eastAsia="zh-CN" w:bidi="ar-SA"/>
        </w:rPr>
        <w:t>“</w:t>
      </w:r>
      <w:r>
        <w:rPr>
          <w:rFonts w:hint="default" w:ascii="Times New Roman" w:hAnsi="Times New Roman" w:cs="Times New Roman"/>
          <w:b w:val="0"/>
          <w:bCs w:val="0"/>
          <w:color w:val="000000"/>
          <w:kern w:val="2"/>
          <w:sz w:val="32"/>
          <w:szCs w:val="32"/>
          <w:lang w:val="en-US" w:eastAsia="zh-CN" w:bidi="ar-SA"/>
        </w:rPr>
        <w:t>三攻坚一盘活</w:t>
      </w:r>
      <w:r>
        <w:rPr>
          <w:rFonts w:hint="eastAsia" w:cs="Times New Roman"/>
          <w:b w:val="0"/>
          <w:bCs w:val="0"/>
          <w:color w:val="000000"/>
          <w:kern w:val="2"/>
          <w:sz w:val="32"/>
          <w:szCs w:val="32"/>
          <w:lang w:val="en-US" w:eastAsia="zh-CN" w:bidi="ar-SA"/>
        </w:rPr>
        <w:t>”</w:t>
      </w:r>
      <w:r>
        <w:rPr>
          <w:rFonts w:hint="default" w:ascii="Times New Roman" w:hAnsi="Times New Roman" w:cs="Times New Roman"/>
          <w:b w:val="0"/>
          <w:bCs w:val="0"/>
          <w:color w:val="000000"/>
          <w:kern w:val="2"/>
          <w:sz w:val="32"/>
          <w:szCs w:val="32"/>
          <w:lang w:val="en-US" w:eastAsia="zh-CN" w:bidi="ar-SA"/>
        </w:rPr>
        <w:t>改革突破部署要求，加快盘活市、区两级国有企业存量资产，深化与重庆旅游投资集团有限公司（以下简称：重庆旅游集团）合作发展，丰富龙水湖旅游度假区住宿供给，积极申办亚洲文化遗产保护联盟大会，推动创建龙水湖国家级旅游度假区，区政府与重庆旅游集团签订了《战略合作框架协议》，约定由我区收回</w:t>
      </w:r>
      <w:r>
        <w:rPr>
          <w:rFonts w:hint="default" w:ascii="Times New Roman" w:hAnsi="Times New Roman" w:cs="Times New Roman"/>
          <w:b w:val="0"/>
          <w:bCs w:val="0"/>
          <w:color w:val="000000"/>
          <w:kern w:val="2"/>
          <w:sz w:val="32"/>
          <w:szCs w:val="32"/>
          <w:lang w:val="en-US" w:eastAsia="zh-CN" w:bidi="ar-SA"/>
          <w:woUserID w:val="1"/>
        </w:rPr>
        <w:t>重庆旅游集团</w:t>
      </w:r>
      <w:r>
        <w:rPr>
          <w:rFonts w:hint="default" w:ascii="Times New Roman" w:hAnsi="Times New Roman" w:cs="Times New Roman"/>
          <w:b w:val="0"/>
          <w:bCs w:val="0"/>
          <w:color w:val="000000"/>
          <w:kern w:val="2"/>
          <w:sz w:val="32"/>
          <w:szCs w:val="32"/>
          <w:lang w:val="en-US" w:eastAsia="zh-CN" w:bidi="ar-SA"/>
        </w:rPr>
        <w:t>下属子公司重庆旅投景典房地产开发有限公司（以下简称旅投景典公司）在大足区龙岗街道累丰社区1、7组</w:t>
      </w:r>
      <w:r>
        <w:rPr>
          <w:rFonts w:hint="eastAsia" w:cs="Times New Roman"/>
          <w:b w:val="0"/>
          <w:bCs w:val="0"/>
          <w:color w:val="000000"/>
          <w:kern w:val="2"/>
          <w:sz w:val="32"/>
          <w:szCs w:val="32"/>
          <w:lang w:val="en-US" w:eastAsia="zh-CN" w:bidi="ar-SA"/>
        </w:rPr>
        <w:t>1</w:t>
      </w:r>
      <w:r>
        <w:rPr>
          <w:rFonts w:hint="default" w:ascii="Times New Roman" w:hAnsi="Times New Roman" w:cs="Times New Roman"/>
          <w:b w:val="0"/>
          <w:bCs w:val="0"/>
          <w:color w:val="000000"/>
          <w:kern w:val="2"/>
          <w:sz w:val="32"/>
          <w:szCs w:val="32"/>
          <w:lang w:val="en-US" w:eastAsia="zh-CN" w:bidi="ar-SA"/>
        </w:rPr>
        <w:t>351-2号、1351-3号地块使用权，</w:t>
      </w:r>
      <w:bookmarkStart w:id="0" w:name="_GoBack"/>
      <w:r>
        <w:rPr>
          <w:rFonts w:hint="default" w:ascii="Times New Roman" w:hAnsi="Times New Roman" w:cs="Times New Roman"/>
          <w:b w:val="0"/>
          <w:bCs w:val="0"/>
          <w:color w:val="000000"/>
          <w:kern w:val="2"/>
          <w:sz w:val="32"/>
          <w:szCs w:val="32"/>
          <w:lang w:val="en-US" w:eastAsia="zh-CN" w:bidi="ar-SA"/>
          <w:woUserID w:val="1"/>
        </w:rPr>
        <w:t>重庆旅游集团</w:t>
      </w:r>
      <w:bookmarkEnd w:id="0"/>
      <w:r>
        <w:rPr>
          <w:rFonts w:hint="default" w:ascii="Times New Roman" w:hAnsi="Times New Roman" w:cs="Times New Roman"/>
          <w:b w:val="0"/>
          <w:bCs w:val="0"/>
          <w:color w:val="000000"/>
          <w:kern w:val="2"/>
          <w:sz w:val="32"/>
          <w:szCs w:val="32"/>
          <w:lang w:val="en-US" w:eastAsia="zh-CN" w:bidi="ar-SA"/>
        </w:rPr>
        <w:t>承诺将土地收回款的70%用于大足的文旅项目投资，其中3000万投于龙水湖度假中心项目。为推进我区与重庆旅游集团签订的《战略合作协议》约定事项落实落地，共同推进原联谊宾馆改建（龙水湖度假中心）项目建设，经多次沟通协商，区规划自然资源局与旅投景典公司在达成国有土地使用权收回意向的基础上，制定本收回方案如下：</w:t>
      </w:r>
    </w:p>
    <w:p>
      <w:pPr>
        <w:keepLines w:val="0"/>
        <w:pageBreakBefore w:val="0"/>
        <w:kinsoku/>
        <w:wordWrap/>
        <w:overflowPunct/>
        <w:topLinePunct w:val="0"/>
        <w:autoSpaceDE/>
        <w:autoSpaceDN/>
        <w:bidi w:val="0"/>
        <w:adjustRightInd/>
        <w:snapToGrid/>
        <w:spacing w:line="620" w:lineRule="exact"/>
        <w:ind w:firstLine="632" w:firstLineChars="200"/>
        <w:textAlignment w:val="auto"/>
        <w:rPr>
          <w:rFonts w:hint="eastAsia" w:ascii="方正黑体_GBK" w:hAnsi="方正黑体_GBK" w:eastAsia="方正黑体_GBK" w:cs="方正黑体_GBK"/>
          <w:b w:val="0"/>
          <w:bCs w:val="0"/>
          <w:color w:val="000000"/>
          <w:kern w:val="2"/>
          <w:sz w:val="32"/>
          <w:szCs w:val="32"/>
          <w:lang w:val="en-US" w:eastAsia="zh-CN" w:bidi="ar-SA"/>
        </w:rPr>
      </w:pPr>
      <w:r>
        <w:rPr>
          <w:rFonts w:hint="eastAsia" w:ascii="方正黑体_GBK" w:hAnsi="方正黑体_GBK" w:eastAsia="方正黑体_GBK" w:cs="方正黑体_GBK"/>
          <w:b w:val="0"/>
          <w:bCs w:val="0"/>
          <w:color w:val="000000"/>
          <w:kern w:val="2"/>
          <w:sz w:val="32"/>
          <w:szCs w:val="32"/>
          <w:lang w:val="en-US" w:eastAsia="zh-CN" w:bidi="ar-SA"/>
        </w:rPr>
        <w:t>一、基本情况</w:t>
      </w:r>
    </w:p>
    <w:p>
      <w:pPr>
        <w:keepLines w:val="0"/>
        <w:pageBreakBefore w:val="0"/>
        <w:kinsoku/>
        <w:wordWrap/>
        <w:overflowPunct/>
        <w:topLinePunct w:val="0"/>
        <w:autoSpaceDE/>
        <w:autoSpaceDN/>
        <w:bidi w:val="0"/>
        <w:adjustRightInd/>
        <w:snapToGrid/>
        <w:spacing w:line="620" w:lineRule="exact"/>
        <w:ind w:firstLine="632" w:firstLineChars="200"/>
        <w:textAlignment w:val="auto"/>
        <w:rPr>
          <w:rFonts w:hint="default" w:ascii="Times New Roman" w:hAnsi="Times New Roman" w:cs="Times New Roman"/>
          <w:b w:val="0"/>
          <w:bCs w:val="0"/>
          <w:color w:val="000000"/>
          <w:kern w:val="2"/>
          <w:sz w:val="32"/>
          <w:szCs w:val="32"/>
          <w:lang w:val="en-US" w:eastAsia="zh-CN" w:bidi="ar-SA"/>
        </w:rPr>
      </w:pPr>
      <w:r>
        <w:rPr>
          <w:rFonts w:hint="eastAsia" w:ascii="方正楷体_GBK" w:hAnsi="方正楷体_GBK" w:eastAsia="方正楷体_GBK" w:cs="方正楷体_GBK"/>
          <w:b w:val="0"/>
          <w:bCs w:val="0"/>
          <w:color w:val="000000"/>
          <w:kern w:val="2"/>
          <w:sz w:val="32"/>
          <w:szCs w:val="32"/>
          <w:lang w:val="en-US" w:eastAsia="zh-CN" w:bidi="ar-SA"/>
        </w:rPr>
        <w:t>（一）土地使用权人情况。</w:t>
      </w:r>
      <w:r>
        <w:rPr>
          <w:rFonts w:hint="default" w:ascii="Times New Roman" w:hAnsi="Times New Roman" w:cs="Times New Roman"/>
          <w:b w:val="0"/>
          <w:bCs w:val="0"/>
          <w:color w:val="000000"/>
          <w:kern w:val="2"/>
          <w:sz w:val="32"/>
          <w:szCs w:val="32"/>
          <w:lang w:val="en-US" w:eastAsia="zh-CN" w:bidi="ar-SA"/>
        </w:rPr>
        <w:t>土地使用权人名称：旅投景典公司，统一社会信用代码：91500105784204828M，公司住所位于重庆市江北区建新北路38号1幢8-1。</w:t>
      </w:r>
    </w:p>
    <w:p>
      <w:pPr>
        <w:keepLines w:val="0"/>
        <w:pageBreakBefore w:val="0"/>
        <w:kinsoku/>
        <w:wordWrap/>
        <w:overflowPunct/>
        <w:topLinePunct w:val="0"/>
        <w:autoSpaceDE/>
        <w:autoSpaceDN/>
        <w:bidi w:val="0"/>
        <w:adjustRightInd/>
        <w:snapToGrid/>
        <w:spacing w:line="620" w:lineRule="exact"/>
        <w:ind w:firstLine="632" w:firstLineChars="200"/>
        <w:textAlignment w:val="auto"/>
        <w:rPr>
          <w:rFonts w:hint="default" w:ascii="Times New Roman" w:hAnsi="Times New Roman" w:cs="Times New Roman"/>
          <w:b w:val="0"/>
          <w:bCs w:val="0"/>
          <w:color w:val="000000"/>
          <w:kern w:val="2"/>
          <w:sz w:val="32"/>
          <w:szCs w:val="32"/>
          <w:lang w:val="en-US" w:eastAsia="zh-CN" w:bidi="ar-SA"/>
        </w:rPr>
      </w:pPr>
      <w:r>
        <w:rPr>
          <w:rFonts w:hint="eastAsia" w:ascii="方正楷体_GBK" w:hAnsi="方正楷体_GBK" w:eastAsia="方正楷体_GBK" w:cs="方正楷体_GBK"/>
          <w:b w:val="0"/>
          <w:bCs w:val="0"/>
          <w:color w:val="000000"/>
          <w:kern w:val="2"/>
          <w:sz w:val="32"/>
          <w:szCs w:val="32"/>
          <w:lang w:val="en-US" w:eastAsia="zh-CN" w:bidi="ar-SA"/>
        </w:rPr>
        <w:t>（二）宗地情况。</w:t>
      </w:r>
      <w:r>
        <w:rPr>
          <w:rFonts w:hint="default" w:ascii="Times New Roman" w:hAnsi="Times New Roman" w:cs="Times New Roman"/>
          <w:b w:val="0"/>
          <w:bCs w:val="0"/>
          <w:color w:val="000000"/>
          <w:kern w:val="2"/>
          <w:sz w:val="32"/>
          <w:szCs w:val="32"/>
          <w:lang w:val="en-US" w:eastAsia="zh-CN" w:bidi="ar-SA"/>
        </w:rPr>
        <w:t>本次拟收回土地使用权坐落于重庆市大足区龙岗街道累丰社区1、7组，涉及1351-2号、1351-3号两个《国有建设用地使用权出让合同》（以下简称：《出让合同》），《出让合同》于2020年11月签订。1351-2号地块土地面积26725㎡，《不动产权证》证号：渝（2021）大足区不动产权第000758182号，土地用地性质为二类居住用地，容积率3.0，出让价款6460万元，每平方米2417.21元；1351-3号地块土地面积28996㎡，《不动产权证》证号：渝（2021）大足区不动产权第000757733号，土地用地性质为二类居住用地，容积率3.0，出让价款7400万元，每平方米2552.07元。合计出让土地83.58亩，出让价款13860万元，亩均出让价款约165.83万元。土地权利性质均为出让，土地用途均为城镇住宅用地。</w:t>
      </w:r>
    </w:p>
    <w:p>
      <w:pPr>
        <w:keepLines w:val="0"/>
        <w:pageBreakBefore w:val="0"/>
        <w:kinsoku/>
        <w:wordWrap/>
        <w:overflowPunct/>
        <w:topLinePunct w:val="0"/>
        <w:autoSpaceDE/>
        <w:autoSpaceDN/>
        <w:bidi w:val="0"/>
        <w:adjustRightInd/>
        <w:snapToGrid/>
        <w:spacing w:line="620" w:lineRule="exact"/>
        <w:ind w:firstLine="632" w:firstLineChars="200"/>
        <w:textAlignment w:val="auto"/>
        <w:rPr>
          <w:rFonts w:hint="eastAsia" w:ascii="方正黑体_GBK" w:hAnsi="方正黑体_GBK" w:eastAsia="方正黑体_GBK" w:cs="方正黑体_GBK"/>
          <w:b w:val="0"/>
          <w:bCs w:val="0"/>
          <w:color w:val="000000"/>
          <w:kern w:val="2"/>
          <w:sz w:val="32"/>
          <w:szCs w:val="32"/>
          <w:lang w:val="en-US" w:eastAsia="zh-CN" w:bidi="ar-SA"/>
        </w:rPr>
      </w:pPr>
      <w:r>
        <w:rPr>
          <w:rFonts w:hint="eastAsia" w:ascii="方正黑体_GBK" w:hAnsi="方正黑体_GBK" w:eastAsia="方正黑体_GBK" w:cs="方正黑体_GBK"/>
          <w:b w:val="0"/>
          <w:bCs w:val="0"/>
          <w:color w:val="000000"/>
          <w:kern w:val="2"/>
          <w:sz w:val="32"/>
          <w:szCs w:val="32"/>
          <w:lang w:val="en-US" w:eastAsia="zh-CN" w:bidi="ar-SA"/>
        </w:rPr>
        <w:t>二、抵押、查封、租赁情况及处置建议</w:t>
      </w:r>
    </w:p>
    <w:p>
      <w:pPr>
        <w:keepLines w:val="0"/>
        <w:pageBreakBefore w:val="0"/>
        <w:kinsoku/>
        <w:wordWrap/>
        <w:overflowPunct/>
        <w:topLinePunct w:val="0"/>
        <w:autoSpaceDE/>
        <w:autoSpaceDN/>
        <w:bidi w:val="0"/>
        <w:adjustRightInd/>
        <w:snapToGrid/>
        <w:spacing w:line="620" w:lineRule="exact"/>
        <w:ind w:firstLine="632" w:firstLineChars="200"/>
        <w:textAlignment w:val="auto"/>
        <w:rPr>
          <w:rFonts w:hint="default" w:ascii="Times New Roman" w:hAnsi="Times New Roman" w:cs="Times New Roman"/>
          <w:b w:val="0"/>
          <w:bCs w:val="0"/>
          <w:color w:val="000000"/>
          <w:kern w:val="2"/>
          <w:sz w:val="32"/>
          <w:szCs w:val="32"/>
          <w:lang w:val="en-US" w:eastAsia="zh-CN" w:bidi="ar-SA"/>
        </w:rPr>
      </w:pPr>
      <w:r>
        <w:rPr>
          <w:rFonts w:hint="default" w:ascii="Times New Roman" w:hAnsi="Times New Roman" w:cs="Times New Roman"/>
          <w:b w:val="0"/>
          <w:bCs w:val="0"/>
          <w:color w:val="000000"/>
          <w:kern w:val="2"/>
          <w:sz w:val="32"/>
          <w:szCs w:val="32"/>
          <w:lang w:val="en-US" w:eastAsia="zh-CN" w:bidi="ar-SA"/>
        </w:rPr>
        <w:t>经核实，旅投景典公司与重庆利安凰城置业有限公司（以下简称：利安公司）达成临时借用协议，借用土地面积约2617㎡，用作利安公司开发建设项目（利安星光里）的施工项目部活动板房。建议在该宗土地再次出让前，由旅投景典公司负责拆除宗地内利安公司搭建的活动板房，保证土地再次出让前为净地，由此所产生的一切经济和法律责任由旅投景典公司承担。</w:t>
      </w:r>
    </w:p>
    <w:p>
      <w:pPr>
        <w:keepLines w:val="0"/>
        <w:pageBreakBefore w:val="0"/>
        <w:kinsoku/>
        <w:wordWrap/>
        <w:overflowPunct/>
        <w:topLinePunct w:val="0"/>
        <w:autoSpaceDE/>
        <w:autoSpaceDN/>
        <w:bidi w:val="0"/>
        <w:adjustRightInd/>
        <w:snapToGrid/>
        <w:spacing w:line="620" w:lineRule="exact"/>
        <w:ind w:firstLine="632" w:firstLineChars="200"/>
        <w:textAlignment w:val="auto"/>
        <w:rPr>
          <w:rFonts w:hint="default" w:ascii="Times New Roman" w:hAnsi="Times New Roman" w:cs="Times New Roman"/>
          <w:b w:val="0"/>
          <w:bCs w:val="0"/>
          <w:color w:val="000000"/>
          <w:kern w:val="2"/>
          <w:sz w:val="32"/>
          <w:szCs w:val="32"/>
          <w:lang w:val="en-US" w:eastAsia="zh-CN" w:bidi="ar-SA"/>
        </w:rPr>
      </w:pPr>
      <w:r>
        <w:rPr>
          <w:rFonts w:hint="default" w:ascii="Times New Roman" w:hAnsi="Times New Roman" w:cs="Times New Roman"/>
          <w:b w:val="0"/>
          <w:bCs w:val="0"/>
          <w:color w:val="000000"/>
          <w:kern w:val="2"/>
          <w:sz w:val="32"/>
          <w:szCs w:val="32"/>
          <w:lang w:val="en-US" w:eastAsia="zh-CN" w:bidi="ar-SA"/>
        </w:rPr>
        <w:t>截至目前，经核查两宗土地无抵押、查封情况。</w:t>
      </w:r>
    </w:p>
    <w:p>
      <w:pPr>
        <w:keepLines w:val="0"/>
        <w:pageBreakBefore w:val="0"/>
        <w:kinsoku/>
        <w:wordWrap/>
        <w:overflowPunct/>
        <w:topLinePunct w:val="0"/>
        <w:autoSpaceDE/>
        <w:autoSpaceDN/>
        <w:bidi w:val="0"/>
        <w:adjustRightInd/>
        <w:snapToGrid/>
        <w:spacing w:line="620" w:lineRule="exact"/>
        <w:ind w:firstLine="632" w:firstLineChars="200"/>
        <w:textAlignment w:val="auto"/>
        <w:rPr>
          <w:rFonts w:hint="default" w:ascii="Times New Roman" w:hAnsi="Times New Roman" w:cs="Times New Roman"/>
          <w:b w:val="0"/>
          <w:bCs w:val="0"/>
          <w:color w:val="000000"/>
          <w:kern w:val="2"/>
          <w:sz w:val="32"/>
          <w:szCs w:val="32"/>
          <w:lang w:val="en-US" w:eastAsia="zh-CN" w:bidi="ar-SA"/>
        </w:rPr>
      </w:pPr>
      <w:r>
        <w:rPr>
          <w:rFonts w:hint="eastAsia" w:ascii="方正黑体_GBK" w:hAnsi="方正黑体_GBK" w:eastAsia="方正黑体_GBK" w:cs="方正黑体_GBK"/>
          <w:b w:val="0"/>
          <w:bCs w:val="0"/>
          <w:color w:val="000000"/>
          <w:kern w:val="2"/>
          <w:sz w:val="32"/>
          <w:szCs w:val="32"/>
          <w:lang w:val="en-US" w:eastAsia="zh-CN" w:bidi="ar-SA"/>
        </w:rPr>
        <w:t xml:space="preserve">三、土地污染情况  </w:t>
      </w:r>
      <w:r>
        <w:rPr>
          <w:rFonts w:hint="default" w:ascii="Times New Roman" w:hAnsi="Times New Roman" w:cs="Times New Roman"/>
          <w:b w:val="0"/>
          <w:bCs w:val="0"/>
          <w:color w:val="000000"/>
          <w:kern w:val="2"/>
          <w:sz w:val="32"/>
          <w:szCs w:val="32"/>
          <w:lang w:val="en-US" w:eastAsia="zh-CN" w:bidi="ar-SA"/>
        </w:rPr>
        <w:t xml:space="preserve">   </w:t>
      </w:r>
    </w:p>
    <w:p>
      <w:pPr>
        <w:keepLines w:val="0"/>
        <w:pageBreakBefore w:val="0"/>
        <w:kinsoku/>
        <w:wordWrap/>
        <w:overflowPunct/>
        <w:topLinePunct w:val="0"/>
        <w:autoSpaceDE/>
        <w:autoSpaceDN/>
        <w:bidi w:val="0"/>
        <w:adjustRightInd/>
        <w:snapToGrid/>
        <w:spacing w:line="620" w:lineRule="exact"/>
        <w:ind w:firstLine="632" w:firstLineChars="200"/>
        <w:textAlignment w:val="auto"/>
        <w:rPr>
          <w:rFonts w:hint="default" w:ascii="Times New Roman" w:hAnsi="Times New Roman" w:cs="Times New Roman"/>
          <w:b w:val="0"/>
          <w:bCs w:val="0"/>
          <w:color w:val="000000"/>
          <w:kern w:val="2"/>
          <w:sz w:val="32"/>
          <w:szCs w:val="32"/>
          <w:lang w:val="en-US" w:eastAsia="zh-CN" w:bidi="ar-SA"/>
        </w:rPr>
      </w:pPr>
      <w:r>
        <w:rPr>
          <w:rFonts w:hint="default" w:ascii="Times New Roman" w:hAnsi="Times New Roman" w:cs="Times New Roman"/>
          <w:b w:val="0"/>
          <w:bCs w:val="0"/>
          <w:color w:val="000000"/>
          <w:kern w:val="2"/>
          <w:sz w:val="32"/>
          <w:szCs w:val="32"/>
          <w:lang w:val="en-US" w:eastAsia="zh-CN" w:bidi="ar-SA"/>
        </w:rPr>
        <w:t>经调查，截至目前，该两宗土地无污染情况。</w:t>
      </w:r>
    </w:p>
    <w:p>
      <w:pPr>
        <w:keepLines w:val="0"/>
        <w:pageBreakBefore w:val="0"/>
        <w:kinsoku/>
        <w:wordWrap/>
        <w:overflowPunct/>
        <w:topLinePunct w:val="0"/>
        <w:autoSpaceDE/>
        <w:autoSpaceDN/>
        <w:bidi w:val="0"/>
        <w:adjustRightInd/>
        <w:snapToGrid/>
        <w:spacing w:line="620" w:lineRule="exact"/>
        <w:ind w:firstLine="632" w:firstLineChars="200"/>
        <w:textAlignment w:val="auto"/>
        <w:rPr>
          <w:rFonts w:hint="eastAsia" w:ascii="方正黑体_GBK" w:hAnsi="方正黑体_GBK" w:eastAsia="方正黑体_GBK" w:cs="方正黑体_GBK"/>
          <w:b w:val="0"/>
          <w:bCs w:val="0"/>
          <w:color w:val="000000"/>
          <w:kern w:val="2"/>
          <w:sz w:val="32"/>
          <w:szCs w:val="32"/>
          <w:lang w:val="en-US" w:eastAsia="zh-CN" w:bidi="ar-SA"/>
        </w:rPr>
      </w:pPr>
      <w:r>
        <w:rPr>
          <w:rFonts w:hint="eastAsia" w:ascii="方正黑体_GBK" w:hAnsi="方正黑体_GBK" w:eastAsia="方正黑体_GBK" w:cs="方正黑体_GBK"/>
          <w:b w:val="0"/>
          <w:bCs w:val="0"/>
          <w:color w:val="000000"/>
          <w:kern w:val="2"/>
          <w:sz w:val="32"/>
          <w:szCs w:val="32"/>
          <w:lang w:val="en-US" w:eastAsia="zh-CN" w:bidi="ar-SA"/>
        </w:rPr>
        <w:t>四、拟收回价格情况</w:t>
      </w:r>
    </w:p>
    <w:p>
      <w:pPr>
        <w:keepLines w:val="0"/>
        <w:pageBreakBefore w:val="0"/>
        <w:kinsoku/>
        <w:wordWrap/>
        <w:overflowPunct/>
        <w:topLinePunct w:val="0"/>
        <w:autoSpaceDE/>
        <w:autoSpaceDN/>
        <w:bidi w:val="0"/>
        <w:adjustRightInd/>
        <w:snapToGrid/>
        <w:spacing w:line="620" w:lineRule="exact"/>
        <w:ind w:firstLine="632" w:firstLineChars="200"/>
        <w:textAlignment w:val="auto"/>
        <w:rPr>
          <w:rFonts w:hint="default" w:ascii="Times New Roman" w:hAnsi="Times New Roman" w:cs="Times New Roman"/>
          <w:b w:val="0"/>
          <w:bCs w:val="0"/>
          <w:color w:val="000000"/>
          <w:kern w:val="2"/>
          <w:sz w:val="32"/>
          <w:szCs w:val="32"/>
          <w:lang w:val="en-US" w:eastAsia="zh-CN" w:bidi="ar-SA"/>
        </w:rPr>
      </w:pPr>
      <w:r>
        <w:rPr>
          <w:rFonts w:hint="default" w:ascii="Times New Roman" w:hAnsi="Times New Roman" w:cs="Times New Roman"/>
          <w:b w:val="0"/>
          <w:bCs w:val="0"/>
          <w:color w:val="000000"/>
          <w:kern w:val="2"/>
          <w:sz w:val="32"/>
          <w:szCs w:val="32"/>
          <w:lang w:val="en-US" w:eastAsia="zh-CN" w:bidi="ar-SA"/>
        </w:rPr>
        <w:t>经双方共同委托评估机构（重庆市华联房地产土地资产评估有限公司）对两宗土地使用权价值进行评估，评估价格为10085.5万元。其中不动产权证号000758182土地40.09亩，评估价4837.23万元；不动产权证号000757733土地43.49亩，评估价5248.28万元。合计收回土地83.58亩，收回价款约10085.5万元，亩均收回价款约120.67万元。</w:t>
      </w:r>
    </w:p>
    <w:p>
      <w:pPr>
        <w:keepLines w:val="0"/>
        <w:pageBreakBefore w:val="0"/>
        <w:kinsoku/>
        <w:wordWrap/>
        <w:overflowPunct/>
        <w:topLinePunct w:val="0"/>
        <w:autoSpaceDE/>
        <w:autoSpaceDN/>
        <w:bidi w:val="0"/>
        <w:adjustRightInd/>
        <w:snapToGrid/>
        <w:spacing w:line="620" w:lineRule="exact"/>
        <w:ind w:firstLine="632" w:firstLineChars="200"/>
        <w:textAlignment w:val="auto"/>
        <w:rPr>
          <w:rFonts w:hint="eastAsia" w:ascii="方正黑体_GBK" w:hAnsi="方正黑体_GBK" w:eastAsia="方正黑体_GBK" w:cs="方正黑体_GBK"/>
          <w:b w:val="0"/>
          <w:bCs w:val="0"/>
          <w:color w:val="000000"/>
          <w:kern w:val="2"/>
          <w:sz w:val="32"/>
          <w:szCs w:val="32"/>
          <w:lang w:val="en-US" w:eastAsia="zh-CN" w:bidi="ar-SA"/>
        </w:rPr>
      </w:pPr>
      <w:r>
        <w:rPr>
          <w:rFonts w:hint="eastAsia" w:ascii="方正黑体_GBK" w:hAnsi="方正黑体_GBK" w:eastAsia="方正黑体_GBK" w:cs="方正黑体_GBK"/>
          <w:b w:val="0"/>
          <w:bCs w:val="0"/>
          <w:color w:val="000000"/>
          <w:kern w:val="2"/>
          <w:sz w:val="32"/>
          <w:szCs w:val="32"/>
          <w:lang w:val="en-US" w:eastAsia="zh-CN" w:bidi="ar-SA"/>
        </w:rPr>
        <w:t>五、资金来源及支付方式</w:t>
      </w:r>
    </w:p>
    <w:p>
      <w:pPr>
        <w:keepLines w:val="0"/>
        <w:pageBreakBefore w:val="0"/>
        <w:kinsoku/>
        <w:wordWrap/>
        <w:overflowPunct/>
        <w:topLinePunct w:val="0"/>
        <w:autoSpaceDE/>
        <w:autoSpaceDN/>
        <w:bidi w:val="0"/>
        <w:adjustRightInd/>
        <w:snapToGrid/>
        <w:spacing w:line="620" w:lineRule="exact"/>
        <w:ind w:firstLine="632" w:firstLineChars="200"/>
        <w:textAlignment w:val="auto"/>
        <w:rPr>
          <w:rFonts w:hint="default" w:ascii="Times New Roman" w:hAnsi="Times New Roman" w:cs="Times New Roman"/>
          <w:b w:val="0"/>
          <w:bCs w:val="0"/>
          <w:color w:val="000000"/>
          <w:kern w:val="2"/>
          <w:sz w:val="32"/>
          <w:szCs w:val="32"/>
          <w:lang w:val="en-US" w:eastAsia="zh-CN" w:bidi="ar-SA"/>
        </w:rPr>
      </w:pPr>
      <w:r>
        <w:rPr>
          <w:rFonts w:hint="eastAsia" w:ascii="方正楷体_GBK" w:hAnsi="方正楷体_GBK" w:eastAsia="方正楷体_GBK" w:cs="方正楷体_GBK"/>
          <w:b w:val="0"/>
          <w:bCs w:val="0"/>
          <w:color w:val="000000"/>
          <w:kern w:val="2"/>
          <w:sz w:val="32"/>
          <w:szCs w:val="32"/>
          <w:lang w:val="en-US" w:eastAsia="zh-CN" w:bidi="ar-SA"/>
        </w:rPr>
        <w:t>（一）资金来源：</w:t>
      </w:r>
      <w:r>
        <w:rPr>
          <w:rFonts w:hint="default" w:ascii="Times New Roman" w:hAnsi="Times New Roman" w:cs="Times New Roman"/>
          <w:b w:val="0"/>
          <w:bCs w:val="0"/>
          <w:color w:val="000000"/>
          <w:kern w:val="2"/>
          <w:sz w:val="32"/>
          <w:szCs w:val="32"/>
          <w:lang w:val="en-US" w:eastAsia="zh-CN" w:bidi="ar-SA"/>
        </w:rPr>
        <w:t>两宗土地收回价款及资产评估等中介服务费由区财政局统筹安排。</w:t>
      </w:r>
    </w:p>
    <w:p>
      <w:pPr>
        <w:keepLines w:val="0"/>
        <w:pageBreakBefore w:val="0"/>
        <w:kinsoku/>
        <w:wordWrap/>
        <w:overflowPunct/>
        <w:topLinePunct w:val="0"/>
        <w:autoSpaceDE/>
        <w:autoSpaceDN/>
        <w:bidi w:val="0"/>
        <w:adjustRightInd/>
        <w:snapToGrid/>
        <w:spacing w:line="620" w:lineRule="exact"/>
        <w:ind w:firstLine="632" w:firstLineChars="200"/>
        <w:textAlignment w:val="auto"/>
        <w:rPr>
          <w:rFonts w:hint="default" w:ascii="Times New Roman" w:hAnsi="Times New Roman" w:cs="Times New Roman"/>
          <w:b w:val="0"/>
          <w:bCs w:val="0"/>
          <w:color w:val="000000"/>
          <w:kern w:val="2"/>
          <w:sz w:val="32"/>
          <w:szCs w:val="32"/>
          <w:lang w:val="en-US" w:eastAsia="zh-CN" w:bidi="ar-SA"/>
        </w:rPr>
      </w:pPr>
      <w:r>
        <w:rPr>
          <w:rFonts w:hint="eastAsia" w:ascii="方正楷体_GBK" w:hAnsi="方正楷体_GBK" w:eastAsia="方正楷体_GBK" w:cs="方正楷体_GBK"/>
          <w:b w:val="0"/>
          <w:bCs w:val="0"/>
          <w:color w:val="000000"/>
          <w:kern w:val="2"/>
          <w:sz w:val="32"/>
          <w:szCs w:val="32"/>
          <w:lang w:val="en-US" w:eastAsia="zh-CN" w:bidi="ar-SA"/>
        </w:rPr>
        <w:t>（二）资金拨付：</w:t>
      </w:r>
      <w:r>
        <w:rPr>
          <w:rFonts w:hint="default" w:ascii="Times New Roman" w:hAnsi="Times New Roman" w:cs="Times New Roman"/>
          <w:b w:val="0"/>
          <w:bCs w:val="0"/>
          <w:color w:val="000000"/>
          <w:kern w:val="2"/>
          <w:sz w:val="32"/>
          <w:szCs w:val="32"/>
          <w:lang w:val="en-US" w:eastAsia="zh-CN" w:bidi="ar-SA"/>
        </w:rPr>
        <w:t>按照土地收回协议的约定分期支付，分期支付的土地收回补偿价款不计利息。</w:t>
      </w:r>
    </w:p>
    <w:p>
      <w:pPr>
        <w:keepLines w:val="0"/>
        <w:pageBreakBefore w:val="0"/>
        <w:kinsoku/>
        <w:wordWrap/>
        <w:overflowPunct/>
        <w:topLinePunct w:val="0"/>
        <w:autoSpaceDE/>
        <w:autoSpaceDN/>
        <w:bidi w:val="0"/>
        <w:adjustRightInd/>
        <w:snapToGrid/>
        <w:spacing w:line="620" w:lineRule="exact"/>
        <w:ind w:firstLine="632" w:firstLineChars="200"/>
        <w:textAlignment w:val="auto"/>
        <w:rPr>
          <w:rFonts w:hint="default" w:ascii="Times New Roman" w:hAnsi="Times New Roman" w:cs="Times New Roman"/>
          <w:b w:val="0"/>
          <w:bCs w:val="0"/>
          <w:color w:val="000000"/>
          <w:kern w:val="2"/>
          <w:sz w:val="32"/>
          <w:szCs w:val="32"/>
          <w:lang w:val="en-US" w:eastAsia="zh-CN" w:bidi="ar-SA"/>
        </w:rPr>
      </w:pPr>
      <w:r>
        <w:rPr>
          <w:rFonts w:hint="default" w:ascii="Times New Roman" w:hAnsi="Times New Roman" w:cs="Times New Roman"/>
          <w:b w:val="0"/>
          <w:bCs w:val="0"/>
          <w:color w:val="000000"/>
          <w:kern w:val="2"/>
          <w:sz w:val="32"/>
          <w:szCs w:val="32"/>
          <w:lang w:val="en-US" w:eastAsia="zh-CN" w:bidi="ar-SA"/>
        </w:rPr>
        <w:t>在签订收回《国有土地使用权》协议书后7个工作日内支付土地收回补偿款3000万元到旅投景典公司指定账户，区规划和自然资源局需在6个月内实施两宗土地的招拍挂出让，剩余土地收回补偿款7085.5万元在两宗土地招拍挂成交收款后7个工作日内划入由区政府和重庆旅游投资集团有限公司双方共管账户。旅投景典公司将收回补偿款的7085.5万元用于大足项目投资，其中不低于3000万元投入大足区酒店项目。</w:t>
      </w:r>
    </w:p>
    <w:p>
      <w:pPr>
        <w:keepLines w:val="0"/>
        <w:pageBreakBefore w:val="0"/>
        <w:kinsoku/>
        <w:wordWrap/>
        <w:overflowPunct/>
        <w:topLinePunct w:val="0"/>
        <w:autoSpaceDE/>
        <w:autoSpaceDN/>
        <w:bidi w:val="0"/>
        <w:adjustRightInd/>
        <w:snapToGrid/>
        <w:spacing w:line="620" w:lineRule="exact"/>
        <w:ind w:firstLine="632" w:firstLineChars="200"/>
        <w:textAlignment w:val="auto"/>
        <w:rPr>
          <w:rFonts w:hint="eastAsia" w:ascii="方正黑体_GBK" w:hAnsi="方正黑体_GBK" w:eastAsia="方正黑体_GBK" w:cs="方正黑体_GBK"/>
          <w:b w:val="0"/>
          <w:bCs w:val="0"/>
          <w:color w:val="000000"/>
          <w:kern w:val="2"/>
          <w:sz w:val="32"/>
          <w:szCs w:val="32"/>
          <w:lang w:val="en-US" w:eastAsia="zh-CN" w:bidi="ar-SA"/>
        </w:rPr>
      </w:pPr>
      <w:r>
        <w:rPr>
          <w:rFonts w:hint="eastAsia" w:ascii="方正黑体_GBK" w:hAnsi="方正黑体_GBK" w:eastAsia="方正黑体_GBK" w:cs="方正黑体_GBK"/>
          <w:b w:val="0"/>
          <w:bCs w:val="0"/>
          <w:color w:val="000000"/>
          <w:kern w:val="2"/>
          <w:sz w:val="32"/>
          <w:szCs w:val="32"/>
          <w:lang w:val="en-US" w:eastAsia="zh-CN" w:bidi="ar-SA"/>
        </w:rPr>
        <w:t>六、土地收回后的管护</w:t>
      </w:r>
    </w:p>
    <w:p>
      <w:pPr>
        <w:keepLines w:val="0"/>
        <w:pageBreakBefore w:val="0"/>
        <w:kinsoku/>
        <w:wordWrap/>
        <w:overflowPunct/>
        <w:topLinePunct w:val="0"/>
        <w:autoSpaceDE/>
        <w:autoSpaceDN/>
        <w:bidi w:val="0"/>
        <w:adjustRightInd/>
        <w:snapToGrid/>
        <w:spacing w:line="620" w:lineRule="exact"/>
        <w:ind w:firstLine="632" w:firstLineChars="200"/>
        <w:textAlignment w:val="auto"/>
        <w:rPr>
          <w:rFonts w:hint="default" w:ascii="Times New Roman" w:hAnsi="Times New Roman" w:cs="Times New Roman"/>
          <w:b w:val="0"/>
          <w:bCs w:val="0"/>
          <w:color w:val="000000"/>
          <w:kern w:val="2"/>
          <w:sz w:val="32"/>
          <w:szCs w:val="32"/>
          <w:lang w:val="en-US" w:eastAsia="zh-CN" w:bidi="ar-SA"/>
        </w:rPr>
      </w:pPr>
      <w:r>
        <w:rPr>
          <w:rFonts w:hint="default" w:ascii="Times New Roman" w:hAnsi="Times New Roman" w:cs="Times New Roman"/>
          <w:b w:val="0"/>
          <w:bCs w:val="0"/>
          <w:color w:val="000000"/>
          <w:kern w:val="2"/>
          <w:sz w:val="32"/>
          <w:szCs w:val="32"/>
          <w:lang w:val="en-US" w:eastAsia="zh-CN" w:bidi="ar-SA"/>
        </w:rPr>
        <w:t>按照《重庆市大足区人民政府办公室关于进一步加强土地储备整治管理的通知》（大足府办发〔2023〕82号）执行。</w:t>
      </w:r>
    </w:p>
    <w:p>
      <w:pPr>
        <w:keepLines w:val="0"/>
        <w:pageBreakBefore w:val="0"/>
        <w:kinsoku/>
        <w:wordWrap/>
        <w:overflowPunct/>
        <w:topLinePunct w:val="0"/>
        <w:autoSpaceDE/>
        <w:autoSpaceDN/>
        <w:bidi w:val="0"/>
        <w:adjustRightInd/>
        <w:snapToGrid/>
        <w:spacing w:line="620" w:lineRule="exact"/>
        <w:ind w:firstLine="632" w:firstLineChars="200"/>
        <w:textAlignment w:val="auto"/>
        <w:rPr>
          <w:rFonts w:hint="default" w:ascii="Times New Roman" w:hAnsi="Times New Roman" w:eastAsia="方正仿宋_GBK" w:cs="Times New Roman"/>
          <w:lang w:eastAsia="zh-CN"/>
        </w:rPr>
      </w:pPr>
      <w:r>
        <w:rPr>
          <w:rFonts w:hint="eastAsia" w:ascii="方正黑体_GBK" w:hAnsi="方正黑体_GBK" w:eastAsia="方正黑体_GBK" w:cs="方正黑体_GBK"/>
          <w:b w:val="0"/>
          <w:bCs w:val="0"/>
          <w:color w:val="000000"/>
          <w:kern w:val="2"/>
          <w:sz w:val="32"/>
          <w:szCs w:val="32"/>
          <w:lang w:val="en-US" w:eastAsia="zh-CN" w:bidi="ar-SA"/>
        </w:rPr>
        <w:t>七、收回国有土地使用权示意图</w:t>
      </w:r>
    </w:p>
    <w:p>
      <w:pPr>
        <w:pStyle w:val="2"/>
        <w:keepLines w:val="0"/>
        <w:pageBreakBefore w:val="0"/>
        <w:kinsoku/>
        <w:wordWrap/>
        <w:overflowPunct/>
        <w:topLinePunct w:val="0"/>
        <w:autoSpaceDE/>
        <w:autoSpaceDN/>
        <w:bidi w:val="0"/>
        <w:adjustRightInd/>
        <w:snapToGrid/>
        <w:spacing w:after="0" w:afterLines="0" w:line="620" w:lineRule="exact"/>
        <w:textAlignment w:val="auto"/>
        <w:rPr>
          <w:rFonts w:hint="default" w:ascii="Times New Roman" w:hAnsi="Times New Roman" w:cs="Times New Roman"/>
          <w:lang w:val="en-US" w:eastAsia="zh-CN"/>
        </w:rPr>
      </w:pPr>
      <w:r>
        <w:rPr>
          <w:rFonts w:hint="default" w:ascii="Times New Roman" w:hAnsi="Times New Roman" w:eastAsia="方正仿宋_GBK" w:cs="Times New Roman"/>
          <w:lang w:eastAsia="zh-CN"/>
        </w:rPr>
        <w:drawing>
          <wp:anchor distT="0" distB="0" distL="114300" distR="114300" simplePos="0" relativeHeight="251660288" behindDoc="1" locked="0" layoutInCell="1" allowOverlap="1">
            <wp:simplePos x="0" y="0"/>
            <wp:positionH relativeFrom="column">
              <wp:posOffset>459740</wp:posOffset>
            </wp:positionH>
            <wp:positionV relativeFrom="paragraph">
              <wp:posOffset>108585</wp:posOffset>
            </wp:positionV>
            <wp:extent cx="3825875" cy="4441825"/>
            <wp:effectExtent l="0" t="0" r="60325" b="53975"/>
            <wp:wrapTight wrapText="bothSides">
              <wp:wrapPolygon>
                <wp:start x="0" y="0"/>
                <wp:lineTo x="0" y="21492"/>
                <wp:lineTo x="21510" y="21492"/>
                <wp:lineTo x="21510" y="0"/>
                <wp:lineTo x="0" y="0"/>
              </wp:wrapPolygon>
            </wp:wrapTight>
            <wp:docPr id="1" name="图片 1" descr="宗地示意图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宗地示意图小"/>
                    <pic:cNvPicPr>
                      <a:picLocks noChangeAspect="1"/>
                    </pic:cNvPicPr>
                  </pic:nvPicPr>
                  <pic:blipFill>
                    <a:blip r:embed="rId5"/>
                    <a:stretch>
                      <a:fillRect/>
                    </a:stretch>
                  </pic:blipFill>
                  <pic:spPr>
                    <a:xfrm>
                      <a:off x="0" y="0"/>
                      <a:ext cx="3825875" cy="4441825"/>
                    </a:xfrm>
                    <a:prstGeom prst="rect">
                      <a:avLst/>
                    </a:prstGeom>
                  </pic:spPr>
                </pic:pic>
              </a:graphicData>
            </a:graphic>
          </wp:anchor>
        </w:drawing>
      </w:r>
    </w:p>
    <w:p>
      <w:pPr>
        <w:keepLines w:val="0"/>
        <w:pageBreakBefore w:val="0"/>
        <w:kinsoku/>
        <w:wordWrap/>
        <w:overflowPunct/>
        <w:topLinePunct w:val="0"/>
        <w:autoSpaceDE/>
        <w:autoSpaceDN/>
        <w:bidi w:val="0"/>
        <w:adjustRightInd/>
        <w:snapToGrid/>
        <w:spacing w:line="620" w:lineRule="exact"/>
        <w:textAlignment w:val="auto"/>
        <w:rPr>
          <w:rFonts w:hint="default" w:ascii="Times New Roman" w:hAnsi="Times New Roman" w:cs="Times New Roman"/>
        </w:rPr>
      </w:pPr>
    </w:p>
    <w:sectPr>
      <w:footerReference r:id="rId3" w:type="default"/>
      <w:pgSz w:w="11906" w:h="16838"/>
      <w:pgMar w:top="2098" w:right="1474" w:bottom="1984" w:left="1587" w:header="851" w:footer="1361" w:gutter="0"/>
      <w:pgNumType w:fmt="decimal"/>
      <w:cols w:space="0" w:num="1"/>
      <w:rtlGutter w:val="0"/>
      <w:docGrid w:type="linesAndChars" w:linePitch="579" w:charSpace="-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方正仿宋_GBK">
    <w:altName w:val="汉仪仿宋KW"/>
    <w:panose1 w:val="03000509000000000000"/>
    <w:charset w:val="86"/>
    <w:family w:val="script"/>
    <w:pitch w:val="default"/>
    <w:sig w:usb0="00000000" w:usb1="00000000" w:usb2="00000000" w:usb3="00000000" w:csb0="00040000" w:csb1="00000000"/>
  </w:font>
  <w:font w:name="方正黑体_GBK">
    <w:altName w:val="汉仪中黑KW"/>
    <w:panose1 w:val="03000509000000000000"/>
    <w:charset w:val="86"/>
    <w:family w:val="script"/>
    <w:pitch w:val="default"/>
    <w:sig w:usb0="00000000" w:usb1="00000000" w:usb2="00000000" w:usb3="00000000" w:csb0="00040000" w:csb1="00000000"/>
  </w:font>
  <w:font w:name="方正小标宋_GBK">
    <w:altName w:val="汉仪书宋二KW"/>
    <w:panose1 w:val="03000509000000000000"/>
    <w:charset w:val="86"/>
    <w:family w:val="auto"/>
    <w:pitch w:val="default"/>
    <w:sig w:usb0="00000000" w:usb1="00000000" w:usb2="00000000" w:usb3="00000000" w:csb0="00040000" w:csb1="00000000"/>
  </w:font>
  <w:font w:name="方正楷体_GBK">
    <w:altName w:val="汉仪楷体KW"/>
    <w:panose1 w:val="03000509000000000000"/>
    <w:charset w:val="86"/>
    <w:family w:val="script"/>
    <w:pitch w:val="default"/>
    <w:sig w:usb0="00000000" w:usb1="00000000" w:usb2="00000000" w:usb3="00000000" w:csb0="00040000" w:csb1="00000000"/>
  </w:font>
  <w:font w:name="汉仪仿宋KW">
    <w:panose1 w:val="00020600040101010101"/>
    <w:charset w:val="86"/>
    <w:family w:val="auto"/>
    <w:pitch w:val="default"/>
    <w:sig w:usb0="A00002BF" w:usb1="18EF7CFA" w:usb2="00000016" w:usb3="00000000" w:csb0="00040000" w:csb1="00000000"/>
  </w:font>
  <w:font w:name="汉仪楷体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58"/>
  <w:drawingGridVerticalSpacing w:val="290"/>
  <w:displayHorizontalDrawingGridEvery w:val="2"/>
  <w:displayVerticalDrawingGridEvery w:val="2"/>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lhYzc0ZWJhMzZmMzU0MGE1ZTRhZGRkZGFmMzBjNjYifQ=="/>
  </w:docVars>
  <w:rsids>
    <w:rsidRoot w:val="01E230E9"/>
    <w:rsid w:val="00E31D5F"/>
    <w:rsid w:val="00FB0949"/>
    <w:rsid w:val="01E230E9"/>
    <w:rsid w:val="0ACF74A4"/>
    <w:rsid w:val="0E363440"/>
    <w:rsid w:val="19A838A8"/>
    <w:rsid w:val="2660084C"/>
    <w:rsid w:val="26FC9B3D"/>
    <w:rsid w:val="274C7211"/>
    <w:rsid w:val="2A4346E5"/>
    <w:rsid w:val="2EFF9C40"/>
    <w:rsid w:val="30E07FF0"/>
    <w:rsid w:val="35B7E1CA"/>
    <w:rsid w:val="373F5421"/>
    <w:rsid w:val="37A71D81"/>
    <w:rsid w:val="39FFFC49"/>
    <w:rsid w:val="3E485E53"/>
    <w:rsid w:val="3FF14BB2"/>
    <w:rsid w:val="3FFECF0B"/>
    <w:rsid w:val="40AA67DA"/>
    <w:rsid w:val="4EA8175E"/>
    <w:rsid w:val="4F9BBE32"/>
    <w:rsid w:val="5AA961AB"/>
    <w:rsid w:val="5BA77AF1"/>
    <w:rsid w:val="5BFF7BBD"/>
    <w:rsid w:val="5D7FC4DC"/>
    <w:rsid w:val="5EFAD3FE"/>
    <w:rsid w:val="67C55173"/>
    <w:rsid w:val="67F36E78"/>
    <w:rsid w:val="67F6439F"/>
    <w:rsid w:val="6804655B"/>
    <w:rsid w:val="687E2402"/>
    <w:rsid w:val="6C978C55"/>
    <w:rsid w:val="6D5F03E7"/>
    <w:rsid w:val="6DDF429D"/>
    <w:rsid w:val="6E7F5B1B"/>
    <w:rsid w:val="6FD2BB94"/>
    <w:rsid w:val="73594E8B"/>
    <w:rsid w:val="75F32347"/>
    <w:rsid w:val="7677FC6E"/>
    <w:rsid w:val="777778B7"/>
    <w:rsid w:val="77DEC4A7"/>
    <w:rsid w:val="79FF224B"/>
    <w:rsid w:val="7AFF88C8"/>
    <w:rsid w:val="7D397213"/>
    <w:rsid w:val="7D7B39E3"/>
    <w:rsid w:val="7EEF5870"/>
    <w:rsid w:val="7F7DF7E7"/>
    <w:rsid w:val="7FABDEF4"/>
    <w:rsid w:val="7FB7F9D6"/>
    <w:rsid w:val="9BAB6BA9"/>
    <w:rsid w:val="A9A79B98"/>
    <w:rsid w:val="B7FCC25C"/>
    <w:rsid w:val="BBDB99B3"/>
    <w:rsid w:val="BDFB6F03"/>
    <w:rsid w:val="BEFFFA07"/>
    <w:rsid w:val="CD2F003D"/>
    <w:rsid w:val="CFFC0B22"/>
    <w:rsid w:val="D5FD009B"/>
    <w:rsid w:val="D9BF7E0B"/>
    <w:rsid w:val="DF659357"/>
    <w:rsid w:val="DFFF3FBA"/>
    <w:rsid w:val="DFFFCE1A"/>
    <w:rsid w:val="ECFFCE8D"/>
    <w:rsid w:val="EE3F78C6"/>
    <w:rsid w:val="EFF5C61B"/>
    <w:rsid w:val="F2F2EF9F"/>
    <w:rsid w:val="F5E1A7B2"/>
    <w:rsid w:val="F7DF22AC"/>
    <w:rsid w:val="F7FBB8D8"/>
    <w:rsid w:val="F7FF6976"/>
    <w:rsid w:val="FB5FE0B6"/>
    <w:rsid w:val="FE77DE1C"/>
    <w:rsid w:val="FE7E648C"/>
    <w:rsid w:val="FEBF5D5C"/>
    <w:rsid w:val="FF07D885"/>
    <w:rsid w:val="FFEB37D1"/>
    <w:rsid w:val="FFF340D7"/>
    <w:rsid w:val="FFFF6ED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方正仿宋_GBK" w:cs="Times New Roman"/>
      <w:kern w:val="2"/>
      <w:sz w:val="32"/>
      <w:szCs w:val="24"/>
      <w:lang w:val="en-US" w:eastAsia="zh-CN" w:bidi="ar-SA"/>
    </w:rPr>
  </w:style>
  <w:style w:type="paragraph" w:styleId="2">
    <w:name w:val="heading 1"/>
    <w:basedOn w:val="1"/>
    <w:next w:val="1"/>
    <w:qFormat/>
    <w:uiPriority w:val="0"/>
    <w:pPr>
      <w:keepNext/>
      <w:widowControl/>
      <w:spacing w:after="240" w:afterLines="0" w:line="240" w:lineRule="atLeast"/>
      <w:jc w:val="left"/>
      <w:outlineLvl w:val="0"/>
    </w:pPr>
    <w:rPr>
      <w:rFonts w:ascii="Arial" w:hAnsi="Arial" w:eastAsia="宋体"/>
      <w:b/>
      <w:spacing w:val="-5"/>
      <w:kern w:val="0"/>
      <w:sz w:val="40"/>
      <w:szCs w:val="20"/>
      <w:lang w:eastAsia="en-US"/>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7">
    <w:name w:val="索引 51"/>
    <w:basedOn w:val="1"/>
    <w:next w:val="1"/>
    <w:qFormat/>
    <w:uiPriority w:val="0"/>
    <w:pPr>
      <w:ind w:left="168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Pages>
  <Words>1453</Words>
  <Characters>1656</Characters>
  <Lines>0</Lines>
  <Paragraphs>0</Paragraphs>
  <TotalTime>0</TotalTime>
  <ScaleCrop>false</ScaleCrop>
  <LinksUpToDate>false</LinksUpToDate>
  <CharactersWithSpaces>1661</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2024-06-17T23:49:00Z</dcterms:created>
  <dc:creator>弢</dc:creator>
  <cp:lastModifiedBy>admin</cp:lastModifiedBy>
  <cp:lastPrinted>2024-06-27T04:37:00Z</cp:lastPrinted>
  <dcterms:modified xsi:type="dcterms:W3CDTF">2024-07-11T09:43:51Z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402513CA376049FABB5D06433E0C5150_11</vt:lpwstr>
  </property>
</Properties>
</file>