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600" w:lineRule="exact"/>
        <w:ind w:left="0" w:right="0" w:firstLine="878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重庆市大足区人民政府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878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19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</w:rPr>
        <w:t>根据《中华人民共和国政府信息公开条例》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-6"/>
          <w:sz w:val="32"/>
          <w:szCs w:val="32"/>
        </w:rPr>
        <w:t>（以下简称《条例》）规定和重庆市人民政府有关要求，特向社会公布重庆市大足区人民政府2021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32"/>
          <w:szCs w:val="32"/>
        </w:rPr>
        <w:t>年政府信息公开工作年度报告。本报告由总体情况、主动公开政府信息情况、收到和处理政府信息公开申请情况、政府信息公开行政复议、行政诉讼情况、当前存在的主要问题及下步改进措施、其他需要报告的事项等六个部分组成。本年度报告中所列数据的统计期限自2021年1月1日起至2021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74" w:afterAutospacing="0" w:line="600" w:lineRule="exact"/>
        <w:ind w:left="0" w:firstLine="63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2021年，我区认真落实政府信息公开有关规定，优化公开平台，丰富公开内容和形式，扎实提升政府信息公开的质量和实效，全面提升政府执行力和公信力。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74" w:afterAutospacing="0" w:line="600" w:lineRule="exact"/>
        <w:ind w:left="0" w:firstLine="63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一）主动公开情况。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严格执行《政府信息公开条例》要求，对条例第20条规定的信息进行全面公开，并及时更新政府信息公开栏目，做到内容完整准确、表述严谨规范，确保信息发布及时准确。全年共发布信息83180条，其中门户网站政务动态类信息8123条、政策文件类信息8697条；部门信息公开39694条、镇街信息公开26666条；政务新媒体发布信息51200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74" w:afterAutospacing="0" w:line="600" w:lineRule="exact"/>
        <w:ind w:left="0" w:firstLine="63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在政务门户网站发布《重庆市大足区信息公开指南》，明确公开程序、公开时间、公开方式和具体工作人员，第一时间受理依申请信息公开，及时办理依申请信息公开的回复，确保程序规范、内容准确。严格落实《政府信息公开条例》要求，做到“应公开尽公开”，全年收到政府信息公开申请197件，处理政府信息公开申请185件，结转下年度继续办理政府信息公开申请12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</w:rPr>
        <w:t>（三）政府信息管理情况。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</w:rPr>
        <w:t>建立完善工作机制，明确专人负责信息公开，推动公开工作落实。规范公开信息动态报送，严格执行公开审查程序，确保信息公开的准确性。加大网站栏目信息公开力度，方便群众了解相关信息。全年，共安排资金84.1万元，用于政府网站和政务新媒体建设及运维管理，组织全区71个单位200余人参加2021年全区政务公开工作培训班。目前，已安排专人具体从事政府网站和政务新媒体工作，主要在栏目设置是否合理、内容更新是否及时、互动回应是否迅速、文字审核是否把关严格等方面加强督促管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74" w:afterAutospacing="0" w:line="600" w:lineRule="exact"/>
        <w:ind w:left="0" w:firstLine="63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政府门户网站和政务新媒体是政务公开的重要阵地，今年我区对区政府门户网站进行全新升级改版，新增适老化的无障碍工具、智能问答、政声传递、智能搜索、政策库等功能，并动态优化调整。新增设“走进大足”“营商环境”“大足数据”等专题专栏，通过文字、图片、音视频等，全面展示大足石刻、五金、重汽、人文等文化，进一步提升大足知名度和美誉度。先后印发《大足区政府网站专栏和政务新媒体运行管理考核方案（修订）的通知》、《关于印发大足区2021年政务公开第三方评估方案的通知》等系列线上政务公开工作文件20余件，加强对线上政务公开工作的指导与监督。切实做好“六稳”“六保”、疫情防控等重大政策的公开工作。重新调整了义务教育、医疗救助、养老保险等25个试点领域基层政务公开栏目，截至2021年12月底，共发布信息992条，夯实了基层政务公开的力度。通过政府网站和政务新媒体公开公文107件，发布文字解读材料45件、图文解读22件、音视频解读4件、新闻发布会4期，公文公开程序更加规范，各项制度更加健全完善。今年，通过政府门户网站办理区长信箱邮件1119件，办结率均达100%，编发《区长信箱工作周报》36期、《区长公开电话（信箱）工作月报》12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74" w:afterAutospacing="0" w:line="600" w:lineRule="exact"/>
        <w:ind w:left="0" w:firstLine="63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（五）政府信息公开监督保障情况。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把政府信息公开纳入全年重点工作，纳入日常工作安排部署，促进信息公开工作常态化、规范化。聘请第三方机构对全区网站和政务新媒体进行24小时不间断扫描监测，全年共检查政府网站专栏和政务新媒体251次，日扫描249次、周排查53次、季度普查4次、年度考核1次，检查覆盖率达100%。共督促整改问题200余处，主要涉及信息更新不及时、错误链接、错别字等，问题处理完成率达100%。全年无政府网站和新媒体被国办和市办通报情况发生，第三、四季度得分100分以上，全年4次获市政府办公厅点名表扬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5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101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20"/>
        <w:gridCol w:w="2437"/>
        <w:gridCol w:w="2437"/>
        <w:gridCol w:w="28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9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9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239463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9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213025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4365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9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6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1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24882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5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84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3"/>
        <w:gridCol w:w="808"/>
        <w:gridCol w:w="3288"/>
        <w:gridCol w:w="550"/>
        <w:gridCol w:w="550"/>
        <w:gridCol w:w="550"/>
        <w:gridCol w:w="550"/>
        <w:gridCol w:w="550"/>
        <w:gridCol w:w="1065"/>
        <w:gridCol w:w="13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66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197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危及“三安全一稳定”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000000" w:sz="22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31"/>
                <w:szCs w:val="3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000000" w:sz="22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000000" w:sz="22" w:space="0"/>
              <w:left w:val="single" w:color="000000" w:sz="6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8" w:space="0"/>
              <w:bottom w:val="outset" w:color="000000" w:sz="22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185  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5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5" w:lineRule="atLeast"/>
        <w:ind w:left="0" w:right="0" w:firstLine="63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103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77"/>
        <w:gridCol w:w="482"/>
        <w:gridCol w:w="482"/>
        <w:gridCol w:w="482"/>
        <w:gridCol w:w="1430"/>
        <w:gridCol w:w="482"/>
        <w:gridCol w:w="482"/>
        <w:gridCol w:w="482"/>
        <w:gridCol w:w="482"/>
        <w:gridCol w:w="1447"/>
        <w:gridCol w:w="482"/>
        <w:gridCol w:w="482"/>
        <w:gridCol w:w="482"/>
        <w:gridCol w:w="482"/>
        <w:gridCol w:w="16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0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4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31"/>
                <w:szCs w:val="31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五、当前存在的主要问题及下步改进措施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187" w:afterAutospacing="0" w:line="600" w:lineRule="exact"/>
        <w:ind w:left="0" w:firstLine="648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主要存在以下几方面的问题：一是个别区级部门对线上政务公开意识还不够强，仍需督促提醒才能按要求完成。二是政府信息的发布还存在滞后现象。三是信息公开的形式比较单一，广度和深度还不够，人民群众关心的公共事务决策依据类公开信息不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187" w:afterAutospacing="0" w:line="600" w:lineRule="exact"/>
        <w:ind w:left="0" w:firstLine="648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下一步，我区将不断规范政务公开行为，提高政务公开工作水平，一是进一步明确公开的内容、形式和程序，保证政务公开内容真实、及时、合法。二是丰富信息公开内容，拓宽信息公开渠道，不断提高公开透明度，提升公信力。三是继续落实信息公开制度，提高主动公开政务信息的广度和深度，加强管理和监督，不断规范流程，切实维护群众利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63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6"/>
          <w:sz w:val="32"/>
          <w:szCs w:val="32"/>
        </w:rPr>
        <w:t>本单位严格落实《政府信息公开条例》和国务院办公厅、市政府办公厅《2021年政务公开工作要点》要求，圆满完成2021年政务公开各项工作。2021年本机关未收取信息处理费。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2022-03-17T01:41:50Z</dcterms:created>
  <dc:creator>Administrator</dc:creator>
  <cp:lastModifiedBy>李强</cp:lastModifiedBy>
  <dcterms:modified xsi:type="dcterms:W3CDTF">2022-03-17T01:42:40Z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95E7D82155914DDB96333DA6BA928224</vt:lpwstr>
  </property>
</Properties>
</file>