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rPr>
          <w:rFonts w:ascii="方正黑体_GBK" w:hAnsi="黑体" w:eastAsia="方正黑体_GBK"/>
          <w:bCs/>
        </w:rPr>
      </w:pPr>
    </w:p>
    <w:p>
      <w:pPr>
        <w:rPr>
          <w:rFonts w:ascii="方正黑体_GBK" w:hAnsi="黑体" w:eastAsia="方正黑体_GBK"/>
          <w:bCs/>
        </w:rPr>
      </w:pPr>
    </w:p>
    <w:p>
      <w:pPr>
        <w:rPr>
          <w:rFonts w:ascii="方正黑体_GBK" w:hAnsi="黑体" w:eastAsia="方正黑体_GBK"/>
          <w:bCs/>
        </w:rPr>
      </w:pPr>
    </w:p>
    <w:p>
      <w:pPr>
        <w:rPr>
          <w:rFonts w:eastAsia="方正仿宋_GBK"/>
          <w:bCs/>
        </w:rPr>
      </w:pPr>
      <w:r>
        <w:pict>
          <v:group id="_x0000_s1026" o:spid="_x0000_s1026" o:spt="203" style="position:absolute;left:0pt;margin-left:-33.7pt;margin-top:7pt;height:168.45pt;width:509.6pt;z-index:251659264;mso-width-relative:page;mso-height-relative:page;" coordorigin="6322,4258" coordsize="10192,3369">
            <o:lock v:ext="edit" aspectratio="f"/>
            <v:shape id="_x0000_s1027" o:spid="_x0000_s1027" o:spt="136" type="#_x0000_t136" style="position:absolute;left:7299;top:4258;height:1077;width:8240;" fillcolor="#FF0000" filled="t" stroked="t" coordsize="21600,21600" adj="10800">
              <v:path/>
              <v:fill on="t" color2="#FFFFFF" focussize="0,0"/>
              <v:stroke weight="1pt" color="#FF0000"/>
              <v:imagedata o:title=""/>
              <o:lock v:ext="edit" aspectratio="f"/>
              <v:textpath on="t" fitshape="t" fitpath="t" trim="t" xscale="f" string="重庆市优化营商环境工作领导小组办公室" style="font-family:方正小标宋_GBK;font-size:36pt;font-weight:bold;v-text-align:center;"/>
            </v:shape>
            <v:shape id="_x0000_s1028" o:spid="_x0000_s1028" o:spt="136" type="#_x0000_t136" style="position:absolute;left:6322;top:7599;height:28;width:10193;" fillcolor="#FF0000" filled="t" stroked="t" coordsize="21600,21600" adj="10800">
              <v:path/>
              <v:fill on="t" color2="#FFFFFF" opacity="64881f" focussize="0,0"/>
              <v:stroke color="#FF0000"/>
              <v:imagedata o:title=""/>
              <o:lock v:ext="edit" aspectratio="f"/>
              <v:textpath on="t" fitshape="t" fitpath="t" trim="t" xscale="f" string="-" style="font-family:宋体;font-size:36pt;v-text-align:center;"/>
            </v:shape>
          </v:group>
        </w:pict>
      </w:r>
    </w:p>
    <w:p>
      <w:pPr>
        <w:rPr>
          <w:bCs/>
        </w:rPr>
      </w:pPr>
    </w:p>
    <w:p>
      <w:pPr>
        <w:rPr>
          <w:bCs/>
        </w:rPr>
      </w:pPr>
    </w:p>
    <w:p>
      <w:pPr>
        <w:rPr>
          <w:bCs/>
        </w:rPr>
      </w:pPr>
    </w:p>
    <w:p>
      <w:pPr>
        <w:rPr>
          <w:bCs/>
        </w:rPr>
      </w:pPr>
    </w:p>
    <w:p>
      <w:pPr>
        <w:jc w:val="center"/>
        <w:rPr>
          <w:rFonts w:hint="eastAsia" w:ascii="方正仿宋_GBK" w:hAnsi="方正仿宋_GBK" w:eastAsia="方正仿宋_GBK" w:cs="方正仿宋_GBK"/>
          <w:bCs/>
        </w:rPr>
      </w:pPr>
      <w:r>
        <w:rPr>
          <w:rFonts w:hint="eastAsia" w:ascii="方正仿宋_GBK" w:hAnsi="方正仿宋_GBK" w:eastAsia="方正仿宋_GBK" w:cs="方正仿宋_GBK"/>
          <w:vanish w:val="0"/>
          <w:sz w:val="32"/>
          <w:szCs w:val="32"/>
        </w:rPr>
        <w:t>渝营商办发〔2022〕3号</w:t>
      </w:r>
    </w:p>
    <w:p>
      <w:pPr>
        <w:jc w:val="center"/>
        <w:rPr>
          <w:bCs/>
        </w:rPr>
      </w:pPr>
    </w:p>
    <w:p>
      <w:pPr>
        <w:rPr>
          <w:rFonts w:hint="eastAsia" w:eastAsia="方正仿宋_GBK"/>
          <w:sz w:val="32"/>
          <w:szCs w:val="20"/>
        </w:rPr>
      </w:pPr>
    </w:p>
    <w:p>
      <w:pPr>
        <w:keepNext/>
        <w:keepLines/>
        <w:pageBreakBefore w:val="0"/>
        <w:widowControl w:val="0"/>
        <w:kinsoku/>
        <w:wordWrap/>
        <w:overflowPunct/>
        <w:topLinePunct w:val="0"/>
        <w:autoSpaceDE/>
        <w:autoSpaceDN/>
        <w:bidi w:val="0"/>
        <w:adjustRightInd/>
        <w:snapToGrid/>
        <w:spacing w:line="600" w:lineRule="exact"/>
        <w:jc w:val="center"/>
        <w:textAlignment w:val="baseline"/>
        <w:outlineLvl w:val="0"/>
        <w:rPr>
          <w:rFonts w:hint="eastAsia" w:ascii="方正仿宋_GBK" w:hAnsi="方正仿宋_GBK" w:eastAsia="方正小标宋_GBK"/>
          <w:kern w:val="44"/>
          <w:sz w:val="44"/>
          <w:szCs w:val="44"/>
        </w:rPr>
      </w:pPr>
      <w:bookmarkStart w:id="0" w:name="_GoBack"/>
      <w:r>
        <w:rPr>
          <w:rFonts w:hint="eastAsia" w:ascii="方正仿宋_GBK" w:hAnsi="方正仿宋_GBK" w:eastAsia="方正小标宋_GBK"/>
          <w:kern w:val="44"/>
          <w:sz w:val="44"/>
          <w:szCs w:val="44"/>
        </w:rPr>
        <w:t>重庆市优化营商环境工作领导小组办公室</w:t>
      </w:r>
    </w:p>
    <w:p>
      <w:pPr>
        <w:keepNext/>
        <w:keepLines/>
        <w:pageBreakBefore w:val="0"/>
        <w:widowControl w:val="0"/>
        <w:kinsoku/>
        <w:wordWrap/>
        <w:overflowPunct/>
        <w:topLinePunct w:val="0"/>
        <w:autoSpaceDE/>
        <w:autoSpaceDN/>
        <w:bidi w:val="0"/>
        <w:adjustRightInd/>
        <w:snapToGrid/>
        <w:spacing w:line="600" w:lineRule="exact"/>
        <w:jc w:val="center"/>
        <w:textAlignment w:val="baseline"/>
        <w:outlineLvl w:val="0"/>
        <w:rPr>
          <w:rFonts w:hint="eastAsia" w:ascii="方正仿宋_GBK" w:hAnsi="方正仿宋_GBK" w:eastAsia="方正小标宋_GBK"/>
          <w:kern w:val="44"/>
          <w:sz w:val="44"/>
          <w:szCs w:val="44"/>
        </w:rPr>
      </w:pPr>
      <w:r>
        <w:rPr>
          <w:rFonts w:hint="eastAsia" w:ascii="方正仿宋_GBK" w:hAnsi="方正仿宋_GBK" w:eastAsia="方正小标宋_GBK"/>
          <w:kern w:val="44"/>
          <w:sz w:val="44"/>
          <w:szCs w:val="44"/>
        </w:rPr>
        <w:t>关于推行企业办事“一照通办”的通知</w:t>
      </w:r>
    </w:p>
    <w:bookmarkEnd w:id="0"/>
    <w:p>
      <w:pPr>
        <w:pageBreakBefore w:val="0"/>
        <w:widowControl w:val="0"/>
        <w:kinsoku/>
        <w:wordWrap/>
        <w:overflowPunct/>
        <w:topLinePunct w:val="0"/>
        <w:autoSpaceDE/>
        <w:autoSpaceDN/>
        <w:bidi w:val="0"/>
        <w:adjustRightInd/>
        <w:snapToGrid/>
        <w:spacing w:after="0" w:line="600" w:lineRule="exact"/>
        <w:ind w:left="412" w:leftChars="200" w:firstLine="632" w:firstLineChars="200"/>
        <w:textAlignment w:val="baseline"/>
        <w:rPr>
          <w:rFonts w:hint="eastAsia"/>
          <w:sz w:val="32"/>
          <w:szCs w:val="32"/>
        </w:rPr>
      </w:pPr>
    </w:p>
    <w:p>
      <w:pPr>
        <w:pageBreakBefore w:val="0"/>
        <w:widowControl w:val="0"/>
        <w:kinsoku/>
        <w:wordWrap/>
        <w:overflowPunct/>
        <w:topLinePunct w:val="0"/>
        <w:autoSpaceDE/>
        <w:autoSpaceDN/>
        <w:bidi w:val="0"/>
        <w:adjustRightInd/>
        <w:snapToGrid/>
        <w:spacing w:line="6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市政府有关部门，有关单位，各区县优化营商环境工作领导小组办公室：</w:t>
      </w:r>
    </w:p>
    <w:p>
      <w:pPr>
        <w:pageBreakBefore w:val="0"/>
        <w:widowControl w:val="0"/>
        <w:kinsoku/>
        <w:wordWrap/>
        <w:overflowPunct/>
        <w:topLinePunct w:val="0"/>
        <w:autoSpaceDE/>
        <w:autoSpaceDN/>
        <w:bidi w:val="0"/>
        <w:adjustRightInd/>
        <w:snapToGrid/>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国务院关于开展营商环境创新试点工作的意见》（国发〔2021〕24号）《国务院办公厅关于加快推进电子证照扩大应用领域和全国互通互认的意见》（国办发〔2022〕3号），进一步优化我市营商环境，按照《重庆市人民政府关于印发重庆市营商环境创新试点实施方案的通知》（渝府发〔2022〕2号）要求，自2022年6月起，在重庆市政务服务平台（渝快办）深化电子营业执照运用，推行企业（含个体工商户、农民专业合作社，以下统称企业）办事“一照通办”，现将有关事宜通知如下。</w:t>
      </w:r>
    </w:p>
    <w:p>
      <w:pPr>
        <w:pageBreakBefore w:val="0"/>
        <w:widowControl w:val="0"/>
        <w:kinsoku/>
        <w:wordWrap/>
        <w:overflowPunct/>
        <w:topLinePunct w:val="0"/>
        <w:autoSpaceDE/>
        <w:autoSpaceDN/>
        <w:bidi w:val="0"/>
        <w:adjustRightInd/>
        <w:snapToGrid/>
        <w:spacing w:line="600" w:lineRule="exact"/>
        <w:ind w:firstLine="632"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一、工作目标</w:t>
      </w:r>
    </w:p>
    <w:p>
      <w:pPr>
        <w:pageBreakBefore w:val="0"/>
        <w:widowControl w:val="0"/>
        <w:kinsoku/>
        <w:wordWrap/>
        <w:overflowPunct/>
        <w:topLinePunct w:val="0"/>
        <w:autoSpaceDE/>
        <w:autoSpaceDN/>
        <w:bidi w:val="0"/>
        <w:adjustRightInd/>
        <w:snapToGrid/>
        <w:spacing w:line="600"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全市一体化政务服务平台优化提升工作方案“推进电子营业执照等高频电子证照在政务服务领域广泛应用”的要求，聚焦企业在线办事重复填写资料、提交证照的堵点，探索通过政府部门内部涉企信息共享方式，归集验证企业基本信息，推行企业仅凭电子营业执照即可办理部分高频政务服务事项，无需重复录入、重复提交，逐步实现“减填报”“减材料”“减环节”。</w:t>
      </w:r>
    </w:p>
    <w:p>
      <w:pPr>
        <w:pageBreakBefore w:val="0"/>
        <w:widowControl w:val="0"/>
        <w:kinsoku/>
        <w:wordWrap/>
        <w:overflowPunct/>
        <w:topLinePunct w:val="0"/>
        <w:autoSpaceDE/>
        <w:autoSpaceDN/>
        <w:bidi w:val="0"/>
        <w:adjustRightInd/>
        <w:snapToGrid/>
        <w:spacing w:line="600" w:lineRule="exact"/>
        <w:ind w:firstLine="632"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二、重点任务</w:t>
      </w:r>
    </w:p>
    <w:p>
      <w:pPr>
        <w:pageBreakBefore w:val="0"/>
        <w:widowControl w:val="0"/>
        <w:kinsoku/>
        <w:wordWrap/>
        <w:overflowPunct/>
        <w:topLinePunct w:val="0"/>
        <w:autoSpaceDE/>
        <w:autoSpaceDN/>
        <w:bidi w:val="0"/>
        <w:adjustRightInd/>
        <w:snapToGrid/>
        <w:spacing w:line="600" w:lineRule="exact"/>
        <w:ind w:firstLine="632"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（一）发挥渝快办统一身份认证支撑作用</w:t>
      </w:r>
      <w:r>
        <w:rPr>
          <w:rFonts w:hint="eastAsia" w:ascii="方正仿宋_GBK" w:hAnsi="方正仿宋_GBK" w:eastAsia="方正仿宋_GBK" w:cs="方正仿宋_GBK"/>
          <w:sz w:val="32"/>
          <w:szCs w:val="32"/>
        </w:rPr>
        <w:t>。渝快办政务服务平台已经全面深度应用电子营业执照，使用电子营业执照扫码登录渝快办政务服务平台的企业，无需重复输入相关信息，自动注册为法人用户，已接入渝快办政务服务平台的部门业务系统应进行适应性配置，运用统一身份认证的实名验证、身份鉴别、单点登录等服务，实现“一次认证、全网通办”。</w:t>
      </w:r>
    </w:p>
    <w:p>
      <w:pPr>
        <w:pageBreakBefore w:val="0"/>
        <w:widowControl w:val="0"/>
        <w:kinsoku/>
        <w:wordWrap/>
        <w:overflowPunct/>
        <w:topLinePunct w:val="0"/>
        <w:autoSpaceDE/>
        <w:autoSpaceDN/>
        <w:bidi w:val="0"/>
        <w:adjustRightInd/>
        <w:snapToGrid/>
        <w:spacing w:line="600" w:lineRule="exact"/>
        <w:ind w:firstLine="632"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（二）应用“一照通办”“减填报”</w:t>
      </w:r>
      <w:r>
        <w:rPr>
          <w:rFonts w:hint="eastAsia" w:ascii="方正仿宋_GBK" w:hAnsi="方正仿宋_GBK" w:eastAsia="方正仿宋_GBK" w:cs="方正仿宋_GBK"/>
          <w:sz w:val="32"/>
          <w:szCs w:val="32"/>
        </w:rPr>
        <w:t>。渝快办政务服务平台已经针对首批30个部门236个涉企事项（见附件）的办理流程进行优化，审批办件类型中选择“企业”的申请人，在基本信息填报页面可选“扫电子营业执照，自动填写下列信息”选项，点击使用电子营业执照扫码后，系统智能准确填充原需要企业自行录入的20项基础信息，无需重复录入，实现“减填报”功能。</w:t>
      </w:r>
    </w:p>
    <w:p>
      <w:pPr>
        <w:pageBreakBefore w:val="0"/>
        <w:widowControl w:val="0"/>
        <w:kinsoku/>
        <w:wordWrap/>
        <w:overflowPunct/>
        <w:topLinePunct w:val="0"/>
        <w:autoSpaceDE/>
        <w:autoSpaceDN/>
        <w:bidi w:val="0"/>
        <w:adjustRightInd/>
        <w:snapToGrid/>
        <w:spacing w:line="600" w:lineRule="exact"/>
        <w:ind w:firstLine="632"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（三）深化“一照通办”“减材料”</w:t>
      </w:r>
      <w:r>
        <w:rPr>
          <w:rFonts w:hint="eastAsia" w:ascii="方正仿宋_GBK" w:hAnsi="方正仿宋_GBK" w:eastAsia="方正仿宋_GBK" w:cs="方正仿宋_GBK"/>
          <w:sz w:val="32"/>
          <w:szCs w:val="32"/>
        </w:rPr>
        <w:t>。各部门应按照市政府办公厅《关于运用电子身份证、电子营业执照开展政务服务工作的通知》要求，做好办事指南配置和系统对接调试工作，在原需要申请人提交或上传纸质营业执照的场景，尽快实现共享获取电子营业执照，推动企业群众办事“减材料”。</w:t>
      </w:r>
    </w:p>
    <w:p>
      <w:pPr>
        <w:pageBreakBefore w:val="0"/>
        <w:widowControl w:val="0"/>
        <w:kinsoku/>
        <w:wordWrap/>
        <w:overflowPunct/>
        <w:topLinePunct w:val="0"/>
        <w:autoSpaceDE/>
        <w:autoSpaceDN/>
        <w:bidi w:val="0"/>
        <w:adjustRightInd/>
        <w:snapToGrid/>
        <w:spacing w:line="600" w:lineRule="exact"/>
        <w:ind w:firstLine="632"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（四）探索“一照通办”“减环节”</w:t>
      </w:r>
      <w:r>
        <w:rPr>
          <w:rFonts w:hint="eastAsia" w:ascii="方正仿宋_GBK" w:hAnsi="方正仿宋_GBK" w:eastAsia="方正仿宋_GBK" w:cs="方正仿宋_GBK"/>
          <w:sz w:val="32"/>
          <w:szCs w:val="32"/>
        </w:rPr>
        <w:t>。渝快办</w:t>
      </w:r>
      <w:r>
        <w:rPr>
          <w:rFonts w:hint="eastAsia" w:ascii="方正仿宋_GBK" w:hAnsi="方正仿宋_GBK" w:eastAsia="方正仿宋_GBK" w:cs="方正仿宋_GBK"/>
          <w:sz w:val="32"/>
          <w:szCs w:val="32"/>
          <w:lang w:eastAsia="zh-CN"/>
        </w:rPr>
        <w:t>政务服务平台</w:t>
      </w:r>
      <w:r>
        <w:rPr>
          <w:rFonts w:hint="eastAsia" w:ascii="方正仿宋_GBK" w:hAnsi="方正仿宋_GBK" w:eastAsia="方正仿宋_GBK" w:cs="方正仿宋_GBK"/>
          <w:sz w:val="32"/>
          <w:szCs w:val="32"/>
        </w:rPr>
        <w:t>已经实现企业电子营业执照和电子印章同步发放和应用，支持企业在线进行业务确认和有关文件签署，需要使用企业电子营业执照和电子印章功能的部门业务系统，应加快有关接口对接</w:t>
      </w:r>
      <w:r>
        <w:rPr>
          <w:rFonts w:hint="eastAsia" w:ascii="方正仿宋_GBK" w:hAnsi="方正仿宋_GBK" w:eastAsia="方正仿宋_GBK" w:cs="方正仿宋_GBK"/>
          <w:sz w:val="32"/>
          <w:szCs w:val="32"/>
          <w:lang w:eastAsia="zh-CN"/>
        </w:rPr>
        <w:t>工作</w:t>
      </w:r>
      <w:r>
        <w:rPr>
          <w:rFonts w:hint="eastAsia" w:ascii="方正仿宋_GBK" w:hAnsi="方正仿宋_GBK" w:eastAsia="方正仿宋_GBK" w:cs="方正仿宋_GBK"/>
          <w:sz w:val="32"/>
          <w:szCs w:val="32"/>
        </w:rPr>
        <w:t>，推动更多涉企政务服务事项全程在线办理，逐步减少线下签署、提交材料环节。</w:t>
      </w:r>
    </w:p>
    <w:p>
      <w:pPr>
        <w:pageBreakBefore w:val="0"/>
        <w:widowControl w:val="0"/>
        <w:kinsoku/>
        <w:wordWrap/>
        <w:overflowPunct/>
        <w:topLinePunct w:val="0"/>
        <w:autoSpaceDE/>
        <w:autoSpaceDN/>
        <w:bidi w:val="0"/>
        <w:adjustRightInd/>
        <w:snapToGrid/>
        <w:spacing w:line="600" w:lineRule="exact"/>
        <w:ind w:firstLine="632"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三、工作要求</w:t>
      </w:r>
    </w:p>
    <w:p>
      <w:pPr>
        <w:pageBreakBefore w:val="0"/>
        <w:widowControl w:val="0"/>
        <w:kinsoku/>
        <w:wordWrap/>
        <w:overflowPunct/>
        <w:topLinePunct w:val="0"/>
        <w:autoSpaceDE/>
        <w:autoSpaceDN/>
        <w:bidi w:val="0"/>
        <w:adjustRightInd/>
        <w:snapToGrid/>
        <w:spacing w:line="600" w:lineRule="exact"/>
        <w:ind w:firstLine="632"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（一）强化组织领导。</w:t>
      </w:r>
      <w:r>
        <w:rPr>
          <w:rFonts w:hint="eastAsia" w:ascii="方正仿宋_GBK" w:hAnsi="方正仿宋_GBK" w:eastAsia="方正仿宋_GBK" w:cs="方正仿宋_GBK"/>
          <w:sz w:val="32"/>
          <w:szCs w:val="32"/>
        </w:rPr>
        <w:t>各区县、市政府有关部门、有关单位要高度重视，按照职责分工有序推进企业办事“一照通办”工作，市场监管部门负责做好线上线下电子营业执照规范使用的业务指导，有关部门和单位继续按照统一规范做好与渝快办</w:t>
      </w:r>
      <w:r>
        <w:rPr>
          <w:rFonts w:hint="eastAsia" w:ascii="方正仿宋_GBK" w:hAnsi="方正仿宋_GBK" w:eastAsia="方正仿宋_GBK" w:cs="方正仿宋_GBK"/>
          <w:sz w:val="32"/>
          <w:szCs w:val="32"/>
          <w:lang w:eastAsia="zh-CN"/>
        </w:rPr>
        <w:t>政务服务</w:t>
      </w:r>
      <w:r>
        <w:rPr>
          <w:rFonts w:hint="eastAsia" w:ascii="方正仿宋_GBK" w:hAnsi="方正仿宋_GBK" w:eastAsia="方正仿宋_GBK" w:cs="方正仿宋_GBK"/>
          <w:sz w:val="32"/>
          <w:szCs w:val="32"/>
        </w:rPr>
        <w:t>平台系统融合对接和数据、证照汇聚工作。</w:t>
      </w:r>
    </w:p>
    <w:p>
      <w:pPr>
        <w:pageBreakBefore w:val="0"/>
        <w:widowControl w:val="0"/>
        <w:kinsoku/>
        <w:wordWrap/>
        <w:overflowPunct/>
        <w:topLinePunct w:val="0"/>
        <w:autoSpaceDE/>
        <w:autoSpaceDN/>
        <w:bidi w:val="0"/>
        <w:adjustRightInd/>
        <w:snapToGrid/>
        <w:spacing w:line="600" w:lineRule="exact"/>
        <w:ind w:firstLine="632"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（二）做好系统配套。</w:t>
      </w:r>
      <w:r>
        <w:rPr>
          <w:rFonts w:hint="eastAsia" w:ascii="方正仿宋_GBK" w:hAnsi="方正仿宋_GBK" w:eastAsia="方正仿宋_GBK" w:cs="方正仿宋_GBK"/>
          <w:sz w:val="32"/>
          <w:szCs w:val="32"/>
        </w:rPr>
        <w:t>有关部门和单位要按照渝快办</w:t>
      </w:r>
      <w:r>
        <w:rPr>
          <w:rFonts w:hint="eastAsia" w:ascii="方正仿宋_GBK" w:hAnsi="方正仿宋_GBK" w:eastAsia="方正仿宋_GBK" w:cs="方正仿宋_GBK"/>
          <w:sz w:val="32"/>
          <w:szCs w:val="32"/>
          <w:lang w:eastAsia="zh-CN"/>
        </w:rPr>
        <w:t>政务服务平台</w:t>
      </w:r>
      <w:r>
        <w:rPr>
          <w:rFonts w:hint="eastAsia" w:ascii="方正仿宋_GBK" w:hAnsi="方正仿宋_GBK" w:eastAsia="方正仿宋_GBK" w:cs="方正仿宋_GBK"/>
          <w:sz w:val="32"/>
          <w:szCs w:val="32"/>
        </w:rPr>
        <w:t>有关数据对接标准进行改造，在更多政务服务事项实现涉企信息和电子证照跨部门、跨层级共享调用，进一步优化系统设置，简化办理流程，更新办事指南，避免对办事群众造成误导。</w:t>
      </w:r>
    </w:p>
    <w:p>
      <w:pPr>
        <w:pageBreakBefore w:val="0"/>
        <w:widowControl w:val="0"/>
        <w:kinsoku/>
        <w:wordWrap/>
        <w:overflowPunct/>
        <w:topLinePunct w:val="0"/>
        <w:autoSpaceDE/>
        <w:autoSpaceDN/>
        <w:bidi w:val="0"/>
        <w:adjustRightInd/>
        <w:snapToGrid/>
        <w:spacing w:line="600" w:lineRule="exact"/>
        <w:ind w:firstLine="632"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（三）加强宣传培训。</w:t>
      </w:r>
      <w:r>
        <w:rPr>
          <w:rFonts w:hint="eastAsia" w:ascii="方正仿宋_GBK" w:hAnsi="方正仿宋_GBK" w:eastAsia="方正仿宋_GBK" w:cs="方正仿宋_GBK"/>
          <w:sz w:val="32"/>
          <w:szCs w:val="32"/>
        </w:rPr>
        <w:t>各区县、市政府有关部门、有关单位应积极开展“一照通办”相关宣传，做好窗口人员的业务培训，积极引导企业群众使用“一照通办”便利化方式在渝快办</w:t>
      </w:r>
      <w:r>
        <w:rPr>
          <w:rFonts w:hint="eastAsia" w:ascii="方正仿宋_GBK" w:hAnsi="方正仿宋_GBK" w:eastAsia="方正仿宋_GBK" w:cs="方正仿宋_GBK"/>
          <w:sz w:val="32"/>
          <w:szCs w:val="32"/>
          <w:lang w:eastAsia="zh-CN"/>
        </w:rPr>
        <w:t>政务服务平台</w:t>
      </w:r>
      <w:r>
        <w:rPr>
          <w:rFonts w:hint="eastAsia" w:ascii="方正仿宋_GBK" w:hAnsi="方正仿宋_GBK" w:eastAsia="方正仿宋_GBK" w:cs="方正仿宋_GBK"/>
          <w:sz w:val="32"/>
          <w:szCs w:val="32"/>
        </w:rPr>
        <w:t>办理相关政务服务事项，充分释放改革红利。</w:t>
      </w:r>
    </w:p>
    <w:p>
      <w:pPr>
        <w:pageBreakBefore w:val="0"/>
        <w:widowControl w:val="0"/>
        <w:kinsoku/>
        <w:wordWrap/>
        <w:overflowPunct/>
        <w:topLinePunct w:val="0"/>
        <w:autoSpaceDE/>
        <w:autoSpaceDN/>
        <w:bidi w:val="0"/>
        <w:adjustRightInd/>
        <w:snapToGrid/>
        <w:spacing w:after="0" w:line="600" w:lineRule="exact"/>
        <w:ind w:left="0" w:leftChars="0" w:firstLine="0" w:firstLineChars="0"/>
        <w:textAlignment w:val="baseline"/>
        <w:rPr>
          <w:rFonts w:hint="eastAsia" w:ascii="方正仿宋_GBK" w:hAnsi="方正仿宋_GBK" w:eastAsia="方正仿宋_GBK" w:cs="方正仿宋_GBK"/>
          <w:sz w:val="32"/>
          <w:szCs w:val="32"/>
        </w:rPr>
      </w:pPr>
    </w:p>
    <w:p>
      <w:pPr>
        <w:pageBreakBefore w:val="0"/>
        <w:widowControl w:val="0"/>
        <w:kinsoku/>
        <w:wordWrap/>
        <w:overflowPunct/>
        <w:topLinePunct w:val="0"/>
        <w:autoSpaceDE/>
        <w:autoSpaceDN/>
        <w:bidi w:val="0"/>
        <w:adjustRightInd/>
        <w:snapToGrid/>
        <w:spacing w:after="0" w:line="600" w:lineRule="exact"/>
        <w:ind w:left="0" w:leftChars="0" w:firstLine="632" w:firstLineChars="2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附件：重庆市首批电子营业执照“一照通办”应用事项</w:t>
      </w:r>
    </w:p>
    <w:p>
      <w:pPr>
        <w:pageBreakBefore w:val="0"/>
        <w:widowControl w:val="0"/>
        <w:kinsoku/>
        <w:wordWrap/>
        <w:overflowPunct/>
        <w:topLinePunct w:val="0"/>
        <w:autoSpaceDE/>
        <w:autoSpaceDN/>
        <w:bidi w:val="0"/>
        <w:adjustRightInd/>
        <w:snapToGrid/>
        <w:spacing w:after="0" w:line="600" w:lineRule="exact"/>
        <w:ind w:left="0" w:leftChars="0" w:firstLine="632" w:firstLineChars="200"/>
        <w:textAlignment w:val="baseline"/>
        <w:rPr>
          <w:rFonts w:hint="eastAsia" w:ascii="方正仿宋_GBK" w:hAnsi="方正仿宋_GBK" w:eastAsia="方正仿宋_GBK" w:cs="方正仿宋_GBK"/>
          <w:sz w:val="32"/>
          <w:szCs w:val="32"/>
        </w:rPr>
      </w:pPr>
    </w:p>
    <w:p>
      <w:pPr>
        <w:pageBreakBefore w:val="0"/>
        <w:widowControl w:val="0"/>
        <w:kinsoku/>
        <w:wordWrap/>
        <w:overflowPunct/>
        <w:topLinePunct w:val="0"/>
        <w:autoSpaceDE/>
        <w:autoSpaceDN/>
        <w:bidi w:val="0"/>
        <w:adjustRightInd/>
        <w:snapToGrid/>
        <w:spacing w:after="0" w:line="600" w:lineRule="exact"/>
        <w:ind w:left="0" w:leftChars="0" w:firstLine="632" w:firstLineChars="200"/>
        <w:textAlignment w:val="baseline"/>
        <w:rPr>
          <w:rFonts w:hint="eastAsia" w:ascii="方正仿宋_GBK" w:hAnsi="方正仿宋_GBK" w:eastAsia="方正仿宋_GBK" w:cs="方正仿宋_GBK"/>
          <w:sz w:val="32"/>
          <w:szCs w:val="32"/>
        </w:rPr>
      </w:pPr>
    </w:p>
    <w:p>
      <w:pPr>
        <w:pageBreakBefore w:val="0"/>
        <w:widowControl w:val="0"/>
        <w:kinsoku/>
        <w:wordWrap/>
        <w:overflowPunct/>
        <w:topLinePunct w:val="0"/>
        <w:autoSpaceDE/>
        <w:autoSpaceDN/>
        <w:bidi w:val="0"/>
        <w:adjustRightInd/>
        <w:snapToGrid/>
        <w:spacing w:after="0" w:line="600" w:lineRule="exact"/>
        <w:ind w:left="0" w:leftChars="0" w:firstLine="632" w:firstLineChars="200"/>
        <w:textAlignment w:val="baseline"/>
        <w:rPr>
          <w:rFonts w:hint="eastAsia" w:ascii="方正仿宋_GBK" w:hAnsi="方正仿宋_GBK" w:eastAsia="方正仿宋_GBK" w:cs="方正仿宋_GBK"/>
          <w:sz w:val="32"/>
          <w:szCs w:val="32"/>
        </w:rPr>
      </w:pPr>
    </w:p>
    <w:p>
      <w:pPr>
        <w:pageBreakBefore w:val="0"/>
        <w:widowControl w:val="0"/>
        <w:kinsoku/>
        <w:wordWrap/>
        <w:overflowPunct/>
        <w:topLinePunct w:val="0"/>
        <w:autoSpaceDE/>
        <w:autoSpaceDN/>
        <w:bidi w:val="0"/>
        <w:adjustRightInd/>
        <w:snapToGrid/>
        <w:spacing w:after="0" w:line="600" w:lineRule="exact"/>
        <w:ind w:left="0" w:leftChars="0" w:firstLine="632" w:firstLineChars="2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重庆市优化营商环境工作领导小组办公室</w:t>
      </w:r>
    </w:p>
    <w:p>
      <w:pPr>
        <w:pageBreakBefore w:val="0"/>
        <w:widowControl w:val="0"/>
        <w:kinsoku/>
        <w:wordWrap/>
        <w:overflowPunct/>
        <w:topLinePunct w:val="0"/>
        <w:autoSpaceDE/>
        <w:autoSpaceDN/>
        <w:bidi w:val="0"/>
        <w:adjustRightInd/>
        <w:snapToGrid/>
        <w:spacing w:after="0" w:line="600" w:lineRule="exact"/>
        <w:ind w:left="0" w:leftChars="0" w:firstLine="632" w:firstLineChars="200"/>
        <w:textAlignment w:val="baseline"/>
        <w:rPr>
          <w:rFonts w:hint="default"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2022年6月</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 xml:space="preserve">日 </w:t>
      </w:r>
      <w:r>
        <w:rPr>
          <w:rFonts w:hint="eastAsia" w:ascii="方正仿宋_GBK" w:hAnsi="方正仿宋_GBK" w:eastAsia="方正仿宋_GBK" w:cs="方正仿宋_GBK"/>
          <w:sz w:val="32"/>
          <w:szCs w:val="32"/>
          <w:lang w:val="en-US" w:eastAsia="zh-CN"/>
        </w:rPr>
        <w:t xml:space="preserve">       </w:t>
      </w:r>
    </w:p>
    <w:p>
      <w:pPr>
        <w:pageBreakBefore w:val="0"/>
        <w:widowControl w:val="0"/>
        <w:kinsoku/>
        <w:wordWrap/>
        <w:overflowPunct/>
        <w:topLinePunct w:val="0"/>
        <w:autoSpaceDE/>
        <w:autoSpaceDN/>
        <w:bidi w:val="0"/>
        <w:adjustRightInd/>
        <w:snapToGrid/>
        <w:spacing w:after="0" w:line="600" w:lineRule="exact"/>
        <w:ind w:left="0" w:leftChars="0"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（联系人：陶奕岑、龚欢；联系方式：63801206、18696606973）  </w:t>
      </w:r>
    </w:p>
    <w:p>
      <w:pPr>
        <w:pageBreakBefore w:val="0"/>
        <w:widowControl w:val="0"/>
        <w:kinsoku/>
        <w:wordWrap/>
        <w:overflowPunct/>
        <w:topLinePunct w:val="0"/>
        <w:autoSpaceDE/>
        <w:autoSpaceDN/>
        <w:bidi w:val="0"/>
        <w:adjustRightInd/>
        <w:snapToGrid/>
        <w:spacing w:after="0" w:line="600" w:lineRule="exact"/>
        <w:ind w:left="0" w:leftChars="0" w:firstLine="632" w:firstLineChars="200"/>
        <w:textAlignment w:val="baseline"/>
        <w:rPr>
          <w:rFonts w:hint="eastAsia" w:ascii="方正仿宋_GBK" w:hAnsi="方正仿宋_GBK" w:eastAsia="方正仿宋_GBK" w:cs="方正仿宋_GBK"/>
          <w:sz w:val="32"/>
          <w:szCs w:val="32"/>
        </w:rPr>
      </w:pPr>
    </w:p>
    <w:p>
      <w:pPr>
        <w:adjustRightInd/>
        <w:spacing w:after="0" w:line="240" w:lineRule="auto"/>
        <w:ind w:left="0" w:leftChars="0" w:firstLine="632" w:firstLineChars="200"/>
        <w:textAlignment w:val="baseline"/>
        <w:rPr>
          <w:rFonts w:hint="eastAsia" w:ascii="方正仿宋_GBK" w:hAnsi="方正仿宋_GBK" w:eastAsia="方正仿宋_GBK" w:cs="方正仿宋_GBK"/>
          <w:sz w:val="32"/>
          <w:szCs w:val="32"/>
        </w:rPr>
        <w:sectPr>
          <w:footerReference r:id="rId3" w:type="default"/>
          <w:footerReference r:id="rId4" w:type="even"/>
          <w:pgSz w:w="11906" w:h="16838"/>
          <w:pgMar w:top="1984" w:right="1446" w:bottom="1644" w:left="1446" w:header="851" w:footer="1417" w:gutter="0"/>
          <w:pgNumType w:fmt="decimal"/>
          <w:cols w:space="0" w:num="1"/>
          <w:rtlGutter w:val="0"/>
          <w:docGrid w:type="linesAndChars" w:linePitch="579" w:charSpace="-849"/>
        </w:sectPr>
      </w:pPr>
    </w:p>
    <w:p>
      <w:pPr>
        <w:adjustRightInd/>
        <w:spacing w:after="0" w:line="240" w:lineRule="auto"/>
        <w:ind w:left="0" w:leftChars="0" w:firstLine="0" w:firstLineChars="0"/>
        <w:jc w:val="left"/>
        <w:textAlignment w:val="baseline"/>
        <w:rPr>
          <w:rFonts w:hint="eastAsia"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附件</w:t>
      </w:r>
    </w:p>
    <w:p>
      <w:pPr>
        <w:adjustRightInd/>
        <w:spacing w:after="0" w:line="240" w:lineRule="auto"/>
        <w:ind w:left="0" w:leftChars="0" w:firstLine="0" w:firstLineChars="0"/>
        <w:jc w:val="left"/>
        <w:textAlignment w:val="baseline"/>
        <w:rPr>
          <w:rFonts w:hint="eastAsia" w:ascii="方正黑体_GBK" w:hAnsi="方正仿宋_GBK" w:eastAsia="方正黑体_GBK" w:cs="方正仿宋_GBK"/>
          <w:sz w:val="32"/>
          <w:szCs w:val="32"/>
        </w:rPr>
      </w:pPr>
    </w:p>
    <w:p>
      <w:pPr>
        <w:adjustRightInd/>
        <w:spacing w:after="0" w:line="580" w:lineRule="exact"/>
        <w:ind w:left="0" w:leftChars="0" w:firstLine="0" w:firstLineChars="0"/>
        <w:jc w:val="center"/>
        <w:textAlignment w:val="baseline"/>
        <w:rPr>
          <w:rFonts w:hint="eastAsia" w:ascii="方正小标宋_GBK" w:hAnsi="方正小标宋_GBK" w:eastAsia="方正小标宋_GBK" w:cs="方正小标宋_GBK"/>
          <w:w w:val="98"/>
          <w:kern w:val="0"/>
          <w:sz w:val="44"/>
          <w:szCs w:val="44"/>
        </w:rPr>
      </w:pPr>
      <w:r>
        <w:rPr>
          <w:rFonts w:hint="eastAsia" w:ascii="方正小标宋_GBK" w:hAnsi="方正小标宋_GBK" w:eastAsia="方正小标宋_GBK" w:cs="方正小标宋_GBK"/>
          <w:spacing w:val="1"/>
          <w:w w:val="98"/>
          <w:kern w:val="0"/>
          <w:sz w:val="44"/>
          <w:szCs w:val="44"/>
        </w:rPr>
        <w:t>重庆市首批电子营业执照“一照通办”应用事</w:t>
      </w:r>
      <w:r>
        <w:rPr>
          <w:rFonts w:hint="eastAsia" w:ascii="方正小标宋_GBK" w:hAnsi="方正小标宋_GBK" w:eastAsia="方正小标宋_GBK" w:cs="方正小标宋_GBK"/>
          <w:w w:val="98"/>
          <w:kern w:val="0"/>
          <w:sz w:val="44"/>
          <w:szCs w:val="44"/>
        </w:rPr>
        <w:t>项</w:t>
      </w:r>
    </w:p>
    <w:tbl>
      <w:tblPr>
        <w:tblStyle w:val="5"/>
        <w:tblpPr w:leftFromText="180" w:rightFromText="180" w:vertAnchor="text" w:horzAnchor="page" w:tblpX="1026" w:tblpY="617"/>
        <w:tblOverlap w:val="never"/>
        <w:tblW w:w="9719" w:type="dxa"/>
        <w:tblInd w:w="0" w:type="dxa"/>
        <w:tblLayout w:type="fixed"/>
        <w:tblCellMar>
          <w:top w:w="0" w:type="dxa"/>
          <w:left w:w="108" w:type="dxa"/>
          <w:bottom w:w="0" w:type="dxa"/>
          <w:right w:w="108" w:type="dxa"/>
        </w:tblCellMar>
      </w:tblPr>
      <w:tblGrid>
        <w:gridCol w:w="960"/>
        <w:gridCol w:w="5484"/>
        <w:gridCol w:w="3275"/>
      </w:tblGrid>
      <w:tr>
        <w:tblPrEx>
          <w:tblCellMar>
            <w:top w:w="0" w:type="dxa"/>
            <w:left w:w="108" w:type="dxa"/>
            <w:bottom w:w="0" w:type="dxa"/>
            <w:right w:w="108" w:type="dxa"/>
          </w:tblCellMar>
        </w:tblPrEx>
        <w:trPr>
          <w:trHeight w:val="713" w:hRule="atLeast"/>
          <w:tblHeader/>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lang w:bidi="ar"/>
              </w:rPr>
              <w:t>序号</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lang w:bidi="ar"/>
              </w:rPr>
              <w:t>事项名称</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lang w:bidi="ar"/>
              </w:rPr>
              <w:t>主管部门</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color w:val="000000"/>
                <w:kern w:val="0"/>
                <w:sz w:val="22"/>
                <w:szCs w:val="22"/>
                <w:lang w:bidi="ar"/>
              </w:rPr>
              <w:t>对利用档案馆未开放档案的审查</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重庆市档案局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公布属于国家所有的档案审批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重庆市档案局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赠送、交换、出卖国家所有档案的复制件的审批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重庆市档案局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出版物零售单位和个体工商户设立审批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重庆市新闻出版局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出版物临时零售点备案</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重庆市新闻出版局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出版物零售单位和个体工商户登记事项变更审批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重庆市新闻出版局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不涉及跨省（区、市）河流上建设的除大型水库、中型水库项目以外的其余水库项目核准——内资</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重庆市发展和改革委员会</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除国家高速公路网和公路的普通国道网项目、地方高速公路项目以外的其余公路项目核准——外资</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重庆市发展和改革委员会</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除国家批准的有关规划中的项目和跨现状或规划为四级及以上通航段项目以外的其余独立公（铁）路桥梁、隧道项目核准——外资</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重庆市发展和改革委员会</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除跨流域的水系连通工程项目、跨区县（自治县）水资源配置工程项目和在长江、嘉陵江、乌江干流上及区县（自治县）城市规划区内的堤防工程项目以外的其余水事工程项目核准——外资</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重庆市发展和改革委员会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除跨现状或规划为四级及以上通航段项目以外的其余城市道路桥梁、隧道项目核准——外资</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重庆市发展和改革委员会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除需跨区县（自治县）平衡的生活垃圾焚烧发电项目、需市级财政平衡处理费的污水处理项目和需跨区县配置水资源、调节价格的城市供水项目以外的其余城建项目核准——外资</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重庆市发展和改革委员会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非市属事业单位实施的职业学历教育新建和扩建项目以及区县属事业单位实施的未列入建设发展规划的其他社会事业项目（不含维修改造类项目）核准——外资</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重庆市发展和改革委员会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内河航运千吨级以下独立船闸项目、千吨级以下航电枢纽项目和在除长江、嘉陵江、乌江以外的我市河流上建设的通航建筑物项目核准——内资</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重庆市发展和改革委员会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内河航运千吨级以下独立船闸项目、千吨级以下航电枢纽项目和在除长江、嘉陵江、乌江以外的我市河流上建设的通航建筑物项目核准——外资</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重庆市发展和改革委员会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生活垃圾焚烧发电项目审核</w:t>
            </w:r>
            <w:r>
              <w:rPr>
                <w:rFonts w:hint="eastAsia" w:ascii="方正仿宋_GBK" w:hAnsi="方正仿宋_GBK" w:eastAsia="方正仿宋_GBK" w:cs="方正仿宋_GBK"/>
                <w:color w:val="000000"/>
                <w:kern w:val="0"/>
                <w:sz w:val="22"/>
                <w:szCs w:val="22"/>
                <w:lang w:eastAsia="zh-CN" w:bidi="ar"/>
              </w:rPr>
              <w:t>—</w:t>
            </w:r>
            <w:r>
              <w:rPr>
                <w:rFonts w:hint="eastAsia" w:ascii="方正仿宋_GBK" w:hAnsi="方正仿宋_GBK" w:eastAsia="方正仿宋_GBK" w:cs="方正仿宋_GBK"/>
                <w:color w:val="000000"/>
                <w:kern w:val="0"/>
                <w:sz w:val="22"/>
                <w:szCs w:val="22"/>
                <w:lang w:bidi="ar"/>
              </w:rPr>
              <w:t>（县级）内资</w:t>
            </w:r>
            <w:r>
              <w:rPr>
                <w:rFonts w:hint="eastAsia" w:ascii="方正仿宋_GBK" w:hAnsi="方正仿宋_GBK" w:eastAsia="方正仿宋_GBK" w:cs="方正仿宋_GBK"/>
                <w:color w:val="000000"/>
                <w:kern w:val="0"/>
                <w:sz w:val="22"/>
                <w:szCs w:val="22"/>
                <w:lang w:eastAsia="zh-CN" w:bidi="ar"/>
              </w:rPr>
              <w:t>—</w:t>
            </w:r>
            <w:r>
              <w:rPr>
                <w:rFonts w:hint="eastAsia" w:ascii="方正仿宋_GBK" w:hAnsi="方正仿宋_GBK" w:eastAsia="方正仿宋_GBK" w:cs="方正仿宋_GBK"/>
                <w:color w:val="000000"/>
                <w:kern w:val="0"/>
                <w:sz w:val="22"/>
                <w:szCs w:val="22"/>
                <w:lang w:bidi="ar"/>
              </w:rPr>
              <w:t>不需跨区县（自治县）平衡</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重庆市发展和改革委员会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生活垃圾焚烧发电项目审核</w:t>
            </w:r>
            <w:r>
              <w:rPr>
                <w:rFonts w:hint="eastAsia" w:ascii="方正仿宋_GBK" w:hAnsi="方正仿宋_GBK" w:eastAsia="方正仿宋_GBK" w:cs="方正仿宋_GBK"/>
                <w:color w:val="000000"/>
                <w:kern w:val="0"/>
                <w:sz w:val="22"/>
                <w:szCs w:val="22"/>
                <w:lang w:eastAsia="zh-CN" w:bidi="ar"/>
              </w:rPr>
              <w:t>—</w:t>
            </w:r>
            <w:r>
              <w:rPr>
                <w:rFonts w:hint="eastAsia" w:ascii="方正仿宋_GBK" w:hAnsi="方正仿宋_GBK" w:eastAsia="方正仿宋_GBK" w:cs="方正仿宋_GBK"/>
                <w:color w:val="000000"/>
                <w:kern w:val="0"/>
                <w:sz w:val="22"/>
                <w:szCs w:val="22"/>
                <w:lang w:bidi="ar"/>
              </w:rPr>
              <w:t>（县级）外资</w:t>
            </w:r>
            <w:r>
              <w:rPr>
                <w:rFonts w:hint="eastAsia" w:ascii="方正仿宋_GBK" w:hAnsi="方正仿宋_GBK" w:eastAsia="方正仿宋_GBK" w:cs="方正仿宋_GBK"/>
                <w:color w:val="000000"/>
                <w:kern w:val="0"/>
                <w:sz w:val="22"/>
                <w:szCs w:val="22"/>
                <w:lang w:eastAsia="zh-CN" w:bidi="ar"/>
              </w:rPr>
              <w:t>—</w:t>
            </w:r>
            <w:r>
              <w:rPr>
                <w:rFonts w:hint="eastAsia" w:ascii="方正仿宋_GBK" w:hAnsi="方正仿宋_GBK" w:eastAsia="方正仿宋_GBK" w:cs="方正仿宋_GBK"/>
                <w:color w:val="000000"/>
                <w:kern w:val="0"/>
                <w:sz w:val="22"/>
                <w:szCs w:val="22"/>
                <w:lang w:bidi="ar"/>
              </w:rPr>
              <w:t>不需跨区县（自治县）平衡</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重庆市发展和改革委员会</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对违法使用校车行为的处分</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重庆市教育委员会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对中等职业学校学生学籍管理</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重庆市教育委员会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民办幼儿园、中小学、中职和培训机构招生简章和广告备案</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重庆市教育委员会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实施学前教育的民办学校变更审批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重庆市教育委员会</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实施学前教育的民办学校筹设审批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重庆市教育委员会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实施学前教育的民办学校设立审批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重庆市教育委员会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实施专科教育的民办高等学校的终止审批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重庆市教育委员会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实验动物生产许可变更</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重庆市科学技术局</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实验动物生产许可新申请</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重庆市科学技术局</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实验动物使用许可变更</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重庆市科学技术局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实验动物使用许可新申请</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重庆市科学技术局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电力设施保护区内施工作业审批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重庆市经济和信息化委员会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对保护电力设施器材行为的奖励</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重庆市经济和信息化委员会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无线电台（站）设置、使用许可</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重庆市经济和信息化委员会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无线电台（站）设置、使用许可变更</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重庆市经济和信息化委员会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无线电台（站）设置、使用许可延续</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重庆市经济和信息化委员会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无线电台（站）设置、使用许可注销</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重庆市经济和信息化委员会</w:t>
            </w:r>
          </w:p>
        </w:tc>
      </w:tr>
      <w:tr>
        <w:tblPrEx>
          <w:tblCellMar>
            <w:top w:w="0" w:type="dxa"/>
            <w:left w:w="108" w:type="dxa"/>
            <w:bottom w:w="0" w:type="dxa"/>
            <w:right w:w="108" w:type="dxa"/>
          </w:tblCellMar>
        </w:tblPrEx>
        <w:trPr>
          <w:trHeight w:val="1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无线电台识别码核发</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重庆市经济和信息化委员会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无线电台识别码核发注销</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重庆市经济和信息化委员会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在电力设施周围进行爆破及其他可能危及电力设施安全作业审批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重庆市经济和信息化委员会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职业供求信息、市场工资指导价位信息和职业培训信息发布</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重庆市人力资源和社会保障局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39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岗位补贴</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重庆市人力资源和社会保障局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40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民办职业培训机构设立</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重庆市人力资源和社会保障局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41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民办职业培训学校变更</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重庆市人力资源和社会保障局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42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民办职业培训学校延续</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重庆市人力资源和社会保障局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43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民办职业培训学校注销</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重庆市人力资源和社会保障局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44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中外合作职业培训机构延续</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重庆市人力资源和社会保障局</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45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中外合作职业培训机构注销</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重庆市人力资源和社会保障局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46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中外合作职业培训学校变更</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重庆市人力资源和社会保障局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47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地质灾害治理责任认定</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重庆市规划和自然资源局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48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地质资料管理工作中作出突出贡献奖励</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重庆市规划和自然资源局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49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对永久性测量标志的登记与监督</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重庆市规划和自然资源局</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50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对在测绘科学技术的创新和进步中做出重要贡献的单位和个人的奖励</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重庆市规划和自然资源局</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51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土地开垦区内开发未确定使用权的国有土地从事生产审查</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重庆市规划和自然资源局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52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制止和报告畜禽养殖环境污染行为</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重庆市生态环境局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53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碳交易活动监督管理和交易工作的组织实施及综合协调</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重庆市生态环境局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54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城镇污水排入排水管网许可</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重庆市住房和城乡建设委员会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55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建设工程质量竣工验收监督</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重庆市住房和城乡建设委员会</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56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房地产开发企业资质核定（二级及以下）</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重庆市住房和城乡建设委员会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57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因工程建设需要拆除、改动、迁移供水、排水与污水处理设施审核</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重庆市住房和城乡建设委员会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58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因工程建设需要拆除、改动、迁移供水、排水与污水处理设施审核（报装申请）</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重庆市住房和城乡建设委员会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59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因工程建设需要拆除、改动、迁移供水、排水与污水处理设施审核（接通申请）</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重庆市住房和城乡建设委员会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60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市政设施建设类审批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重庆市城市管理局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61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工程建设涉及城市绿地、树木审批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重庆市城市管理局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62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城区夜景灯饰设置方案备案</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重庆市城市管理局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63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城市公共停车场备案</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重庆市城市管理局</w:t>
            </w:r>
          </w:p>
        </w:tc>
      </w:tr>
      <w:tr>
        <w:tblPrEx>
          <w:tblCellMar>
            <w:top w:w="0" w:type="dxa"/>
            <w:left w:w="108" w:type="dxa"/>
            <w:bottom w:w="0" w:type="dxa"/>
            <w:right w:w="108" w:type="dxa"/>
          </w:tblCellMar>
        </w:tblPrEx>
        <w:trPr>
          <w:trHeight w:val="181"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64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非工程建设涉及城市绿地、树木审批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重庆市城市管理局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65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特殊车辆在城市道路上行驶（包括经过城市桥梁）审批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重庆市城市管理局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66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因工程建设需要拆除、改动、迁移供水、排水与污水处理设施审核</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重庆市城市管理局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67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占用、迁移、拆除城市道路照明设施审核</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重庆市城市管理局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68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省际普通货物水路运输许可（船舶营运证年度核查）</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69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船舶进行散装液体污染危害性货物水上过驳作业审批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70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港口采掘、爆破施工作业许可</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9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71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更新采伐护路林审批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72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区县境内水路客运经营许可（船舶营运证变更）</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73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区县境内水路客运经营许可（许可证变更基本信息）</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74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区县境内水路客运经营许可（许可证到期换证）</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75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区县巡游出租汽车客运经营终止</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76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市内跨区县水路客运经营许可（船舶营运证年度核查）</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77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市内普通货物水路运输经营许可（船舶营运证变更）</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78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市内普通货物水路运输经营许可（船舶营运证注销）</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79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市内普通货物水路运输经营许可（经营者开业）</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80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市内普通货物水路运输经营许可（配发船舶营运证）</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81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市内普通货物水路运输经营许可（许可证变更基本信息）</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82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市内普通货物水路运输经营许可（许可证变更经营范围）</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83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市内普通货物水路运输经营许可（许可证到期换证）</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84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市内普通货物水路运输经营许可（许可证年度核查）</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85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市内危险货物水路运输经营许可（许可证年度核查）</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9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86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县内、县际毗邻班车客运业户核减</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9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87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县内、县际毗邻班车客运业户终止</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88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县内包车客运业户核减</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89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县内包车客运业户终止</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90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县内包车运力终止经营</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91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县内包车运力主体变更</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202"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92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乡镇自用船登记</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重庆市交通局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93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生产建设项目水土保持方案审批（报告书）</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重庆市水利局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94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生产建设项目水土保持方案审批（报告表）</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重庆市水利局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95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对取水人的取水量予以核减或者限制</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重庆市水利局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96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对已经搬迁并得到补偿和安置后，不及时办理销号手续的处理</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重庆市水利局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97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非防洪建设项目洪水影响评价报告审批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重庆市水利局</w:t>
            </w:r>
          </w:p>
        </w:tc>
      </w:tr>
      <w:tr>
        <w:tblPrEx>
          <w:tblCellMar>
            <w:top w:w="0" w:type="dxa"/>
            <w:left w:w="108" w:type="dxa"/>
            <w:bottom w:w="0" w:type="dxa"/>
            <w:right w:w="108" w:type="dxa"/>
          </w:tblCellMar>
        </w:tblPrEx>
        <w:trPr>
          <w:trHeight w:val="9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98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河道采砂许可</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重庆市水利局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99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河道管理范围内建设项目工程建设方案审批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重庆市水利局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100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河道管理范围内有关活动（不含河道采砂）审批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重庆市水利局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101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农村集体经济组织或者其他单位和个人修建水库审批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重庆市水利局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102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取水许可（常规审批）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重庆市水利局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103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取水许可（告知承诺制）</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重庆市水利局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104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取水许可证变更</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重庆市水利局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105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取水许可证新发</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重庆市水利局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106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取水许可证延续</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重庆市水利局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107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取水许可证注销</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重庆市水利局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108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水工程建设规划同意书审核</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重庆市水利局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109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水利工程改变主要用途许可</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重庆市水利局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110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水能资源开发使用权出让审批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重庆市水利局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111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水资源费缓缴审核</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重庆市水利局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112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蓄滞洪区避洪设施审批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重庆市水利局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113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移民迁建单位补偿安置遗留的固定资产处置权</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重庆市水利局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114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占用或影响农业灌溉水源、灌排工程设施等水利工程设施的审批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重庆市水利局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115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农业污染防治技术指导与服务</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55"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116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动物防疫条件合格证核发</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117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动物疫病防控技术推广</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118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spacing w:val="-11"/>
                <w:kern w:val="0"/>
                <w:sz w:val="22"/>
                <w:szCs w:val="22"/>
                <w:lang w:bidi="ar"/>
              </w:rPr>
              <w:t>采集、出售、收购国家二级保护野生植物（农业类）审批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119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宠物配合饲料生产企业设立</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120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出售、购买、利用国家重点保护水生野生动物及其制品（白鱀豚等）和人工繁育国家重点保护水生野生动物（白鱀豚等）的初审</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121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出售、购买、利用国家重点保护水生野生动物及其制品审批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122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出售、购买、利用市级重点保护水生野生动物及其制品审批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123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对实行招标、拍卖、公开协商等方式的农村土地承包经营权颁证的初审</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124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蜂种生产经营许可证核发</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125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猎捕国家二级保护水生野生动物审批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126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猎捕国家一级保护水生野生动物的初审</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127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培育新的畜禽品种、配套系进行中间试验的批准</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128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人工繁育国家重点保护水生野生动物审批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129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人工繁育市级重点保护水生野生动物审批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130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生产性渔业船舶登记（登记）</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131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生产性渔业船舶登记（注销）</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132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生鲜乳准运证明核发</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133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食用菌菌种生产经营许可（区县初审：母种和原种）</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134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食用菌菌种生产经营许可（区县核发：栽培种）</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135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食用菌菌种生产经营许可（市级核发：母种和原种）</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136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输入本市的非乳用和非种用动物以及动物产品，市内跨区县</w:t>
            </w:r>
            <w:r>
              <w:rPr>
                <w:rFonts w:hint="eastAsia" w:ascii="方正仿宋_GBK" w:hAnsi="方正仿宋_GBK" w:eastAsia="方正仿宋_GBK" w:cs="方正仿宋_GBK"/>
                <w:color w:val="000000"/>
                <w:kern w:val="0"/>
                <w:sz w:val="22"/>
                <w:szCs w:val="22"/>
                <w:lang w:eastAsia="zh-CN" w:bidi="ar"/>
              </w:rPr>
              <w:t>（</w:t>
            </w:r>
            <w:r>
              <w:rPr>
                <w:rFonts w:hint="eastAsia" w:ascii="方正仿宋_GBK" w:hAnsi="方正仿宋_GBK" w:eastAsia="方正仿宋_GBK" w:cs="方正仿宋_GBK"/>
                <w:color w:val="000000"/>
                <w:kern w:val="0"/>
                <w:sz w:val="22"/>
                <w:szCs w:val="22"/>
                <w:lang w:bidi="ar"/>
              </w:rPr>
              <w:t>自治县</w:t>
            </w:r>
            <w:r>
              <w:rPr>
                <w:rFonts w:hint="eastAsia" w:ascii="方正仿宋_GBK" w:hAnsi="方正仿宋_GBK" w:eastAsia="方正仿宋_GBK" w:cs="方正仿宋_GBK"/>
                <w:color w:val="000000"/>
                <w:kern w:val="0"/>
                <w:sz w:val="22"/>
                <w:szCs w:val="22"/>
                <w:lang w:eastAsia="zh-CN" w:bidi="ar"/>
              </w:rPr>
              <w:t>）</w:t>
            </w:r>
            <w:r>
              <w:rPr>
                <w:rFonts w:hint="eastAsia" w:ascii="方正仿宋_GBK" w:hAnsi="方正仿宋_GBK" w:eastAsia="方正仿宋_GBK" w:cs="方正仿宋_GBK"/>
                <w:color w:val="000000"/>
                <w:kern w:val="0"/>
                <w:sz w:val="22"/>
                <w:szCs w:val="22"/>
                <w:lang w:bidi="ar"/>
              </w:rPr>
              <w:t>运输非屠宰用动物备案</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137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水产苗种产地检疫</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138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水产苗种进出口审批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139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水产苗种生产审批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140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水域滩涂养殖证的审核</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141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饲料添加剂产品批准文号核发</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142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渔业捕捞许可审批（办证）</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143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渔业捕捞许可审批（注销）</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144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渔业船舶水上安全事故调查、责任认定</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145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渔业水域污染事故调解</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9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146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种畜禽生产经营许可（区县核发）</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9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147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种畜禽生产经营许可（区县核发：人工授精站点）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23"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148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种畜禽生产经营许可（市级核发）</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重庆市农业农村委员会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149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成品油零售经营企业申请变更</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重庆市商务委员会</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150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大型基本建设工程文物考古调查、勘探审批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151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对3A、4A级旅游景区质量等级的评定和4A级旅游景区复核</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152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对依法被吊销导游、领队及旅行社许可的旅行社从业人员三年内拒绝许可及从业</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153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公共文化场馆讲解服务</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154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广播电视节目制作经营单位设立审批（设立）</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155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广播电视台暂停播出许可</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156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互联网上网服务营业场所经营单位设立审批（变更）</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157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互联网上网服务营业场所经营单位设立审批（注销）</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158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境外机构和团体拍摄考古发掘现场审批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159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旅行社服务网点备案</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160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旅行社及其分社在规定期限内向其质量保证金账户存入、增存、补足质量保证金或者提交相应的银行担保备案</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161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区域性有线广播电视传输覆盖网总体规划、建设方案审核</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162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设立文物商店审批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163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社会艺术考级活动备案</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164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涉外营业性艺术品展览审批活动</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165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省级文物保护单位建设控制地带内建设工程设计方案审批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166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省级文物保护单位修缮审批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167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省级文物保护单位原址保护措施审批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168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市、区县级国有文物保护单位改作其他用途审核</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169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市级非国有文物保护单位转让、抵押或者改变用途备案</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170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市级文物保护单位划定保护范围、建设控制地带和确定保护措施审核</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171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市级文物保护单位建设控制地带内建设工程设计方案审批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172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市级文物保护单位修缮审批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173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市内出境游旅行社在市内设立分社及变更备案</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174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市外出境游旅行社在市内设立分社备案</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175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市县级以下文物保护单位的迁移或拆除审批（核报市政府）</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176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外国公民、组织和国际组织参观未开放的文物点和考古发掘现场审批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177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卫星电视广播地面接收设施安装许可审批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178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文物拍卖标的审核</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179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文艺表演团体从事营业性演出活动审批（延续）</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180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文艺表演团体从事营业性演出活动审批（注销）</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181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县级文物保护单位保护范围内其他建设工程或者爆破、钻探、挖掘等作业审批（核报县政府）</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9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182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县级文物保护单位建设控制地带内建设工程设计方案审批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183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县级文物保护单位原址保护措施审批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184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演出经纪机构从事营业性演出经营活动审批（变更）</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185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演出经纪机构从事营业性演出经营活动审批（设立）</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186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演出经纪机构从事营业性演出经营活动审批（延续）</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187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以非卫星传送方式引进境外一般题材影视剧审批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188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艺术品经营单位备案</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189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因城乡建设确需拆除区县级公共文化设施或者改变其功能、用途审核（核报市政府）</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190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引进用于广播电台、电视台播放的境外广播电视节目审批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191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娱乐场所从事娱乐场所经营活动审批（歌舞娱乐）延续</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192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娱乐场所从事娱乐场所经营活动审批（游艺娱乐）设立</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重庆市文化和旅游发展委员会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193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医疗机构执业登记（申请医疗机构执业校验）</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重庆市卫生健康委员会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194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医疗机构执业登记（申请变更诊疗科目）</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重庆市卫生健康委员会</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195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医疗机构执业登记（申请变更法定代表人或主要负责人）</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重庆市卫生健康委员会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196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母婴保健技术服务机构执业许可（医疗机构从事助产技术、结扎手术、终止妊娠手术、婚前医学检查和产前筛查服务）</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重庆市卫生健康委员会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197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未按规定如实提供流动人口信息的处理</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重庆市卫生健康委员会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198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养老机构内部设置医疗机构备案</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重庆市卫生健康委员会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199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医疗机构设置审批（含港澳台）（申请医疗机构设置（不含港澳独资））</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重庆市卫生健康委员会</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医疗机构执业登记（申请变更床位）</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重庆市卫生健康委员会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医疗机构执业登记（申请变更所有制形式）</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重庆市卫生健康委员会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医疗机构执业登记（申请医疗机构变更名称）</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重庆市卫生健康委员会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医疗机构执业登记（申请医疗机构地址搬迁）</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重庆市卫生健康委员会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医疗机构执业登记（申请医疗机构原地址更名）</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重庆市卫生健康委员会</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医疗机构执业登记（申请医疗机构执业登记）</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重庆市卫生健康委员会</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医疗机构执业登记（医疗机构执业许可（二级及以下医疗机构设置审批与执业登记“两证合一”））</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重庆市卫生健康委员会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医疗机构执业登记（医疗机构注销登记）</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重庆市卫生健康委员会</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对在军人抚恤优待、烈士褒扬、退役士兵安置工作中作出显著成绩的单位和个人给予表彰、奖励</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重庆市退役军人事务局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209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烟花爆竹经营（零售）许可证核发</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重庆市应急管理局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210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对生产安全事故的调查</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重庆市应急管理局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211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危险化学品经营许可首次申请</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重庆市应急管理局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212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产品质量违法行为举报奖</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重庆市市场监督管理局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213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举办健身气功活动及设立站点审批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重庆市体育局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214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一般性体育经营项目许可</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重庆市体育局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215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受理统计违法行为举报</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重庆市统计局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216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贫困户动态管理和监测</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重庆市扶贫开发办公室</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217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对举报骗取医保基金行为的奖励</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重庆市医疗保障局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218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基本医疗保险定点医疗机构费用结算</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重庆市医疗保障局</w:t>
            </w:r>
          </w:p>
        </w:tc>
      </w:tr>
      <w:tr>
        <w:tblPrEx>
          <w:tblCellMar>
            <w:top w:w="0" w:type="dxa"/>
            <w:left w:w="108" w:type="dxa"/>
            <w:bottom w:w="0" w:type="dxa"/>
            <w:right w:w="108" w:type="dxa"/>
          </w:tblCellMar>
        </w:tblPrEx>
        <w:trPr>
          <w:trHeight w:val="9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219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补建人防工程和设施审批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重庆市人民防空办公室</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220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对人民防空工程隶属关系发生变更的备案</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重庆市人民防空办公室</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221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对人民防空工程使用权转租或转让的确定</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重庆市人民防空办公室</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222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对人民防空工程租赁使用合同的管理登记</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重庆市人民防空办公室</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223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人防工程改造审批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重庆市人民防空办公室</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224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人防工程和设施拆除、损毁审批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重庆市人民防空办公室</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225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不属于共享输配电网且不需要从输配电价中疏导的其余电网项目核准</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重庆市能源局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226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除在跨省（区、市）河流上建设的水电站项目、市内其他主要河流上建设的水电站项目、非主要河流上联合梯级开发及跨区县（自治县）建设的水电站项目（小水电代燃料和农村电气化项目除外）以外的其余水电站项目核准</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重庆市能源局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227</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建设项目使用林地及在森林和野生动物类型自然保护区建设审批（核）</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重庆市林业局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228</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采集国家二级保护野生植物审批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重庆市林业局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229</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草原防火期内因生产活动需要在草原上野外用火审批</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重庆市林业局</w:t>
            </w:r>
          </w:p>
        </w:tc>
      </w:tr>
      <w:tr>
        <w:tblPrEx>
          <w:tblCellMar>
            <w:top w:w="0" w:type="dxa"/>
            <w:left w:w="108" w:type="dxa"/>
            <w:bottom w:w="0" w:type="dxa"/>
            <w:right w:w="108" w:type="dxa"/>
          </w:tblCellMar>
        </w:tblPrEx>
        <w:trPr>
          <w:trHeight w:val="57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230</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林木种子生产经营许可核发（变更）</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重庆市林业局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231</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林木种子生产经营许可核发（新办）</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重庆市林业局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232</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对授权发明专利的资助</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重庆市知识产权局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233</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公众聚集场所投入使用、营业前消防安全检查</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重庆市消防救援总队</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234</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火灾事故调查</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重庆市消防救援总队</w:t>
            </w:r>
          </w:p>
        </w:tc>
      </w:tr>
      <w:tr>
        <w:tblPrEx>
          <w:tblCellMar>
            <w:top w:w="0" w:type="dxa"/>
            <w:left w:w="108" w:type="dxa"/>
            <w:bottom w:w="0" w:type="dxa"/>
            <w:right w:w="108" w:type="dxa"/>
          </w:tblCellMar>
        </w:tblPrEx>
        <w:trPr>
          <w:trHeight w:val="383"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235</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发票真伪鉴定</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国家税务总局重庆市税务局</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lang w:bidi="ar"/>
              </w:rPr>
              <w:t>236</w:t>
            </w:r>
          </w:p>
        </w:tc>
        <w:tc>
          <w:tcPr>
            <w:tcW w:w="548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解除相关人员关联关系</w:t>
            </w:r>
          </w:p>
        </w:tc>
        <w:tc>
          <w:tcPr>
            <w:tcW w:w="327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color w:val="000000"/>
                <w:kern w:val="0"/>
                <w:sz w:val="22"/>
                <w:szCs w:val="22"/>
                <w:lang w:bidi="ar"/>
              </w:rPr>
              <w:t>国家税务总局重庆市税务局</w:t>
            </w:r>
          </w:p>
        </w:tc>
      </w:tr>
    </w:tbl>
    <w:p>
      <w:pPr>
        <w:adjustRightInd/>
        <w:spacing w:after="0" w:line="240" w:lineRule="auto"/>
        <w:ind w:left="0" w:leftChars="0" w:firstLine="0" w:firstLineChars="0"/>
        <w:jc w:val="left"/>
        <w:textAlignment w:val="auto"/>
        <w:rPr>
          <w:rFonts w:hint="default" w:ascii="Times New Roman" w:hAnsi="Times New Roman" w:eastAsia="宋体" w:cs="Times New Roman"/>
          <w:w w:val="100"/>
          <w:kern w:val="2"/>
          <w:sz w:val="32"/>
          <w:szCs w:val="24"/>
        </w:rPr>
      </w:pPr>
    </w:p>
    <w:p>
      <w:pPr>
        <w:spacing w:line="240" w:lineRule="auto"/>
      </w:pPr>
    </w:p>
    <w:p>
      <w:pPr>
        <w:spacing w:line="240" w:lineRule="auto"/>
      </w:pPr>
    </w:p>
    <w:p>
      <w:pPr>
        <w:pStyle w:val="2"/>
      </w:pPr>
    </w:p>
    <w:p>
      <w:pPr>
        <w:pStyle w:val="3"/>
      </w:pPr>
    </w:p>
    <w:p>
      <w:pPr>
        <w:pStyle w:val="3"/>
      </w:pPr>
    </w:p>
    <w:p>
      <w:pPr>
        <w:pStyle w:val="3"/>
      </w:pPr>
    </w:p>
    <w:p>
      <w:pPr>
        <w:pStyle w:val="3"/>
      </w:pPr>
    </w:p>
    <w:p>
      <w:pPr>
        <w:pStyle w:val="3"/>
      </w:pPr>
    </w:p>
    <w:p>
      <w:pPr>
        <w:pStyle w:val="3"/>
      </w:pPr>
    </w:p>
    <w:p>
      <w:pPr>
        <w:pStyle w:val="3"/>
      </w:pPr>
    </w:p>
    <w:p>
      <w:pPr>
        <w:spacing w:line="540" w:lineRule="exact"/>
      </w:pPr>
    </w:p>
    <w:p>
      <w:pPr>
        <w:pBdr>
          <w:top w:val="single" w:color="auto" w:sz="12" w:space="0"/>
          <w:bottom w:val="single" w:color="auto" w:sz="12" w:space="0"/>
        </w:pBdr>
      </w:pPr>
      <w:r>
        <w:rPr>
          <w:rFonts w:hint="eastAsia" w:ascii="方正仿宋_GBK" w:hAnsi="方正仿宋_GBK" w:eastAsia="方正仿宋_GBK" w:cs="方正仿宋_GBK"/>
          <w:sz w:val="28"/>
          <w:szCs w:val="22"/>
          <w:lang w:val="en-US" w:eastAsia="zh-CN"/>
        </w:rPr>
        <w:t xml:space="preserve">  </w:t>
      </w:r>
      <w:r>
        <w:rPr>
          <w:rFonts w:hint="eastAsia" w:ascii="方正仿宋_GBK" w:hAnsi="方正仿宋_GBK" w:eastAsia="方正仿宋_GBK" w:cs="方正仿宋_GBK"/>
          <w:spacing w:val="-11"/>
          <w:sz w:val="28"/>
          <w:szCs w:val="22"/>
          <w:lang w:val="en-US" w:eastAsia="zh-CN"/>
        </w:rPr>
        <w:t>重庆市优化营商环境工作领导小组办公室</w:t>
      </w:r>
      <w:r>
        <w:rPr>
          <w:rFonts w:hint="eastAsia" w:ascii="方正仿宋_GBK" w:hAnsi="方正仿宋_GBK" w:eastAsia="方正仿宋_GBK" w:cs="方正仿宋_GBK"/>
          <w:sz w:val="28"/>
          <w:szCs w:val="22"/>
          <w:lang w:val="en-US" w:eastAsia="zh-CN"/>
        </w:rPr>
        <w:t xml:space="preserve">         2022年6月8日印发  </w:t>
      </w:r>
    </w:p>
    <w:sectPr>
      <w:pgSz w:w="11906" w:h="16838"/>
      <w:pgMar w:top="1440" w:right="1706" w:bottom="1440" w:left="12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right"/>
                            <w:rPr>
                              <w:rFonts w:hint="eastAsia"/>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jc w:val="right"/>
                      <w:rPr>
                        <w:rFonts w:hint="eastAsia"/>
                        <w:sz w:val="28"/>
                        <w:szCs w:val="28"/>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OTg1NWI0MTJlYWVlYTMzM2U2ZWUxYWNmMGI1ZTEifQ=="/>
  </w:docVars>
  <w:rsids>
    <w:rsidRoot w:val="5F36130B"/>
    <w:rsid w:val="5F361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Body Text First Indent"/>
    <w:basedOn w:val="2"/>
    <w:qFormat/>
    <w:uiPriority w:val="0"/>
    <w:pPr>
      <w:spacing w:line="500" w:lineRule="exact"/>
      <w:ind w:firstLine="420"/>
    </w:pPr>
    <w:rPr>
      <w:rFonts w:ascii="Times New Roman" w:hAnsi="Times New Roman" w:eastAsia="宋体"/>
      <w:sz w:val="28"/>
    </w:rPr>
  </w:style>
  <w:style w:type="paragraph" w:styleId="4">
    <w:name w:val="footer"/>
    <w:basedOn w:val="1"/>
    <w:qFormat/>
    <w:uiPriority w:val="0"/>
    <w:pPr>
      <w:tabs>
        <w:tab w:val="center" w:pos="4153"/>
        <w:tab w:val="right" w:pos="8306"/>
      </w:tabs>
      <w:snapToGrid w:val="0"/>
      <w:jc w:val="left"/>
    </w:pPr>
    <w:rPr>
      <w:sz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2022-11-18T10:08:00Z</dcterms:created>
  <dc:creator>风中火</dc:creator>
  <cp:lastModifiedBy>风中火</cp:lastModifiedBy>
  <dcterms:modified xsi:type="dcterms:W3CDTF">2022-11-18T10:11:08Z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B728DD56BC3C454DAEDE18454FEDE021</vt:lpwstr>
  </property>
</Properties>
</file>