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12500111070304210W</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2020</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重庆市双桥经济技术开发区科技创新与企业服务中心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重庆市双桥经济技术开发区科技创新与企业服务中心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承担科技企业孵化器的推进、承办院校与经开区的合作事宜，履行生产要素的协调管理等相关事务性工作。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重庆市双桥经开区双龙西路106号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何超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5</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重庆市大足区科学技术局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sz w:val="32"/>
                <w:szCs w:val="24"/>
                <w:bdr w:val="none" w:color="auto" w:sz="0" w:space="0"/>
                <w:lang w:val="en-US"/>
              </w:rPr>
              <w:t>6.3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 xml:space="preserve">2020年4月17日,宗旨和业务范围的变更:由推进科技创新，为经开区外来投资企业提供服务。负责科技企业孵化器的推进工作；负责承办院校与经开区的合作事宜；履行生产要素的协调管理；负责双桥经开区对外招商项目基础工作，建立完善招商引资项目库，投资外商客户库。负责搭建客商与双桥经开区的合作交流平台，宣传推介双桥经开区对外开放环境。变更为：承担科技企业孵化器的推进、承办院校与经开区的合作事宜，履行生产要素的协调管理等相关事务性工作。 名称的变更：由重庆市双桥经开区科技创新与企业服务中心，变更为：重庆市双桥经济技术开发区科技创新与企业服务中心。 法定代表人的变更：由罗彬，变更为何超。 举办单位的变更：由重庆市大足区科学技术委员会，变更为：重庆市大足区科学技术局。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2020年度，双桥经济技术开发区科技创新与企业服务中心在双桥经开区经济发展局的领导下，认真贯彻《事业单位登记管理暂行条例》和有关法律、法规、政策，按照核准登记登记的业务范围开展活动，主要做了以下几个方面</w:t>
            </w:r>
            <w:r>
              <w:rPr>
                <w:rStyle w:val="20"/>
                <w:rFonts w:hint="eastAsia" w:ascii="楷体_GB2312" w:eastAsia="楷体_GB2312" w:cs="楷体_GB2312"/>
                <w:sz w:val="28"/>
                <w:szCs w:val="24"/>
                <w:bdr w:val="none" w:color="auto" w:sz="0" w:space="0"/>
                <w:lang w:val="en-US" w:eastAsia="zh-CN"/>
              </w:rPr>
              <w:t>的</w:t>
            </w:r>
            <w:r>
              <w:rPr>
                <w:rStyle w:val="20"/>
                <w:rFonts w:hint="eastAsia" w:ascii="楷体_GB2312" w:eastAsia="楷体_GB2312" w:cs="楷体_GB2312"/>
                <w:sz w:val="28"/>
                <w:szCs w:val="24"/>
                <w:bdr w:val="none" w:color="auto" w:sz="0" w:space="0"/>
                <w:lang w:val="en-US"/>
              </w:rPr>
              <w:t xml:space="preserve">工作。 一、金融支持疫情防控方面 1.做好政策宣贯。结合疫情防控实际，采取线上广泛通知和线下督导走访相结合的形式做好政策宣传，共计发放《重庆市支持企业复工复产和生产经营若干政策措施宣传手册》1000余本。疫情得到有效控制后，联合人社、税务、银行、保险等部门单位，举行应对新冠肺炎疫情支持中小企业发展政策宣贯会，为40余家企业宣传解读市、区对疫情防控、税收、社保、用工、贷款等方面的优惠支持政策，进一步提高了政策的普及率。 2.及时跟进需求。安排专人与军通、双桥正大等疫情防控期间需重点保障的企业和重汽专用车、巨腾、双专等经开区重点产业支撑企业进行专项联系，动态掌握企业信贷需求和复工复产情况，确保经开区重点企业生产经营活动有序恢复。疫情期间，向区经信委推送63家企业共计信贷需求21.4亿元，帮助50余家企业获贷4.9亿元。 3.优化信贷结构。结合经开区企业反映普遍的“信用贷款产品较少”诉求，牵头修订《重庆市双桥经开区“投保贷”管理办法》（双桥经开办发﹝2015﹞43号），形成了《重庆市双桥经开区“银政通”管理办法》；同时起草了《双桥经开区“小微担”管理办法》，进一步解决了小微企业和无充足抵押物企业融资难问题。 二、推动科技创新方面 1.积极培育创新主体。举办培训会、座谈会、交流会，为企业解读研发投入、高企申报、科技成果转化等科技扶持政策，帮助企业吃透文件精神，进一步提高企业科技创新能动性。今年来，经开区新增高新技术企业17家，科技型企业入库104家。 2.全力配合国高创建。响应国高创建办号召，抽调1名工作人员前往国高创建办专职开展国家级高新区创建工作，配合做好大足高新拓展面积、通过国家高新区市级评审论证等工作。 3.创新研发指导形式。主动对接企业，开展一对一走访，帮助企业吃透文件精神，提升企业研发投入归集意识；寻求专业指导，邀请专家为部分规上企业开展统计指导，帮助企业财务人员掌握研发费用归集及辅助账建立的方式方法，现已为10余家企业提供研发投入指导服务。目前，规上企业研发投入申报量达6.3亿元。 三、存在的不足及2021年打算 回顾2020年工作，还存在服务企业深度不够、方法不多等不足，接下来，将在2021年工作中加以重视并解决： 1.配合区科技局开展科技企业成长工程，持续开展走访调研，筛选有条件企业进行培育，力争新入库科技型企业80家、新培育高新技术企业10家。 2.配合大足区高新区完成智慧园区管理平台数据迁入、设施设备部署等工作，同时做好智慧园区服务平台规划及初期建设。 3.继续发挥好桥梁作用，帮助企业与金融机构对接交流，切实解决企业融资难的问题。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5"/>
          <w:rFonts w:hint="eastAsia" w:ascii="楷体_GB2312" w:eastAsia="楷体_GB2312" w:cs="楷体_GB2312"/>
          <w:sz w:val="28"/>
          <w:szCs w:val="28"/>
          <w:lang w:val="en-US"/>
        </w:rPr>
        <w:t>郑海波</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5"/>
          <w:rFonts w:hint="eastAsia" w:ascii="楷体_GB2312" w:eastAsia="楷体_GB2312" w:cs="楷体_GB2312"/>
          <w:sz w:val="28"/>
          <w:szCs w:val="28"/>
          <w:lang w:val="en-US"/>
        </w:rPr>
        <w:t xml:space="preserve">15123510356  </w:t>
      </w:r>
      <w:r>
        <w:rPr>
          <w:rFonts w:hint="eastAsia" w:ascii="楷体_GB2312" w:eastAsia="楷体_GB2312" w:cs="楷体_GB2312"/>
          <w:b/>
          <w:bCs/>
          <w:sz w:val="28"/>
          <w:szCs w:val="28"/>
          <w:lang w:eastAsia="zh-CN"/>
        </w:rPr>
        <w:t>报送日期：</w:t>
      </w:r>
      <w:r>
        <w:rPr>
          <w:rStyle w:val="15"/>
          <w:rFonts w:hint="eastAsia" w:ascii="楷体_GB2312" w:eastAsia="楷体_GB2312" w:cs="楷体_GB2312"/>
          <w:b/>
          <w:bCs/>
          <w:sz w:val="28"/>
          <w:szCs w:val="28"/>
          <w:lang w:val="en-US"/>
        </w:rPr>
        <w:t>2021年03月30日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6FF" w:usb1="420024FF" w:usb2="02000000" w:usb3="00000000" w:csb0="2000019F" w:csb1="00000000"/>
  </w:font>
  <w:font w:name="楷体_GB2312">
    <w:altName w:val="楷体"/>
    <w:panose1 w:val="02010609030101010101"/>
    <w:charset w:val="86"/>
    <w:family w:val="auto"/>
    <w:pitch w:val="fixed"/>
    <w:sig w:usb0="00000001" w:usb1="080E0000" w:usb2="00000010" w:usb3="00000000" w:csb0="00040000" w:csb1="00000000"/>
  </w:font>
  <w:font w:name="@楷体_GB2312">
    <w:altName w:val="宋体"/>
    <w:panose1 w:val="02010609030101010101"/>
    <w:charset w:val="86"/>
    <w:family w:val="auto"/>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00000000"/>
    <w:rsid w:val="47ED3305"/>
    <w:rsid w:val="59E00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1830</Words>
  <Characters>1919</Characters>
  <Lines>4</Lines>
  <Paragraphs>1</Paragraphs>
  <TotalTime>1</TotalTime>
  <ScaleCrop>false</ScaleCrop>
  <LinksUpToDate>false</LinksUpToDate>
  <CharactersWithSpaces>1972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Lucy</cp:lastModifiedBy>
  <dcterms:modified xsi:type="dcterms:W3CDTF">2023-07-10T03:40:15Z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6C42A1D562B3480BB8DE5BE22E6AD967_13</vt:lpwstr>
  </property>
</Properties>
</file>