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3639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中共</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重庆市大足区雍溪镇</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委员会</w:t>
      </w:r>
    </w:p>
    <w:p w14:paraId="02948DD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重庆市大足区雍溪镇人民政府</w:t>
      </w:r>
    </w:p>
    <w:p w14:paraId="457CBB2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关于2023年法治政府建设情况的报告</w:t>
      </w:r>
    </w:p>
    <w:p w14:paraId="0A90F62A">
      <w:pPr>
        <w:pStyle w:val="2"/>
        <w:keepNext w:val="0"/>
        <w:keepLines w:val="0"/>
        <w:pageBreakBefore w:val="0"/>
        <w:widowControl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p>
    <w:p w14:paraId="3AC0AF0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2023年，雍溪镇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坚持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以习近平新时代中国特色社会主义思想为指导，深学笃用习近平法治思想，在区委、区政府和镇党委的坚强领导下，法治建设取得新成效。现将有关情况报告如下：</w:t>
      </w:r>
    </w:p>
    <w:p w14:paraId="35DF538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一、推进法治政府建设的主要举措及成效</w:t>
      </w:r>
    </w:p>
    <w:p w14:paraId="11910AF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（一）加强理论学习，依法治镇有方向</w:t>
      </w:r>
    </w:p>
    <w:p w14:paraId="4E3682E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一是</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紧抓领导干部这个“关键少数”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。将党的二十大精神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习近平法治思想和重要讲话精神作为雍溪镇党委理论学习中心组重点内容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开展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专题学习，在尊法学法守法用法方面发挥带头作用。二是将习近平法治思想纳入全镇干部教育培训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重要学习内容。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组织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题培训会，邀请专家集中授课、镇领导班子成员开展法治讲堂，实现对全镇机关干部、8个村（社区）“两委”干部法治教育全覆盖，用生动的案例以案释法，提升干部法治意识和法律素养。三是建立学法长效机制。制定年度学法、普法计划，通过集中学法、学法考试、执法人员法治培训等多种形式，提高干部学法用法水平，不断增强干部依法办事的意识和能力。</w:t>
      </w:r>
    </w:p>
    <w:p w14:paraId="0EF0301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（二）强化权力约束，确保政府职能高效运行</w:t>
      </w:r>
    </w:p>
    <w:p w14:paraId="109FD44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一是认真贯彻好民主集中制。建立雍溪镇重大事项集体议事制度，坚持重大</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事项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决策、重要干部任免、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重大项目投资决策、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大额</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金使用等重要事项通过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体讨论研究决定，确保重大事项决策的民主性、科学性，坚决防止“一言堂”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二是自觉接受党内监督、人大监督</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、法律监督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和社会监督。积极转变工作作风，通过领导接访、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干部下访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收集群众意见建议，及时回应群众关切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问题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，提高工作水平和办事效率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三是积极推进政务公开。紧紧围绕经济社会发展和人民群众关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关切的重点工作，通过公示公开栏、官方网站等平台及时发布工作动态、政务公开、惠民政策等内容，加大政务公开力度。</w:t>
      </w:r>
    </w:p>
    <w:p w14:paraId="0F86B4C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（三）坚持依法行政，社会治理效能进一步凸显</w:t>
      </w:r>
    </w:p>
    <w:p w14:paraId="1D8792E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1.狠抓执法队伍建设和规范执法。一是强化行政执法能力提升。邀请专业老师对全镇有行政执法职能的科室负责人及执法人员进行培训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，参与法治培训人数达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120</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。针对行政执法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本原则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、执法程序、文书制作、文明执法等方面进行讲解，进一步提升行政执法人员业务水平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二是加强执法人员队伍建设。组织新进工作人员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参加行政执法培训、通过行政执法考核，持证上岗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，进一步壮大执法队伍，2023年新申报行政执法培训考试人员8人。</w:t>
      </w:r>
    </w:p>
    <w:p w14:paraId="69436FA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搭建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沟通桥梁，助力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矛盾纠纷化解。畅通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矛盾上报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“三条”渠道，搭建微信群“直接报”、网格员“排查报”、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公开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电话“实时报。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进一步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基层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治理精细化</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坚持镇每半月、村每周矛盾纠纷排查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机制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积极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听取群众意见和建议，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发现矛盾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、调处矛盾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，全镇各职能办公室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主动介入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抓早抓小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14:paraId="36DC54D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3.普法工作走深走实。</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是坚持谁执法谁普法。镇建设办、交通办</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应急办、环保办等执法科室利用建筑安全巡查、烟花爆竹检查、环境保护等日常检查时，通过发放行业法规宣传单、现场讲法等方式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开展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相关法律法规的宣传教育，扎实提升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服务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对象的法律法规意识，自觉加入到知法、守法、敬法行列。2023年，全镇共出动执法人员400余人次，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约2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000余人次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受到相关法律宣传；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加强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宪法学习。持续深入开展宪法宣传活动，结合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三月法治宣传月、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5”世界环境日、“6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25”全国土地日、“6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26”国际禁毒日、“9</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10”教师节、“12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bookmarkStart w:id="0" w:name="_GoBack"/>
      <w:bookmarkEnd w:id="0"/>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4”国家宪法日等开展集中宣传活动，在全社会树立尊崇宪法、学习宪法、遵守宪法、维护宪法、运用宪法的法治意识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是深入推进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“八五”普法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扎实开展“法律六进”活动，督促辖区40名“法律明白人”履职尽责。2023年，在主要街道、路口悬挂普法宣传横幅、制作法治宣传标语100余条，设立法治宣传栏20余块，向广大群众发放宣传手册，发放各类宣传资料5000余份。进校讲法10余次。送法进企业，举办法律知识讲座10余次。组织全体机关干部参加法治理论知识学习考试，全部通过考核，3名干部参</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抽考全部合格。</w:t>
      </w:r>
    </w:p>
    <w:p w14:paraId="2BEF5489">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二、党政主要负责人履行推进法治建设第一责任人职责情况</w:t>
      </w:r>
    </w:p>
    <w:p w14:paraId="183B3DFD">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t>（一）把牢第一责任</w:t>
      </w:r>
    </w:p>
    <w:p w14:paraId="2884F41B">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党政主要负责人共推法治建设，</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全面贯彻落实中央《党政主要负责人履行推进法治建设第一责任人职责规定》，坚持法治建设亲自抓、亲自问，</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充分发挥镇党委政府推进法治建设中的领导核心作用，</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始终将法治建设排在全镇工作的突出位置，履行法治建设第一责任人职责</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w:t>
      </w:r>
    </w:p>
    <w:p w14:paraId="08009CD8">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t>（二）健全工作机制</w:t>
      </w:r>
    </w:p>
    <w:p w14:paraId="75C8648A">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将法治建设工作纳入党政办公会重要议事议程，研究解决重点事项，</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定期听取法治</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建设工作推进情况</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，把法治建设工作与全镇中心工作同谋划、同部署、同落实、同检查</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w:t>
      </w:r>
    </w:p>
    <w:p w14:paraId="694A775A">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t>（三）压实工作责任</w:t>
      </w:r>
    </w:p>
    <w:p w14:paraId="583077C9">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落实领导干部学法制度，</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发挥</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领导干部表率作用</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进一步落实“谁执法谁普法”责任制，严格落实依法行政、依法办事要求，</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扎实</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推动全镇法治建设工作。进一步完善考评制度，把推进法治建设工作纳入</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全镇</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经济社会发展总体规划，</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并纳入年终考核的重要依据，严格考评。</w:t>
      </w:r>
    </w:p>
    <w:p w14:paraId="4AE28517">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snapToGrid/>
          <w:color w:val="000000" w:themeColor="text1"/>
          <w:kern w:val="2"/>
          <w:sz w:val="32"/>
          <w:szCs w:val="32"/>
          <w:lang w:val="en-US" w:eastAsia="zh-CN" w:bidi="ar-SA"/>
          <w14:textFill>
            <w14:solidFill>
              <w14:schemeClr w14:val="tx1"/>
            </w14:solidFill>
          </w14:textFill>
        </w:rPr>
        <w:t>三、存在的问题及2024年工作思路目标举措</w:t>
      </w:r>
    </w:p>
    <w:p w14:paraId="3E44F1D7">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虽然我镇在法治建设工作中虽然取得了一定成效，</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但还存在</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一定差距：一是普法形式较为传统，</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创新不足</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，群众参与度不高；二是镇村干部的法律素养参差不齐，依法行政的观念、能力和水平亟待进一步提高。2024年，雍溪</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镇</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将继续深学笃用习近平法治思想，进一步提升法治意识。</w:t>
      </w:r>
    </w:p>
    <w:p w14:paraId="027807C5">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t>（一）深化普法教育，狠抓法治队伍建设</w:t>
      </w:r>
    </w:p>
    <w:p w14:paraId="6B16A8BA">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持续深入抓好领导干部学法用法，不断提高依法行政能力，强化法治观念、法律素质培训，努力提高</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全镇</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干部依法办事能力。</w:t>
      </w:r>
    </w:p>
    <w:p w14:paraId="3F6226F6">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t>（二）</w:t>
      </w:r>
      <w:r>
        <w:rPr>
          <w:rFonts w:hint="default"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t>创新普法形式，加强普法宣传教育</w:t>
      </w:r>
    </w:p>
    <w:p w14:paraId="11DD2351">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持续深化“八五”普法工作，加强普法队伍建设，探索灵活多样、通俗易懂的宣传形式，大力宣传法律知识，让群众能够知法、学法、尊法、用法，增强保护自己合法权益的意识。</w:t>
      </w:r>
    </w:p>
    <w:p w14:paraId="4FB65F51">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t>（三）</w:t>
      </w:r>
      <w:r>
        <w:rPr>
          <w:rFonts w:hint="default" w:ascii="方正楷体_GBK" w:hAnsi="方正楷体_GBK" w:eastAsia="方正楷体_GBK" w:cs="方正楷体_GBK"/>
          <w:snapToGrid/>
          <w:color w:val="000000" w:themeColor="text1"/>
          <w:kern w:val="2"/>
          <w:sz w:val="32"/>
          <w:szCs w:val="32"/>
          <w:lang w:val="en-US" w:eastAsia="zh-CN" w:bidi="ar-SA"/>
          <w14:textFill>
            <w14:solidFill>
              <w14:schemeClr w14:val="tx1"/>
            </w14:solidFill>
          </w14:textFill>
        </w:rPr>
        <w:t>建强执法队伍，提升依法行政水平</w:t>
      </w:r>
    </w:p>
    <w:p w14:paraId="55F558AE">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制定干部学法制度，严格执法队伍管理和培训，加强</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干部</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法治教育，努力提高干部法律素质和依法办事能力</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牢固树立法律权威至上、法律大于权力、权力服从法律的观念，在经济社会发展、矛盾纠纷</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调处</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时，善于运用法律手段解决问题。</w:t>
      </w:r>
    </w:p>
    <w:p w14:paraId="5CEC89B0">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p>
    <w:p w14:paraId="5801853F">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p>
    <w:p w14:paraId="4A3DBA52">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4838" w:firstLineChars="1512"/>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重庆市大足区雍溪镇委员会</w:t>
      </w:r>
    </w:p>
    <w:p w14:paraId="3D21A851">
      <w:pPr>
        <w:pStyle w:val="2"/>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 xml:space="preserve">                        重庆市大足区雍溪镇人民政府 </w:t>
      </w:r>
    </w:p>
    <w:p w14:paraId="05937745">
      <w:pPr>
        <w:pStyle w:val="2"/>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2024年1月</w:t>
      </w:r>
      <w:r>
        <w:rPr>
          <w:rFonts w:hint="eastAsia"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30</w:t>
      </w:r>
      <w:r>
        <w:rPr>
          <w:rFonts w:hint="default" w:ascii="Times New Roman" w:hAnsi="Times New Roman" w:eastAsia="方正仿宋_GBK" w:cs="Times New Roman"/>
          <w:snapToGrid/>
          <w:color w:val="000000" w:themeColor="text1"/>
          <w:kern w:val="2"/>
          <w:sz w:val="32"/>
          <w:szCs w:val="32"/>
          <w:lang w:val="en-US" w:eastAsia="zh-CN" w:bidi="ar-SA"/>
          <w14:textFill>
            <w14:solidFill>
              <w14:schemeClr w14:val="tx1"/>
            </w14:solidFill>
          </w14:textFill>
        </w:rPr>
        <w:t xml:space="preserve">日      </w:t>
      </w:r>
    </w:p>
    <w:p w14:paraId="0F56E2FD">
      <w:pPr>
        <w:keepNext w:val="0"/>
        <w:keepLines w:val="0"/>
        <w:pageBreakBefore w:val="0"/>
        <w:widowControl w:val="0"/>
        <w:kinsoku/>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ODk5ZTYwMjQ1NDRiZDRiZWFkYTM1Njc2NjA3M2MifQ=="/>
  </w:docVars>
  <w:rsids>
    <w:rsidRoot w:val="68F04EE1"/>
    <w:rsid w:val="0D251429"/>
    <w:rsid w:val="0FF972F9"/>
    <w:rsid w:val="17233A58"/>
    <w:rsid w:val="1D4418BE"/>
    <w:rsid w:val="222F54A5"/>
    <w:rsid w:val="22C801ED"/>
    <w:rsid w:val="2B8E49FA"/>
    <w:rsid w:val="2BA66E8C"/>
    <w:rsid w:val="2D4D4B64"/>
    <w:rsid w:val="30647B8D"/>
    <w:rsid w:val="32AE6CE1"/>
    <w:rsid w:val="346A286F"/>
    <w:rsid w:val="34D963A2"/>
    <w:rsid w:val="35AB7349"/>
    <w:rsid w:val="362689CA"/>
    <w:rsid w:val="52C26F87"/>
    <w:rsid w:val="560C7786"/>
    <w:rsid w:val="5FEA23D5"/>
    <w:rsid w:val="669234B1"/>
    <w:rsid w:val="68827053"/>
    <w:rsid w:val="68F04EE1"/>
    <w:rsid w:val="6D147CDB"/>
    <w:rsid w:val="72182756"/>
    <w:rsid w:val="7B233FF5"/>
    <w:rsid w:val="7FFE2891"/>
    <w:rsid w:val="FDFB4062"/>
    <w:rsid w:val="FEEE0D9E"/>
    <w:rsid w:val="FF9B8F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rPr>
      <w:snapToGrid w:val="0"/>
      <w:kern w:val="0"/>
      <w:sz w:val="28"/>
    </w:rPr>
  </w:style>
  <w:style w:type="paragraph" w:styleId="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autoRedefine/>
    <w:qFormat/>
    <w:uiPriority w:val="0"/>
    <w:pPr>
      <w:widowControl/>
      <w:spacing w:before="100" w:beforeAutospacing="1" w:after="100" w:afterAutospacing="1" w:line="225" w:lineRule="atLeast"/>
      <w:jc w:val="left"/>
    </w:pPr>
    <w:rPr>
      <w:rFonts w:ascii="宋体" w:hAnsi="宋体"/>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2350</Words>
  <Characters>2418</Characters>
  <Lines>0</Lines>
  <Paragraphs>0</Paragraphs>
  <TotalTime>1539</TotalTime>
  <ScaleCrop>false</ScaleCrop>
  <LinksUpToDate>false</LinksUpToDate>
  <CharactersWithSpaces>2449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2024-01-19T10:05:00Z</dcterms:created>
  <dc:creator>浅浅的</dc:creator>
  <cp:lastModifiedBy>Administrator</cp:lastModifiedBy>
  <cp:lastPrinted>2024-01-30T01:11:00Z</cp:lastPrinted>
  <dcterms:modified xsi:type="dcterms:W3CDTF">2024-12-24T06:25:13Z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6D33E2B0910A40E486816E9853CDE33F_11</vt:lpwstr>
  </property>
</Properties>
</file>