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lang w:val="en-US" w:eastAsia="zh-CN"/>
        </w:rPr>
        <w:t>重庆市大足区行政服务中心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2022年度部门决算情况说明</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color w:val="auto"/>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重庆市大足区</w:t>
      </w:r>
      <w:r>
        <w:rPr>
          <w:rFonts w:hint="default" w:ascii="Times New Roman" w:hAnsi="Times New Roman" w:eastAsia="方正仿宋_GBK" w:cs="Times New Roman"/>
          <w:color w:val="auto"/>
          <w:sz w:val="32"/>
          <w:szCs w:val="32"/>
          <w:lang w:eastAsia="zh-CN"/>
        </w:rPr>
        <w:t>行政服务中心</w:t>
      </w:r>
      <w:r>
        <w:rPr>
          <w:rFonts w:hint="default" w:ascii="Times New Roman" w:hAnsi="Times New Roman" w:eastAsia="方正仿宋_GBK" w:cs="Times New Roman"/>
          <w:color w:val="auto"/>
          <w:sz w:val="32"/>
          <w:szCs w:val="32"/>
        </w:rPr>
        <w:t>承担全区电子政务建设和政务服务平台管理相关辅助性、事务性、技术性等具体工作。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楷体_GBK" w:cs="Times New Roman"/>
          <w:color w:val="auto"/>
          <w:sz w:val="32"/>
          <w:szCs w:val="32"/>
          <w:lang w:val="en-US" w:eastAsia="zh-CN"/>
        </w:rPr>
        <w:t>1.</w:t>
      </w:r>
      <w:r>
        <w:rPr>
          <w:rFonts w:hint="default" w:ascii="Times New Roman" w:hAnsi="Times New Roman" w:eastAsia="方正仿宋_GBK" w:cs="Times New Roman"/>
          <w:color w:val="auto"/>
          <w:sz w:val="32"/>
          <w:szCs w:val="32"/>
        </w:rPr>
        <w:t>指导进驻单位为群众和企事业单位提供方便快捷的服务，为进驻中心单位顺利开展工作搞好协调和服务</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color w:val="auto"/>
          <w:sz w:val="32"/>
          <w:szCs w:val="32"/>
          <w:lang w:val="en-US" w:eastAsia="zh-CN"/>
        </w:rPr>
        <w:t>2.</w:t>
      </w:r>
      <w:r>
        <w:rPr>
          <w:rFonts w:hint="default" w:ascii="Times New Roman" w:hAnsi="Times New Roman" w:eastAsia="方正仿宋_GBK" w:cs="Times New Roman"/>
          <w:color w:val="auto"/>
          <w:sz w:val="32"/>
          <w:szCs w:val="32"/>
        </w:rPr>
        <w:t>为群众提供现场咨询、办事引导、表格填写、查询服务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特殊群体的审批代办等服务；</w:t>
      </w:r>
      <w:r>
        <w:rPr>
          <w:rFonts w:hint="default" w:ascii="Times New Roman" w:hAnsi="Times New Roman" w:eastAsia="方正仿宋_GBK" w:cs="Times New Roman"/>
          <w:color w:val="auto"/>
          <w:sz w:val="32"/>
          <w:szCs w:val="32"/>
          <w:lang w:eastAsia="zh-CN"/>
        </w:rPr>
        <w:t>协助相关中心为</w:t>
      </w:r>
      <w:r>
        <w:rPr>
          <w:rFonts w:hint="default" w:ascii="Times New Roman" w:hAnsi="Times New Roman" w:eastAsia="方正仿宋_GBK" w:cs="Times New Roman"/>
          <w:color w:val="auto"/>
          <w:sz w:val="32"/>
          <w:szCs w:val="32"/>
        </w:rPr>
        <w:t>重大外来投资项目及外来商客</w:t>
      </w:r>
      <w:r>
        <w:rPr>
          <w:rFonts w:hint="default" w:ascii="Times New Roman" w:hAnsi="Times New Roman" w:eastAsia="方正仿宋_GBK" w:cs="Times New Roman"/>
          <w:color w:val="auto"/>
          <w:sz w:val="32"/>
          <w:szCs w:val="32"/>
          <w:lang w:eastAsia="zh-CN"/>
        </w:rPr>
        <w:t>提供行政</w:t>
      </w:r>
      <w:r>
        <w:rPr>
          <w:rFonts w:hint="default" w:ascii="Times New Roman" w:hAnsi="Times New Roman" w:eastAsia="方正仿宋_GBK" w:cs="Times New Roman"/>
          <w:color w:val="auto"/>
          <w:sz w:val="32"/>
          <w:szCs w:val="32"/>
        </w:rPr>
        <w:t>审批</w:t>
      </w:r>
      <w:r>
        <w:rPr>
          <w:rFonts w:hint="default" w:ascii="Times New Roman" w:hAnsi="Times New Roman" w:eastAsia="方正仿宋_GBK" w:cs="Times New Roman"/>
          <w:color w:val="auto"/>
          <w:sz w:val="32"/>
          <w:szCs w:val="32"/>
          <w:lang w:eastAsia="zh-CN"/>
        </w:rPr>
        <w:t>及其他政务服务事项的代理服务。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楷体_GBK" w:cs="Times New Roman"/>
          <w:color w:val="auto"/>
          <w:sz w:val="32"/>
          <w:szCs w:val="32"/>
          <w:lang w:val="en-US" w:eastAsia="zh-CN"/>
        </w:rPr>
        <w:t>3.</w:t>
      </w:r>
      <w:r>
        <w:rPr>
          <w:rFonts w:hint="default" w:ascii="Times New Roman" w:hAnsi="Times New Roman" w:eastAsia="方正仿宋_GBK" w:cs="Times New Roman"/>
          <w:color w:val="auto"/>
          <w:sz w:val="32"/>
          <w:szCs w:val="32"/>
        </w:rPr>
        <w:t>协调处理大厅办事群众的矛盾纠纷，维护大厅正常办公秩序</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color w:val="auto"/>
          <w:sz w:val="32"/>
          <w:szCs w:val="32"/>
          <w:lang w:val="en-US" w:eastAsia="zh-CN"/>
        </w:rPr>
        <w:t>4.</w:t>
      </w:r>
      <w:r>
        <w:rPr>
          <w:rFonts w:hint="default" w:ascii="Times New Roman" w:hAnsi="Times New Roman" w:eastAsia="方正仿宋_GBK" w:cs="Times New Roman"/>
          <w:color w:val="auto"/>
          <w:sz w:val="32"/>
          <w:szCs w:val="32"/>
        </w:rPr>
        <w:t>承担大厅各类数据的收集整理、满意度调查、办件回访及办件统计分析工作，加强与群众和企事业单位的沟通和信息交流，为政务服务管理办提出</w:t>
      </w:r>
      <w:r>
        <w:rPr>
          <w:rFonts w:hint="default" w:ascii="Times New Roman" w:hAnsi="Times New Roman" w:eastAsia="方正仿宋_GBK" w:cs="Times New Roman"/>
          <w:color w:val="auto"/>
          <w:sz w:val="32"/>
          <w:szCs w:val="32"/>
          <w:lang w:eastAsia="zh-CN"/>
        </w:rPr>
        <w:t>决策</w:t>
      </w:r>
      <w:r>
        <w:rPr>
          <w:rFonts w:hint="default" w:ascii="Times New Roman" w:hAnsi="Times New Roman" w:eastAsia="方正仿宋_GBK" w:cs="Times New Roman"/>
          <w:color w:val="auto"/>
          <w:sz w:val="32"/>
          <w:szCs w:val="32"/>
          <w:lang w:val="en-US" w:eastAsia="zh-CN"/>
        </w:rPr>
        <w:t>建议</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楷体_GBK" w:cs="Times New Roman"/>
          <w:color w:val="auto"/>
          <w:sz w:val="32"/>
          <w:szCs w:val="32"/>
          <w:lang w:val="en-US" w:eastAsia="zh-CN"/>
        </w:rPr>
        <w:t>5.</w:t>
      </w:r>
      <w:r>
        <w:rPr>
          <w:rFonts w:hint="default" w:ascii="Times New Roman" w:hAnsi="Times New Roman" w:eastAsia="方正仿宋_GBK" w:cs="Times New Roman"/>
          <w:color w:val="auto"/>
          <w:sz w:val="32"/>
          <w:szCs w:val="32"/>
        </w:rPr>
        <w:t>协助物业公司</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区中心和双桥分中心安保、保洁、电气设备、会议室管理等后勤保障工作</w:t>
      </w:r>
      <w:r>
        <w:rPr>
          <w:rFonts w:hint="default" w:ascii="Times New Roman" w:hAnsi="Times New Roman" w:eastAsia="方正仿宋_GBK" w:cs="Times New Roman"/>
          <w:color w:val="auto"/>
          <w:sz w:val="32"/>
          <w:szCs w:val="32"/>
          <w:lang w:eastAsia="zh-CN"/>
        </w:rPr>
        <w:t>；承担</w:t>
      </w:r>
      <w:r>
        <w:rPr>
          <w:rFonts w:hint="default" w:ascii="Times New Roman" w:hAnsi="Times New Roman" w:eastAsia="方正仿宋_GBK" w:cs="Times New Roman"/>
          <w:color w:val="auto"/>
          <w:sz w:val="32"/>
          <w:szCs w:val="32"/>
        </w:rPr>
        <w:t>区中心和双桥分中心信息发布</w:t>
      </w:r>
      <w:r>
        <w:rPr>
          <w:rFonts w:hint="default" w:ascii="Times New Roman" w:hAnsi="Times New Roman" w:eastAsia="方正仿宋_GBK" w:cs="Times New Roman"/>
          <w:color w:val="auto"/>
          <w:sz w:val="32"/>
          <w:szCs w:val="32"/>
          <w:lang w:eastAsia="zh-CN"/>
        </w:rPr>
        <w:t>的具体事务；开展保障</w:t>
      </w:r>
      <w:r>
        <w:rPr>
          <w:rFonts w:hint="default" w:ascii="Times New Roman" w:hAnsi="Times New Roman" w:eastAsia="方正仿宋_GBK" w:cs="Times New Roman"/>
          <w:color w:val="auto"/>
          <w:sz w:val="32"/>
          <w:szCs w:val="32"/>
        </w:rPr>
        <w:t>信息发布系统和设施设备正常运行</w:t>
      </w:r>
      <w:r>
        <w:rPr>
          <w:rFonts w:hint="default" w:ascii="Times New Roman" w:hAnsi="Times New Roman" w:eastAsia="方正仿宋_GBK" w:cs="Times New Roman"/>
          <w:color w:val="auto"/>
          <w:sz w:val="32"/>
          <w:szCs w:val="32"/>
          <w:lang w:eastAsia="zh-CN"/>
        </w:rPr>
        <w:t>的技术性工作；承担窗口工作人员</w:t>
      </w:r>
      <w:r>
        <w:rPr>
          <w:rFonts w:hint="default" w:ascii="Times New Roman" w:hAnsi="Times New Roman" w:eastAsia="方正仿宋_GBK" w:cs="Times New Roman"/>
          <w:color w:val="auto"/>
          <w:sz w:val="32"/>
          <w:szCs w:val="32"/>
        </w:rPr>
        <w:t>的调整</w:t>
      </w:r>
      <w:r>
        <w:rPr>
          <w:rFonts w:hint="default" w:ascii="Times New Roman" w:hAnsi="Times New Roman" w:eastAsia="方正仿宋_GBK" w:cs="Times New Roman"/>
          <w:color w:val="auto"/>
          <w:sz w:val="32"/>
          <w:szCs w:val="32"/>
          <w:lang w:eastAsia="zh-CN"/>
        </w:rPr>
        <w:t>；开展</w:t>
      </w:r>
      <w:r>
        <w:rPr>
          <w:rFonts w:hint="default" w:ascii="Times New Roman" w:hAnsi="Times New Roman" w:eastAsia="方正仿宋_GBK" w:cs="Times New Roman"/>
          <w:color w:val="auto"/>
          <w:sz w:val="32"/>
          <w:szCs w:val="32"/>
        </w:rPr>
        <w:t>服务岗位人员礼仪培训等工作</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楷体_GBK" w:cs="Times New Roman"/>
          <w:color w:val="auto"/>
          <w:sz w:val="32"/>
          <w:szCs w:val="32"/>
          <w:lang w:val="en-US" w:eastAsia="zh-CN"/>
        </w:rPr>
        <w:t>6.</w:t>
      </w:r>
      <w:r>
        <w:rPr>
          <w:rFonts w:hint="default" w:ascii="Times New Roman" w:hAnsi="Times New Roman" w:eastAsia="方正仿宋_GBK" w:cs="Times New Roman"/>
          <w:color w:val="auto"/>
          <w:sz w:val="32"/>
          <w:szCs w:val="32"/>
        </w:rPr>
        <w:t>具体承接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全渝通办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渝快办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等网上办事平台应用；收集、回复市级网审平台群众的咨询建议，接受预约服务、安排上门服务等工作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收集、归档和保存电子平台的相关信息、数据</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楷体_GBK" w:cs="Times New Roman"/>
          <w:color w:val="auto"/>
          <w:sz w:val="32"/>
          <w:szCs w:val="32"/>
          <w:lang w:val="en-US" w:eastAsia="zh-CN"/>
        </w:rPr>
        <w:t>7.</w:t>
      </w:r>
      <w:r>
        <w:rPr>
          <w:rFonts w:hint="default" w:ascii="Times New Roman" w:hAnsi="Times New Roman" w:eastAsia="方正仿宋_GBK" w:cs="Times New Roman"/>
          <w:color w:val="auto"/>
          <w:sz w:val="32"/>
          <w:szCs w:val="32"/>
          <w:lang w:eastAsia="zh-CN"/>
        </w:rPr>
        <w:t>协助主管中心</w:t>
      </w:r>
      <w:r>
        <w:rPr>
          <w:rFonts w:hint="default" w:ascii="Times New Roman" w:hAnsi="Times New Roman" w:eastAsia="方正仿宋_GBK" w:cs="Times New Roman"/>
          <w:color w:val="auto"/>
          <w:sz w:val="32"/>
          <w:szCs w:val="32"/>
        </w:rPr>
        <w:t>指导和支持镇街、区级</w:t>
      </w:r>
      <w:r>
        <w:rPr>
          <w:rFonts w:hint="default" w:ascii="Times New Roman" w:hAnsi="Times New Roman" w:eastAsia="方正仿宋_GBK" w:cs="Times New Roman"/>
          <w:color w:val="auto"/>
          <w:sz w:val="32"/>
          <w:szCs w:val="32"/>
          <w:lang w:eastAsia="zh-CN"/>
        </w:rPr>
        <w:t>中心</w:t>
      </w:r>
      <w:r>
        <w:rPr>
          <w:rFonts w:hint="default" w:ascii="Times New Roman" w:hAnsi="Times New Roman" w:eastAsia="方正仿宋_GBK" w:cs="Times New Roman"/>
          <w:color w:val="auto"/>
          <w:sz w:val="32"/>
          <w:szCs w:val="32"/>
        </w:rPr>
        <w:t>信息化建设，对全区政务信息化人员进行业务培训</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color w:val="auto"/>
          <w:sz w:val="32"/>
          <w:szCs w:val="32"/>
          <w:lang w:val="en-US" w:eastAsia="zh-CN"/>
        </w:rPr>
        <w:t>8.</w:t>
      </w:r>
      <w:r>
        <w:rPr>
          <w:rFonts w:hint="default" w:ascii="Times New Roman" w:hAnsi="Times New Roman" w:eastAsia="方正仿宋_GBK" w:cs="Times New Roman"/>
          <w:color w:val="auto"/>
          <w:sz w:val="32"/>
          <w:szCs w:val="32"/>
        </w:rPr>
        <w:t>完成</w:t>
      </w:r>
      <w:r>
        <w:rPr>
          <w:rFonts w:hint="default" w:ascii="Times New Roman" w:hAnsi="Times New Roman" w:eastAsia="方正仿宋_GBK" w:cs="Times New Roman"/>
          <w:color w:val="auto"/>
          <w:sz w:val="32"/>
          <w:szCs w:val="32"/>
          <w:lang w:eastAsia="zh-CN"/>
        </w:rPr>
        <w:t>主管中心</w:t>
      </w:r>
      <w:r>
        <w:rPr>
          <w:rFonts w:hint="default" w:ascii="Times New Roman" w:hAnsi="Times New Roman" w:eastAsia="方正仿宋_GBK" w:cs="Times New Roman"/>
          <w:color w:val="auto"/>
          <w:sz w:val="32"/>
          <w:szCs w:val="32"/>
        </w:rPr>
        <w:t>交办的其他</w:t>
      </w:r>
      <w:r>
        <w:rPr>
          <w:rFonts w:hint="default" w:ascii="Times New Roman" w:hAnsi="Times New Roman" w:eastAsia="方正仿宋_GBK" w:cs="Times New Roman"/>
          <w:color w:val="auto"/>
          <w:sz w:val="32"/>
          <w:szCs w:val="32"/>
          <w:lang w:eastAsia="zh-CN"/>
        </w:rPr>
        <w:t>任务</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重庆市大足区</w:t>
      </w:r>
      <w:r>
        <w:rPr>
          <w:rFonts w:hint="default" w:ascii="Times New Roman" w:hAnsi="Times New Roman" w:eastAsia="方正仿宋_GBK" w:cs="Times New Roman"/>
          <w:color w:val="auto"/>
          <w:sz w:val="32"/>
          <w:szCs w:val="32"/>
          <w:lang w:eastAsia="zh-CN"/>
        </w:rPr>
        <w:t>行政服务中心</w:t>
      </w:r>
      <w:r>
        <w:rPr>
          <w:rFonts w:hint="default" w:ascii="Times New Roman" w:hAnsi="Times New Roman" w:eastAsia="方正仿宋_GBK" w:cs="Times New Roman"/>
          <w:color w:val="auto"/>
          <w:sz w:val="32"/>
          <w:szCs w:val="32"/>
        </w:rPr>
        <w:t>为重庆市大足区政务服务管理办公室管理的正科级</w:t>
      </w:r>
      <w:r>
        <w:rPr>
          <w:rFonts w:hint="default" w:ascii="Times New Roman" w:hAnsi="Times New Roman" w:eastAsia="方正仿宋_GBK" w:cs="Times New Roman"/>
          <w:color w:val="auto"/>
          <w:sz w:val="32"/>
          <w:szCs w:val="32"/>
          <w:lang w:eastAsia="zh-CN"/>
        </w:rPr>
        <w:t>公益一类</w:t>
      </w:r>
      <w:r>
        <w:rPr>
          <w:rFonts w:hint="default" w:ascii="Times New Roman" w:hAnsi="Times New Roman" w:eastAsia="方正仿宋_GBK" w:cs="Times New Roman"/>
          <w:color w:val="auto"/>
          <w:sz w:val="32"/>
          <w:szCs w:val="32"/>
        </w:rPr>
        <w:t>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lang w:val="en-US" w:eastAsia="zh-CN"/>
        </w:rPr>
        <w:t>二</w:t>
      </w:r>
      <w:r>
        <w:rPr>
          <w:rFonts w:hint="default" w:ascii="Times New Roman" w:hAnsi="Times New Roman" w:eastAsia="方正黑体_GBK" w:cs="Times New Roman"/>
          <w:color w:val="auto"/>
          <w:sz w:val="32"/>
          <w:szCs w:val="32"/>
          <w:lang w:val="en-US" w:eastAsia="zh-CN"/>
        </w:rPr>
        <w:t>、</w:t>
      </w:r>
      <w:r>
        <w:rPr>
          <w:rFonts w:hint="eastAsia" w:ascii="Times New Roman" w:hAnsi="Times New Roman" w:eastAsia="方正黑体_GBK" w:cs="Times New Roman"/>
          <w:color w:val="auto"/>
          <w:sz w:val="32"/>
          <w:szCs w:val="32"/>
          <w:lang w:val="en-US" w:eastAsia="zh-CN"/>
        </w:rPr>
        <w:t>部门</w:t>
      </w:r>
      <w:r>
        <w:rPr>
          <w:rFonts w:hint="default" w:ascii="Times New Roman" w:hAnsi="Times New Roman" w:eastAsia="方正黑体_GBK" w:cs="Times New Roman"/>
          <w:color w:val="auto"/>
          <w:sz w:val="32"/>
          <w:szCs w:val="32"/>
          <w:lang w:val="en-US" w:eastAsia="zh-CN"/>
        </w:rPr>
        <w:t>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1.总体情况。</w:t>
      </w:r>
      <w:r>
        <w:rPr>
          <w:rFonts w:hint="default" w:ascii="Times New Roman" w:hAnsi="Times New Roman" w:eastAsia="方正仿宋_GBK" w:cs="Times New Roman"/>
          <w:color w:val="auto"/>
          <w:sz w:val="32"/>
          <w:szCs w:val="32"/>
          <w:lang w:val="en-US" w:eastAsia="zh-CN"/>
        </w:rPr>
        <w:t>2022年度收入总计56.27万元，支出总计56.27万元。收支较上年决算数增加56.27万</w:t>
      </w:r>
      <w:r>
        <w:rPr>
          <w:rFonts w:hint="eastAsia" w:ascii="方正仿宋_GBK" w:hAnsi="方正仿宋_GBK" w:eastAsia="方正仿宋_GBK" w:cs="方正仿宋_GBK"/>
          <w:color w:val="auto"/>
          <w:sz w:val="32"/>
          <w:szCs w:val="32"/>
          <w:lang w:val="en-US" w:eastAsia="zh-CN"/>
        </w:rPr>
        <w:t>元，增</w:t>
      </w:r>
      <w:r>
        <w:rPr>
          <w:rFonts w:hint="default" w:ascii="Times New Roman" w:hAnsi="Times New Roman" w:eastAsia="方正仿宋_GBK" w:cs="Times New Roman"/>
          <w:color w:val="auto"/>
          <w:sz w:val="32"/>
          <w:szCs w:val="32"/>
          <w:lang w:val="en-US" w:eastAsia="zh-CN"/>
        </w:rPr>
        <w:t>长100%，主要原因是本中心为2022年度新增二级决算编制单位。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2.收入情况。</w:t>
      </w:r>
      <w:r>
        <w:rPr>
          <w:rFonts w:hint="default" w:ascii="Times New Roman" w:hAnsi="Times New Roman" w:eastAsia="方正仿宋_GBK" w:cs="Times New Roman"/>
          <w:color w:val="auto"/>
          <w:sz w:val="32"/>
          <w:szCs w:val="32"/>
          <w:lang w:val="en-US" w:eastAsia="zh-CN"/>
        </w:rPr>
        <w:t>2022年度收入合计56.27万元，较上年决算数增加56.27万元，增长100%，主要原因是本中心为2022年度新增二级决算编制单位。其中：财政拨款收入56.27万元，占100%。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3.支出情况。</w:t>
      </w:r>
      <w:r>
        <w:rPr>
          <w:rFonts w:hint="default" w:ascii="Times New Roman" w:hAnsi="Times New Roman" w:eastAsia="方正仿宋_GBK" w:cs="Times New Roman"/>
          <w:color w:val="auto"/>
          <w:sz w:val="32"/>
          <w:szCs w:val="32"/>
          <w:lang w:val="en-US" w:eastAsia="zh-CN"/>
        </w:rPr>
        <w:t>2022年度支出合计56.27万元，较上年决算增加56.27万元，增长100%，主要原因是本中心为2022年度新增二级决算编制单位。其中：基本支出56.27万元，占100%。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4.结转结余情况。</w:t>
      </w:r>
      <w:r>
        <w:rPr>
          <w:rFonts w:hint="default" w:ascii="Times New Roman" w:hAnsi="Times New Roman" w:eastAsia="方正仿宋_GBK" w:cs="Times New Roman"/>
          <w:color w:val="auto"/>
          <w:sz w:val="32"/>
          <w:szCs w:val="32"/>
          <w:lang w:val="en-US" w:eastAsia="zh-CN"/>
        </w:rPr>
        <w:t>2022年度年末结转和结余0.00万元，较上年决算数增加0.00万元，增长100%，主要原因是本中心无结转结余。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2022年度财政拨款收、支总计56.27万元。与2021年相比，财政拨款收、支总计各增加56.27万元，增长100%。主要原因是本中心为2022年度新增二级决算编制单位。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1.收入情况。</w:t>
      </w:r>
      <w:r>
        <w:rPr>
          <w:rFonts w:hint="default" w:ascii="Times New Roman" w:hAnsi="Times New Roman" w:eastAsia="方正仿宋_GBK" w:cs="Times New Roman"/>
          <w:color w:val="auto"/>
          <w:sz w:val="32"/>
          <w:szCs w:val="32"/>
          <w:lang w:val="en-US" w:eastAsia="zh-CN"/>
        </w:rPr>
        <w:t>2022年度一般公共预算财政拨款收入56.27万元，较上年决算数增加56.27万元，增长100%。主要原因是本中心为2022年度新增二级决算编制单位。较年初预算数减少1.33万元，下降2.3%。主要原因是本中心厉行节约，严格控制开支。此外，年初财政拨款结转和结余0.00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2.支出情况。</w:t>
      </w:r>
      <w:r>
        <w:rPr>
          <w:rFonts w:hint="default" w:ascii="Times New Roman" w:hAnsi="Times New Roman" w:eastAsia="方正仿宋_GBK" w:cs="Times New Roman"/>
          <w:color w:val="auto"/>
          <w:sz w:val="32"/>
          <w:szCs w:val="32"/>
          <w:lang w:val="en-US" w:eastAsia="zh-CN"/>
        </w:rPr>
        <w:t>2022年度一般公共预算财政拨款支出56.27万元，较上年决算数增加56.27万元，增长100%。主要原因是本中心为2022年度新增二级决算编制单位。较年初预算数减少1.33万元，下降2.3%。主要原因是本中心厉行节约，严格控制开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3.结转结余情况。</w:t>
      </w:r>
      <w:r>
        <w:rPr>
          <w:rFonts w:hint="default" w:ascii="Times New Roman" w:hAnsi="Times New Roman" w:eastAsia="方正仿宋_GBK" w:cs="Times New Roman"/>
          <w:color w:val="auto"/>
          <w:sz w:val="32"/>
          <w:szCs w:val="32"/>
          <w:lang w:val="en-US" w:eastAsia="zh-CN"/>
        </w:rPr>
        <w:t>2022年度年末一般公共预算财政拨款结转和结余0.00万元，较上年决算数增加0.00万元，增长100%，主要原因是本中心无结转结余。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4.比较情况。</w:t>
      </w:r>
      <w:r>
        <w:rPr>
          <w:rFonts w:hint="default" w:ascii="Times New Roman" w:hAnsi="Times New Roman" w:eastAsia="方正仿宋_GBK" w:cs="Times New Roman"/>
          <w:color w:val="auto"/>
          <w:sz w:val="32"/>
          <w:szCs w:val="32"/>
          <w:lang w:val="en-US" w:eastAsia="zh-CN"/>
        </w:rPr>
        <w:t>本中心2022年度一般公共预算财政拨款支出主要用于以下几个方面：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一般公共服务支出46.16万元，占82%，较年初预算数减少1.52万元，下降3.2%，主要原因是本中心厉行节约，严格控制开支。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2022年度一般公共预算财政拨款基本支出56.27万元。其中：人员经费47.05万元，较上年决算数增加47.05万元，增长100%，主要原因是本中心为2022年度新增二级决算编制单位。人员经费用途主要包括基本工资、津贴补贴、绩效工资、机关事业单位基本养老保险费、职业年金缴费、职工基本医疗保险缴费、其他社会保障缴费、住房公积金、医疗费等公用经费9.22万元，较上年决算数增加9.22万元，增长100%，主要原因是本中心为2022年度新增二级决算编制单位。公用经费用途主要包括办公费、邮电费、培训费、劳务费、工会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本中心2022年度无政府性基金预算财政拨款收支。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本中心2022年度无国有资本经营预算财政拨款支出。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三、“三公”经费情况说明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（一）“三公”经费支出总体情况说明。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经费支出共计0.00万元，较年初预算数减少0.20万元，下降100%，主要原因是本中心无</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经费开支，绝大多数业务在其上级主管部门开展。较上年支出数增加0.00万元，增长100%，主要原因是本中心无</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经费开支，绝大多数业务在其上级主管部门开展。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（二）“三公”经费分项支出情况。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2022年度本中心因公出国（境）费用0.00万元，主要</w:t>
      </w:r>
      <w:r>
        <w:rPr>
          <w:rFonts w:hint="eastAsia" w:ascii="Times New Roman" w:hAnsi="Times New Roman" w:eastAsia="方正仿宋_GBK" w:cs="Times New Roman"/>
          <w:color w:val="auto"/>
          <w:sz w:val="32"/>
          <w:szCs w:val="32"/>
          <w:lang w:val="en-US" w:eastAsia="zh-CN"/>
        </w:rPr>
        <w:t>原因</w:t>
      </w:r>
      <w:r>
        <w:rPr>
          <w:rFonts w:hint="default" w:ascii="Times New Roman" w:hAnsi="Times New Roman" w:eastAsia="方正仿宋_GBK" w:cs="Times New Roman"/>
          <w:color w:val="auto"/>
          <w:sz w:val="32"/>
          <w:szCs w:val="32"/>
          <w:lang w:val="en-US" w:eastAsia="zh-CN"/>
        </w:rPr>
        <w:t>是本中心无因公出国（境）费用开支。费用支出较年初预算数增加0.00万元，增长</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lang w:val="en-US" w:eastAsia="zh-CN"/>
        </w:rPr>
        <w:t>%，主要原因是本中心无因公出国（境）费用开支。较上年支出数增加0.00万元，增长100%，主要原因是本中心无因公出国（境）费用。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公务车购置费0.00万元，主要</w:t>
      </w:r>
      <w:r>
        <w:rPr>
          <w:rFonts w:hint="eastAsia" w:ascii="Times New Roman" w:hAnsi="Times New Roman" w:eastAsia="方正仿宋_GBK" w:cs="Times New Roman"/>
          <w:color w:val="auto"/>
          <w:sz w:val="32"/>
          <w:szCs w:val="32"/>
          <w:lang w:val="en-US" w:eastAsia="zh-CN"/>
        </w:rPr>
        <w:t>原因是</w:t>
      </w:r>
      <w:r>
        <w:rPr>
          <w:rFonts w:hint="default" w:ascii="Times New Roman" w:hAnsi="Times New Roman" w:eastAsia="方正仿宋_GBK" w:cs="Times New Roman"/>
          <w:color w:val="auto"/>
          <w:sz w:val="32"/>
          <w:szCs w:val="32"/>
          <w:lang w:val="en-US" w:eastAsia="zh-CN"/>
        </w:rPr>
        <w:t>本中心无公务车购置费开支。费用支出较年初预算数增加0.00万元，增长100%，主要原因是本中心无公务车购置费开支。较上年支出数增加0.00万元，增长100%，主要原因是本中心无公务车购置费开支。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车运行维护费0.00万元，主要用于本中心无公务车运行维护费开支，绝大多数业务在其上级主管部门开展。费用支出较年初预算数增加0.00万元，增长100%，主要原因是本中心无公务车运行维护费，绝大多数业务在其上级主管部门开展。较上年支出数增加0.00万元，增长100%，主要原因是本中心无公务车运行维护费开支，绝大多数业务在其上级主管部门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公务接待费0.00万元，主要</w:t>
      </w:r>
      <w:r>
        <w:rPr>
          <w:rFonts w:hint="eastAsia" w:ascii="Times New Roman" w:hAnsi="Times New Roman" w:eastAsia="方正仿宋_GBK" w:cs="Times New Roman"/>
          <w:color w:val="auto"/>
          <w:sz w:val="32"/>
          <w:szCs w:val="32"/>
          <w:lang w:val="en-US" w:eastAsia="zh-CN"/>
        </w:rPr>
        <w:t>原因是</w:t>
      </w:r>
      <w:r>
        <w:rPr>
          <w:rFonts w:hint="default" w:ascii="Times New Roman" w:hAnsi="Times New Roman" w:eastAsia="方正仿宋_GBK" w:cs="Times New Roman"/>
          <w:color w:val="auto"/>
          <w:sz w:val="32"/>
          <w:szCs w:val="32"/>
          <w:lang w:val="en-US" w:eastAsia="zh-CN"/>
        </w:rPr>
        <w:t>本中心无公务接待费开支，绝大多数业务在其上级主管部门</w:t>
      </w:r>
      <w:r>
        <w:rPr>
          <w:rFonts w:hint="eastAsia"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lang w:val="en-US" w:eastAsia="zh-CN"/>
        </w:rPr>
        <w:t>。费用支出较年初预算数减少0.20万元，下降100%，主要原因是本中心无公务接待费开支，绝大多数业务在其上级主管部门开展。较上年支出数增加0.00万元，增长100%，主要原因是本中心无公务接待费开支，绝大多数业务在其上级主管部门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2022年度本中心因公出国（境）共计0个团组，0人；公务用车购置0辆，公务车保有量为0辆；国内公务接待0批次0人，其中：国内外事接待0批次，0人；国（境）外公务接待0批次，0人。2022年本中心人均接待费0.00元，车均购置费0.00万元，车均维护费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年度会议费支出0.00万元，较上年决算数增加0.00万元，增长100%，主要原因是本中心厉行节约，严格控制开支。本年度培训费支出0.08万元，较上年决算数增加0.08万元，增长100%，主要原因是本中心为2022年度新增二级决算编制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按照中心决算列报口径，我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不在机关运行经费统计范围之内。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因我中心</w:t>
      </w:r>
      <w:r>
        <w:rPr>
          <w:rFonts w:hint="default" w:ascii="Times New Roman" w:hAnsi="Times New Roman" w:eastAsia="方正仿宋_GBK" w:cs="Times New Roman"/>
          <w:color w:val="auto"/>
          <w:sz w:val="32"/>
          <w:szCs w:val="32"/>
        </w:rPr>
        <w:t>为重庆市大足区政务服务管理办公室管理的正科级</w:t>
      </w:r>
      <w:r>
        <w:rPr>
          <w:rFonts w:hint="default" w:ascii="Times New Roman" w:hAnsi="Times New Roman" w:eastAsia="方正仿宋_GBK" w:cs="Times New Roman"/>
          <w:color w:val="auto"/>
          <w:sz w:val="32"/>
          <w:szCs w:val="32"/>
          <w:lang w:eastAsia="zh-CN"/>
        </w:rPr>
        <w:t>公益一类</w:t>
      </w:r>
      <w:r>
        <w:rPr>
          <w:rFonts w:hint="default" w:ascii="Times New Roman" w:hAnsi="Times New Roman" w:eastAsia="方正仿宋_GBK" w:cs="Times New Roman"/>
          <w:color w:val="auto"/>
          <w:sz w:val="32"/>
          <w:szCs w:val="32"/>
        </w:rPr>
        <w:t>事业单位</w:t>
      </w:r>
      <w:r>
        <w:rPr>
          <w:rFonts w:hint="default" w:ascii="Times New Roman" w:hAnsi="Times New Roman" w:eastAsia="方正仿宋_GBK" w:cs="Times New Roman"/>
          <w:color w:val="auto"/>
          <w:sz w:val="32"/>
          <w:szCs w:val="32"/>
          <w:lang w:val="en-US" w:eastAsia="zh-CN"/>
        </w:rPr>
        <w:t>原因，我中心资产未纳入中心决算报表。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根据预算绩效管理要求，我中心对0个项目开展了绩效自评，其中，以填报自评表形式开展自评0项，涉及资金0万元；以委托第三方出具报告的方式开展绩效评价项，涉及资金0万元。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1.绩效目标自评表。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本中心无绩效目标自评表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lang w:val="en-US" w:eastAsia="zh-CN"/>
        </w:rPr>
        <w:t>绩效自评报告或案例。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本中心无绩效自评报告。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rPr>
      </w:pPr>
      <w:r>
        <w:rPr>
          <w:rFonts w:hint="eastAsia" w:ascii="Times New Roman" w:hAnsi="Times New Roman" w:eastAsia="方正仿宋_GBK" w:cs="Times New Roman"/>
          <w:b/>
          <w:bCs/>
          <w:color w:val="auto"/>
          <w:sz w:val="32"/>
          <w:szCs w:val="32"/>
          <w:lang w:val="en-US" w:eastAsia="zh-CN"/>
        </w:rPr>
        <w:t>3.</w:t>
      </w:r>
      <w:r>
        <w:rPr>
          <w:rFonts w:hint="default" w:ascii="Times New Roman" w:hAnsi="Times New Roman" w:eastAsia="方正仿宋_GBK" w:cs="Times New Roman"/>
          <w:b/>
          <w:bCs/>
          <w:color w:val="auto"/>
          <w:sz w:val="32"/>
          <w:szCs w:val="32"/>
          <w:lang w:val="en-US" w:eastAsia="zh-CN"/>
        </w:rPr>
        <w:t>关于绩效自评结果的说明。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本中心无</w:t>
      </w:r>
      <w:r>
        <w:rPr>
          <w:rFonts w:hint="default" w:ascii="Times New Roman" w:hAnsi="Times New Roman" w:eastAsia="方正仿宋_GBK" w:cs="Times New Roman"/>
          <w:color w:val="auto"/>
          <w:sz w:val="32"/>
          <w:szCs w:val="32"/>
          <w:lang w:val="en-US" w:eastAsia="zh-CN"/>
        </w:rPr>
        <w:t>绩效自评。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本中心无重点</w:t>
      </w:r>
      <w:r>
        <w:rPr>
          <w:rFonts w:hint="default" w:ascii="Times New Roman" w:hAnsi="Times New Roman" w:eastAsia="方正仿宋_GBK" w:cs="Times New Roman"/>
          <w:color w:val="auto"/>
          <w:sz w:val="32"/>
          <w:szCs w:val="32"/>
          <w:lang w:val="en-US" w:eastAsia="zh-CN"/>
        </w:rPr>
        <w:t>绩效自评。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（一）财政拨款收入：</w:t>
      </w:r>
      <w:r>
        <w:rPr>
          <w:rFonts w:hint="default" w:ascii="Times New Roman" w:hAnsi="Times New Roman" w:eastAsia="方正仿宋_GBK" w:cs="Times New Roman"/>
          <w:color w:val="auto"/>
          <w:sz w:val="32"/>
          <w:szCs w:val="32"/>
          <w:lang w:val="en-US" w:eastAsia="zh-CN"/>
        </w:rPr>
        <w:t>指本年度从本级财政中心取得的财政拨款，包括一般公共预算财政拨款和政府性基金预算财政拨款。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（二）事业收入：</w:t>
      </w:r>
      <w:r>
        <w:rPr>
          <w:rFonts w:hint="default" w:ascii="Times New Roman" w:hAnsi="Times New Roman" w:eastAsia="方正仿宋_GBK" w:cs="Times New Roman"/>
          <w:color w:val="auto"/>
          <w:sz w:val="32"/>
          <w:szCs w:val="32"/>
          <w:lang w:val="en-US" w:eastAsia="zh-CN"/>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（三）经营收入：</w:t>
      </w:r>
      <w:r>
        <w:rPr>
          <w:rFonts w:hint="default" w:ascii="Times New Roman" w:hAnsi="Times New Roman" w:eastAsia="方正仿宋_GBK" w:cs="Times New Roman"/>
          <w:color w:val="auto"/>
          <w:sz w:val="32"/>
          <w:szCs w:val="32"/>
          <w:lang w:val="en-US" w:eastAsia="zh-CN"/>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（四）其他收入：</w:t>
      </w:r>
      <w:r>
        <w:rPr>
          <w:rFonts w:hint="default" w:ascii="Times New Roman" w:hAnsi="Times New Roman" w:eastAsia="方正仿宋_GBK" w:cs="Times New Roman"/>
          <w:color w:val="auto"/>
          <w:sz w:val="32"/>
          <w:szCs w:val="32"/>
          <w:lang w:val="en-US" w:eastAsia="zh-CN"/>
        </w:rPr>
        <w:t>指单位取得的除</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财政拨款收入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事业收入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经营收入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中心以外的同级单位取得的经费、从非本级财政中心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（五）使用非财政拨款结余：</w:t>
      </w:r>
      <w:r>
        <w:rPr>
          <w:rFonts w:hint="default" w:ascii="Times New Roman" w:hAnsi="Times New Roman" w:eastAsia="方正仿宋_GBK" w:cs="Times New Roman"/>
          <w:color w:val="auto"/>
          <w:sz w:val="32"/>
          <w:szCs w:val="32"/>
          <w:lang w:val="en-US" w:eastAsia="zh-CN"/>
        </w:rPr>
        <w:t>指单位在当年的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财政拨款收入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事业收入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经营收入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其他收入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（六）年初结转和结余：</w:t>
      </w:r>
      <w:r>
        <w:rPr>
          <w:rFonts w:hint="default" w:ascii="Times New Roman" w:hAnsi="Times New Roman" w:eastAsia="方正仿宋_GBK" w:cs="Times New Roman"/>
          <w:color w:val="auto"/>
          <w:sz w:val="32"/>
          <w:szCs w:val="32"/>
          <w:lang w:val="en-US" w:eastAsia="zh-CN"/>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（七）结余分配：</w:t>
      </w:r>
      <w:r>
        <w:rPr>
          <w:rFonts w:hint="default" w:ascii="Times New Roman" w:hAnsi="Times New Roman" w:eastAsia="方正仿宋_GBK" w:cs="Times New Roman"/>
          <w:color w:val="auto"/>
          <w:sz w:val="32"/>
          <w:szCs w:val="32"/>
          <w:lang w:val="en-US" w:eastAsia="zh-CN"/>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（八）年末结转和结余：</w:t>
      </w:r>
      <w:r>
        <w:rPr>
          <w:rFonts w:hint="default" w:ascii="Times New Roman" w:hAnsi="Times New Roman" w:eastAsia="方正仿宋_GBK" w:cs="Times New Roman"/>
          <w:color w:val="auto"/>
          <w:sz w:val="32"/>
          <w:szCs w:val="32"/>
          <w:lang w:val="en-US" w:eastAsia="zh-CN"/>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（九）基本支出：</w:t>
      </w:r>
      <w:r>
        <w:rPr>
          <w:rFonts w:hint="default" w:ascii="Times New Roman" w:hAnsi="Times New Roman" w:eastAsia="方正仿宋_GBK" w:cs="Times New Roman"/>
          <w:color w:val="auto"/>
          <w:sz w:val="32"/>
          <w:szCs w:val="32"/>
          <w:lang w:val="en-US" w:eastAsia="zh-CN"/>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工资福利支出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对个人和家庭的补助</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；公用经费指政府收支分类经济科目中除</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工资福利支出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和</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对个人和家庭的补助</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（十）项目支出：</w:t>
      </w:r>
      <w:r>
        <w:rPr>
          <w:rFonts w:hint="default" w:ascii="Times New Roman" w:hAnsi="Times New Roman" w:eastAsia="方正仿宋_GBK" w:cs="Times New Roman"/>
          <w:color w:val="auto"/>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（十一）经营支出：</w:t>
      </w:r>
      <w:r>
        <w:rPr>
          <w:rFonts w:hint="default" w:ascii="Times New Roman" w:hAnsi="Times New Roman" w:eastAsia="方正仿宋_GBK" w:cs="Times New Roman"/>
          <w:color w:val="auto"/>
          <w:sz w:val="32"/>
          <w:szCs w:val="32"/>
          <w:lang w:val="en-US" w:eastAsia="zh-CN"/>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（十二）“三公”经费：</w:t>
      </w:r>
      <w:r>
        <w:rPr>
          <w:rFonts w:hint="default" w:ascii="Times New Roman" w:hAnsi="Times New Roman" w:eastAsia="方正仿宋_GBK" w:cs="Times New Roman"/>
          <w:color w:val="auto"/>
          <w:sz w:val="32"/>
          <w:szCs w:val="32"/>
          <w:lang w:val="en-US"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（十三）机关运行经费：</w:t>
      </w:r>
      <w:r>
        <w:rPr>
          <w:rFonts w:hint="default" w:ascii="Times New Roman" w:hAnsi="Times New Roman" w:eastAsia="方正仿宋_GBK" w:cs="Times New Roman"/>
          <w:color w:val="auto"/>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（十四）工资福利支出（支出经济分类科目类级）：</w:t>
      </w:r>
      <w:r>
        <w:rPr>
          <w:rFonts w:hint="default" w:ascii="Times New Roman" w:hAnsi="Times New Roman" w:eastAsia="方正仿宋_GBK" w:cs="Times New Roman"/>
          <w:color w:val="auto"/>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（十五）商品和服务支出（支出经济分类科目类级）：</w:t>
      </w:r>
      <w:r>
        <w:rPr>
          <w:rFonts w:hint="default" w:ascii="Times New Roman" w:hAnsi="Times New Roman" w:eastAsia="方正仿宋_GBK" w:cs="Times New Roman"/>
          <w:color w:val="auto"/>
          <w:sz w:val="32"/>
          <w:szCs w:val="32"/>
          <w:lang w:val="en-US" w:eastAsia="zh-CN"/>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（十六）对个人和家庭的补助（支出经济分类科目类级）：</w:t>
      </w:r>
      <w:r>
        <w:rPr>
          <w:rFonts w:hint="default" w:ascii="Times New Roman" w:hAnsi="Times New Roman" w:eastAsia="方正仿宋_GBK" w:cs="Times New Roman"/>
          <w:color w:val="auto"/>
          <w:sz w:val="32"/>
          <w:szCs w:val="32"/>
          <w:lang w:val="en-US" w:eastAsia="zh-CN"/>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（十七）其他资本性支出（支出经济分类科目类级）：</w:t>
      </w:r>
      <w:r>
        <w:rPr>
          <w:rFonts w:hint="default" w:ascii="Times New Roman" w:hAnsi="Times New Roman" w:eastAsia="方正仿宋_GBK" w:cs="Times New Roman"/>
          <w:color w:val="auto"/>
          <w:sz w:val="32"/>
          <w:szCs w:val="32"/>
          <w:lang w:val="en-US" w:eastAsia="zh-CN"/>
        </w:rPr>
        <w:t>反映非各级发展与改革中心集中安排的用于购置固定资产、战略性和应急性储备、土地和无形资产，以及构建基础设施、大型修缮和财政支持企业更新改造所发生的支出。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本中心决算公开信息反馈和联系方式：黄倩</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023-43775679</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tbl>
      <w:tblPr>
        <w:tblStyle w:val="5"/>
        <w:tblW w:w="9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6"/>
        <w:gridCol w:w="4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022"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 xml:space="preserve">封面代码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22"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单位名称</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重庆市大足区行政服务中心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单位负责人</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王荣杰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财务负责人</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杨柳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填表人</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黄倩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电话号码</w:t>
            </w:r>
            <w:r>
              <w:rPr>
                <w:rFonts w:hint="eastAsia" w:ascii="Times New Roman" w:hAnsi="Times New Roman" w:eastAsia="方正仿宋_GBK" w:cs="Times New Roman"/>
                <w:b w:val="0"/>
                <w:bCs w:val="0"/>
                <w:i w:val="0"/>
                <w:iCs w:val="0"/>
                <w:color w:val="auto"/>
                <w:kern w:val="0"/>
                <w:sz w:val="24"/>
                <w:szCs w:val="24"/>
                <w:u w:val="none"/>
                <w:lang w:val="en-US" w:eastAsia="zh-CN" w:bidi="ar"/>
              </w:rPr>
              <w:t>（</w:t>
            </w:r>
            <w:r>
              <w:rPr>
                <w:rFonts w:hint="default" w:ascii="Times New Roman" w:hAnsi="Times New Roman" w:eastAsia="方正仿宋_GBK" w:cs="Times New Roman"/>
                <w:b w:val="0"/>
                <w:bCs w:val="0"/>
                <w:i w:val="0"/>
                <w:iCs w:val="0"/>
                <w:color w:val="auto"/>
                <w:kern w:val="0"/>
                <w:sz w:val="24"/>
                <w:szCs w:val="24"/>
                <w:u w:val="none"/>
                <w:lang w:val="en-US" w:eastAsia="zh-CN" w:bidi="ar"/>
              </w:rPr>
              <w:t>区号</w:t>
            </w:r>
            <w:r>
              <w:rPr>
                <w:rFonts w:hint="eastAsia" w:ascii="Times New Roman" w:hAnsi="Times New Roman" w:eastAsia="方正仿宋_GBK" w:cs="Times New Roman"/>
                <w:b w:val="0"/>
                <w:bCs w:val="0"/>
                <w:i w:val="0"/>
                <w:iCs w:val="0"/>
                <w:color w:val="auto"/>
                <w:kern w:val="0"/>
                <w:sz w:val="24"/>
                <w:szCs w:val="24"/>
                <w:u w:val="none"/>
                <w:lang w:val="en-US" w:eastAsia="zh-CN" w:bidi="ar"/>
              </w:rPr>
              <w:t>）</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电话号码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43767665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分机号</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单位地址</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重庆市大足区棠街道龙景路123号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邮政编码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单位所在地区（国家标准：行政区划代码）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隶属关系</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部门标识代码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国民经济行业分类</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国家机构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新报因素</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新增单位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上年代码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备用码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统一社会信用代码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12500111MB1J11913K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备用码一</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13594256809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备用码二</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172002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组织机构代码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MB1J11913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是否参照公务员法管理</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执行会计制度</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政府会计准则制度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预算级次</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县区级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报表小类</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单位类型</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公益一类事业单位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单位预算级次</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二级预算单位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单位经费保障方式</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全额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是否编制部门预算</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是否编制政府财务报告</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是否编制行政事业单位国有资产报告</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财政区划代码</w:t>
            </w:r>
          </w:p>
        </w:tc>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大足区</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10147" w:type="dxa"/>
        <w:tblInd w:w="-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
        <w:gridCol w:w="1118"/>
        <w:gridCol w:w="2280"/>
        <w:gridCol w:w="718"/>
        <w:gridCol w:w="422"/>
        <w:gridCol w:w="622"/>
        <w:gridCol w:w="458"/>
        <w:gridCol w:w="900"/>
        <w:gridCol w:w="600"/>
        <w:gridCol w:w="885"/>
        <w:gridCol w:w="585"/>
        <w:gridCol w:w="352"/>
        <w:gridCol w:w="458"/>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72" w:type="dxa"/>
          <w:trHeight w:val="165"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105"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165"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51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收入</w:t>
            </w:r>
          </w:p>
        </w:tc>
        <w:tc>
          <w:tcPr>
            <w:tcW w:w="481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9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一、一般公共服务支出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二、外交支出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三、国防支出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四、上级补助收入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四、公共安全支出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五、事业收入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五、教育支出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六、经营收入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六、科学技术支出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七、附属单位上缴收入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七、文化旅游体育与传媒支出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八、其他收入</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八、社会保障和就业支出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九、卫生健康支出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十、节能环保支出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十一、城乡社区支出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十二、农林水支出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十三、交通运输支出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十四、资源勘探工业信息等支出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十五、商业服务业等支出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十六、金融支出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十七、援助其他地区支出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十八、自然资源海洋气象等支出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十九、住房保障支出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二十、粮油物资储备支出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二十一、国有资本经营预算支出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二十二、灾害防治及应急管理支出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二十三、其他支出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二十四、债务还本支出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二十五、债务付息支出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二十六、抗疫特别国债安排的支出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本年收入合计</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本年支出合计</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使用非财政拨款结余</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结余分配</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年初结转和结余</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年末结转和结余</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41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37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备注：本表反映部门本年度的总收支和年末结转结余等情况。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555"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72" w:type="dxa"/>
          <w:trHeight w:val="300" w:hRule="atLeast"/>
        </w:trPr>
        <w:tc>
          <w:tcPr>
            <w:tcW w:w="9975" w:type="dxa"/>
            <w:gridSpan w:val="1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11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本年收入合计</w:t>
            </w:r>
          </w:p>
        </w:tc>
        <w:tc>
          <w:tcPr>
            <w:tcW w:w="10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财政拨款收入</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上级补助收入</w:t>
            </w:r>
          </w:p>
        </w:tc>
        <w:tc>
          <w:tcPr>
            <w:tcW w:w="14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事业收入</w:t>
            </w:r>
          </w:p>
        </w:tc>
        <w:tc>
          <w:tcPr>
            <w:tcW w:w="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经营收入</w:t>
            </w:r>
          </w:p>
        </w:tc>
        <w:tc>
          <w:tcPr>
            <w:tcW w:w="8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附属单位上缴收入</w:t>
            </w:r>
          </w:p>
        </w:tc>
        <w:tc>
          <w:tcPr>
            <w:tcW w:w="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11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10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小计</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其中：教育收费</w:t>
            </w:r>
          </w:p>
        </w:tc>
        <w:tc>
          <w:tcPr>
            <w:tcW w:w="5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11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22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114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8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9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22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114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08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1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7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47" w:type="dxa"/>
            <w:gridSpan w:val="1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备注：本表反映部门本年度取得的各项收入情况。</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94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2"/>
        <w:gridCol w:w="4056"/>
        <w:gridCol w:w="790"/>
        <w:gridCol w:w="790"/>
        <w:gridCol w:w="483"/>
        <w:gridCol w:w="715"/>
        <w:gridCol w:w="46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451"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51"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51"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项目</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本年支出合计</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基本支出</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项目支出</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上缴上级支出</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经营支出</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功能分类科目编码</w:t>
            </w:r>
          </w:p>
        </w:tc>
        <w:tc>
          <w:tcPr>
            <w:tcW w:w="40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项目（按“项”级功能分类科目）</w:t>
            </w: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0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4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405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48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1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51"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备注：本表反映部门本年度各项支出情况。</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9645"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80"/>
        <w:gridCol w:w="1110"/>
        <w:gridCol w:w="2385"/>
        <w:gridCol w:w="870"/>
        <w:gridCol w:w="945"/>
        <w:gridCol w:w="85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64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4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4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公开部门：重庆市大足区行政服务中心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收     入</w:t>
            </w:r>
          </w:p>
        </w:tc>
        <w:tc>
          <w:tcPr>
            <w:tcW w:w="595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    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w:t>
            </w:r>
          </w:p>
        </w:tc>
        <w:tc>
          <w:tcPr>
            <w:tcW w:w="357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小计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一般公共预算财政拨款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政府性基金预算财政拨款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一、一般公共服务支出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二、外交支出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三、国防支出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四、公共安全支出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五、教育支出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六、科学技术支出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七、文化旅游体育与传媒支出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八、社会保障和就业支出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九、卫生健康支出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十、节能环保支出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十一、城乡社区支出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十二、农林水支出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十三、交通运输支出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十四、资源勘探工业信息等支出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十五、商业服务业等支出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十六、金融支出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十七、援助其他地区支出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十八、自然资源海洋气象等支出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十九、住房保障支出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二十、粮油物资储备支出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二十一、国有资本经营预算支出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二十二、灾害防治及应急管理支出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二十三、其他支出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本年收入合计</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二十四、债务还本支出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年初财政拨款结转和结余</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二十五、债务付息支出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二十六、抗疫特别国债安排的支出</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本年支出合计</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年末财政拨款结转和结余</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11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238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64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备注：本表反映部门本年度一般公共预算财政拨款、政府性基金预算财政拨款及国有资本经营预算财政拨款的总收支和年末结转结余情况。</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9210" w:type="dxa"/>
        <w:tblInd w:w="-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0"/>
        <w:gridCol w:w="4305"/>
        <w:gridCol w:w="960"/>
        <w:gridCol w:w="133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210"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0"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0"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35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4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3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3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3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13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56.27</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430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9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33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2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4.95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0.06</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43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2.45</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10"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备注：本表反映部门本年度一般公共预算财政拨款支出情况。</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10140" w:type="dxa"/>
        <w:tblInd w:w="-3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1497"/>
        <w:gridCol w:w="780"/>
        <w:gridCol w:w="931"/>
        <w:gridCol w:w="1544"/>
        <w:gridCol w:w="795"/>
        <w:gridCol w:w="990"/>
        <w:gridCol w:w="199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14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4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4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人员经费</w:t>
            </w:r>
          </w:p>
        </w:tc>
        <w:tc>
          <w:tcPr>
            <w:tcW w:w="69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经济分类科目编码</w:t>
            </w:r>
          </w:p>
        </w:tc>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经济分类科目（按“款”级功能分类科目）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金额</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经济分类科目编码</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经济分类科目（按“款”级功能分类科目）</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金额</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经济分类科目编码</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经济分类科目（按“款”级功能分类科目）</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工资福利支出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47.05</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商品和服务支出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9.22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资本性支出</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30101</w:t>
            </w:r>
          </w:p>
        </w:tc>
        <w:tc>
          <w:tcPr>
            <w:tcW w:w="1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基本工资</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11.37</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30201</w:t>
            </w: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办公费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31001</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房屋建筑物购建</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30102</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津贴补贴</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0.46</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30202</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印刷费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办公设备购置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30103</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奖金</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30203</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咨询费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专用设备购置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30106</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伙食补助费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30204</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手续费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31005</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基础设施建设</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30107</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绩效工资</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21.82</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30205</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水费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31006</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大型修缮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30108</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3.30</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30206</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电费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31007</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信息网络及软件购置更新</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30109</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职业年金缴费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1.65</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30207</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邮电费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1.01</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31008</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物资储备</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30110</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职工基本医疗保险缴费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30208</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取暖费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土地补偿</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30111</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公务员医疗补助缴费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30209</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物业管理费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31010</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安置补助</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30112</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其他社会保障缴费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0.35</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30211</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差旅费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地上附着物和青苗补偿</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30113</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5.45</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30212</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因公出国（境）费用</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拆迁补偿</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30114</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医疗费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30213</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维修（护）费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公务用车购置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30199</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其他工资福利支出</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30214</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租赁费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其他交通工具购置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对个人和家庭的补助</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30215</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会议费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31021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文物和陈列品购置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30301</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离休费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30216</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培训费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0.08</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31022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无形资产购置</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30302</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退休费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30217</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公务接待费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其他资本性支出</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30303</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退职（役）费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30218</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专用材料费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对企业补助</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30304</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抚恤金</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30224</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被装购置费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31201</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资本金注入</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30305</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生活补助</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30225</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专用燃料费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31203</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政府投资基金股权投资</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30306</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救济费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30226</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劳务费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1.98</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31204</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费用补贴</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30307</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医疗费补助</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30227</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委托业务费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31205</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利息补贴</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30308</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助学金</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30228</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工会经费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6.00</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其他对企业补助</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30309</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奖励金</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30229</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福利费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其他支出</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30310</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个人农业生产补贴</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30231</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公务用车运行维护费</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39907</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国家赔偿费用支出</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30311</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代缴社会保险费</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30239</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其他交通费用</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39908</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对民间非营利组织和群众性自治组织补贴</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30399</w:t>
            </w: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其他个人和家庭的补助支出</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30240</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税金及附加费用</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经常性赠与</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30299</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其他商品和服务支出</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39910</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资本性赠与</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债务利息及费用支出</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39999</w:t>
            </w: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其他支出</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30701</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国内债务付息</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30702</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国外债务付息</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30703</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国内债务发行费用</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49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30704</w:t>
            </w:r>
          </w:p>
        </w:tc>
        <w:tc>
          <w:tcPr>
            <w:tcW w:w="154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国外债务发行费用</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9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30"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人员经费合计</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47.05</w:t>
            </w:r>
          </w:p>
        </w:tc>
        <w:tc>
          <w:tcPr>
            <w:tcW w:w="6255" w:type="dxa"/>
            <w:gridSpan w:val="5"/>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公用经费合计</w:t>
            </w:r>
          </w:p>
        </w:tc>
        <w:tc>
          <w:tcPr>
            <w:tcW w:w="67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40" w:type="dxa"/>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注：本表反映部门本年度一般公共预算财政拨款基本支出明细情况。</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6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4"/>
        <w:gridCol w:w="1372"/>
        <w:gridCol w:w="905"/>
        <w:gridCol w:w="905"/>
        <w:gridCol w:w="905"/>
        <w:gridCol w:w="905"/>
        <w:gridCol w:w="905"/>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000"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年初结转和结余</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本年收入</w:t>
            </w:r>
          </w:p>
        </w:tc>
        <w:tc>
          <w:tcPr>
            <w:tcW w:w="18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single" w:color="auto"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本表为空的部门应将空表公开，并注明：本单位无政府性基金收入，也没有使用政府性基金安排的支出，故本表无数据。</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90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1"/>
        <w:gridCol w:w="1890"/>
        <w:gridCol w:w="2040"/>
        <w:gridCol w:w="147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06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1"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4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科目名称</w:t>
            </w:r>
          </w:p>
        </w:tc>
        <w:tc>
          <w:tcPr>
            <w:tcW w:w="20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9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89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04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47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4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89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04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47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47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8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204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47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47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9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8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0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本表为空的部门应将空表公开，并注明：本单位无国有资本经营预算财政拨款支出，故本表无数据。</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tbl>
      <w:tblPr>
        <w:tblStyle w:val="5"/>
        <w:tblW w:w="7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87"/>
        <w:gridCol w:w="949"/>
        <w:gridCol w:w="949"/>
        <w:gridCol w:w="656"/>
        <w:gridCol w:w="3440"/>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020"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公开部门：重庆市大足区行政服务中心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项  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年初预算数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全年预算数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决算数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项  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一、“三公”经费支出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四、机关运行经费</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（一）支出合计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0.20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（一）行政单位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1．因公出国（境）费</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（二）参照公务员法管理事业单位</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2．公务用车购置及运行维护费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五、资产信息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（1）公务用车购置费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（一）车辆数合计（辆）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1．副部（省）级及以上领导用车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2．主要领导干部用车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（1）国内接待费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3．机要通信用车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4．应急保障用车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（2）国（境）外接待费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5．执法执勤用车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（二）相关统计数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6．特种专业技术用车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1．因公出国（境）团组数（个）</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7．离退休干部用车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2．因公出国（境）人次数（人）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8．其他用车</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3．公务用车购置数（辆）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（二）单价100万元（含）以上设备（不含车辆）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4．公务用车保有量（辆）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六、政府采购支出信息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5．国内公务接待批次（个）</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（一）政府采购支出合计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其中：外事接待批次（个）</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1．政府采购货物支出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6．国内公务接待人次（人）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2．政府采购工程支出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其中：外事接待人次（人）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3．政府采购服务支出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7．国（境）外公务接待批次（个）</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（二）政府采购授予中小企业合同金额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8．国（境）外公务接待人次（人）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其中：授予小微企业合同金额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2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方正仿宋_GBK" w:hAnsi="方正仿宋_GBK" w:eastAsia="方正仿宋_GBK" w:cs="方正仿宋_GBK"/>
                <w:b w:val="0"/>
                <w:bCs w:val="0"/>
                <w:i w:val="0"/>
                <w:iCs w:val="0"/>
                <w:color w:val="auto"/>
                <w:sz w:val="24"/>
                <w:szCs w:val="24"/>
                <w:u w:val="none"/>
              </w:rPr>
            </w:pPr>
            <w:r>
              <w:rPr>
                <w:rFonts w:hint="eastAsia" w:ascii="方正仿宋_GBK" w:hAnsi="方正仿宋_GBK" w:eastAsia="方正仿宋_GBK" w:cs="方正仿宋_GBK"/>
                <w:b w:val="0"/>
                <w:bCs w:val="0"/>
                <w:i w:val="0"/>
                <w:iCs w:val="0"/>
                <w:color w:val="auto"/>
                <w:kern w:val="0"/>
                <w:sz w:val="24"/>
                <w:szCs w:val="24"/>
                <w:u w:val="none"/>
                <w:lang w:val="en-US" w:eastAsia="zh-CN" w:bidi="ar"/>
              </w:rPr>
              <w:t>备注：本表反映部门本年度“三公”经费支出预决算情况。其中：年初预算数为“三公”经费年初部门预算批复数，全年预算数为“三公”经费全年预算数，反映按照规定程序调整后的预算数；决算数是包括当年一般公共预算财政拨款、政府性基金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02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方正仿宋_GBK" w:hAnsi="方正仿宋_GBK" w:eastAsia="方正仿宋_GBK" w:cs="方正仿宋_GBK"/>
                <w:b w:val="0"/>
                <w:bCs w:val="0"/>
                <w:i w:val="0"/>
                <w:iCs w:val="0"/>
                <w:color w:val="auto"/>
                <w:sz w:val="24"/>
                <w:szCs w:val="24"/>
                <w:u w:val="none"/>
              </w:rPr>
            </w:pPr>
            <w:r>
              <w:rPr>
                <w:rFonts w:hint="eastAsia" w:ascii="方正仿宋_GBK" w:hAnsi="方正仿宋_GBK" w:eastAsia="方正仿宋_GBK" w:cs="方正仿宋_GBK"/>
                <w:b w:val="0"/>
                <w:bCs w:val="0"/>
                <w:i w:val="0"/>
                <w:iCs w:val="0"/>
                <w:color w:val="auto"/>
                <w:kern w:val="0"/>
                <w:sz w:val="24"/>
                <w:szCs w:val="24"/>
                <w:u w:val="none"/>
                <w:lang w:val="en-US" w:eastAsia="zh-CN" w:bidi="ar"/>
              </w:rPr>
              <w:t xml:space="preserve">本表为空的单位应将空表公开，并注明：本单位无相关数据，故本表为空。    </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b w:val="0"/>
          <w:bCs w:val="0"/>
          <w:color w:val="auto"/>
          <w:sz w:val="24"/>
          <w:szCs w:val="24"/>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04F21"/>
    <w:multiLevelType w:val="singleLevel"/>
    <w:tmpl w:val="A8304F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YzJmMzZjYjE1ODE1NzhkYmIxNTFlNzUxZDU5ZDcifQ=="/>
  </w:docVars>
  <w:rsids>
    <w:rsidRoot w:val="00000000"/>
    <w:rsid w:val="0207305F"/>
    <w:rsid w:val="026A509C"/>
    <w:rsid w:val="069F41B1"/>
    <w:rsid w:val="06C13B3D"/>
    <w:rsid w:val="06F35CC1"/>
    <w:rsid w:val="0721282E"/>
    <w:rsid w:val="0BFE2BC2"/>
    <w:rsid w:val="0C033C41"/>
    <w:rsid w:val="0D200E92"/>
    <w:rsid w:val="0D352AAD"/>
    <w:rsid w:val="0D420653"/>
    <w:rsid w:val="105D3BF9"/>
    <w:rsid w:val="10640F57"/>
    <w:rsid w:val="119D0D03"/>
    <w:rsid w:val="14EA0703"/>
    <w:rsid w:val="15AB0FB7"/>
    <w:rsid w:val="17150F4F"/>
    <w:rsid w:val="17562CA7"/>
    <w:rsid w:val="1A972B45"/>
    <w:rsid w:val="1B1115F9"/>
    <w:rsid w:val="1B605942"/>
    <w:rsid w:val="1B876BD4"/>
    <w:rsid w:val="1C6F57C0"/>
    <w:rsid w:val="1D975E08"/>
    <w:rsid w:val="1DB21FDA"/>
    <w:rsid w:val="1DD12460"/>
    <w:rsid w:val="1E4D175B"/>
    <w:rsid w:val="1FAF67D1"/>
    <w:rsid w:val="20464723"/>
    <w:rsid w:val="20F36B91"/>
    <w:rsid w:val="228641B0"/>
    <w:rsid w:val="231C5EB2"/>
    <w:rsid w:val="233B41F1"/>
    <w:rsid w:val="23A979DB"/>
    <w:rsid w:val="256A4F48"/>
    <w:rsid w:val="26F71427"/>
    <w:rsid w:val="27F062A7"/>
    <w:rsid w:val="28D17481"/>
    <w:rsid w:val="29B94CDC"/>
    <w:rsid w:val="2AE00186"/>
    <w:rsid w:val="2B5B15BB"/>
    <w:rsid w:val="2B7B31CD"/>
    <w:rsid w:val="2B8313B8"/>
    <w:rsid w:val="2B8F423A"/>
    <w:rsid w:val="2BCE6231"/>
    <w:rsid w:val="2ED27DE6"/>
    <w:rsid w:val="2F1A3AF9"/>
    <w:rsid w:val="30382813"/>
    <w:rsid w:val="314C343E"/>
    <w:rsid w:val="32491521"/>
    <w:rsid w:val="32C97752"/>
    <w:rsid w:val="331566FF"/>
    <w:rsid w:val="332D7CE1"/>
    <w:rsid w:val="36721EAF"/>
    <w:rsid w:val="37EA2644"/>
    <w:rsid w:val="3829421D"/>
    <w:rsid w:val="3A1929BC"/>
    <w:rsid w:val="3BF82E56"/>
    <w:rsid w:val="3CCC056A"/>
    <w:rsid w:val="40D81790"/>
    <w:rsid w:val="40D84160"/>
    <w:rsid w:val="41122F5D"/>
    <w:rsid w:val="413258B2"/>
    <w:rsid w:val="42BC2E2F"/>
    <w:rsid w:val="42D00689"/>
    <w:rsid w:val="42EF3FC8"/>
    <w:rsid w:val="438902EA"/>
    <w:rsid w:val="44243CDF"/>
    <w:rsid w:val="450F1848"/>
    <w:rsid w:val="45BF43D0"/>
    <w:rsid w:val="463027C9"/>
    <w:rsid w:val="476B0980"/>
    <w:rsid w:val="4A5C759F"/>
    <w:rsid w:val="4C663BF6"/>
    <w:rsid w:val="4CC530DC"/>
    <w:rsid w:val="4ECA68D4"/>
    <w:rsid w:val="50E83041"/>
    <w:rsid w:val="52A573F8"/>
    <w:rsid w:val="52DE4425"/>
    <w:rsid w:val="54574766"/>
    <w:rsid w:val="565B3E64"/>
    <w:rsid w:val="576158FB"/>
    <w:rsid w:val="57CC79AB"/>
    <w:rsid w:val="59EC2565"/>
    <w:rsid w:val="5BC329F6"/>
    <w:rsid w:val="5D0D559B"/>
    <w:rsid w:val="5DA54957"/>
    <w:rsid w:val="5FB84304"/>
    <w:rsid w:val="615D4544"/>
    <w:rsid w:val="62073330"/>
    <w:rsid w:val="62500A46"/>
    <w:rsid w:val="62AF21A6"/>
    <w:rsid w:val="62FF575B"/>
    <w:rsid w:val="636C4543"/>
    <w:rsid w:val="63A70E45"/>
    <w:rsid w:val="64A439AF"/>
    <w:rsid w:val="662B7800"/>
    <w:rsid w:val="66CC0FE3"/>
    <w:rsid w:val="673C5455"/>
    <w:rsid w:val="674302D7"/>
    <w:rsid w:val="6778782F"/>
    <w:rsid w:val="69590B48"/>
    <w:rsid w:val="698A2A90"/>
    <w:rsid w:val="6A0C7949"/>
    <w:rsid w:val="6A75300F"/>
    <w:rsid w:val="6AB32CFC"/>
    <w:rsid w:val="6AD422C3"/>
    <w:rsid w:val="6CED3FF7"/>
    <w:rsid w:val="6DA22A9E"/>
    <w:rsid w:val="6DA305C4"/>
    <w:rsid w:val="6E8C7305"/>
    <w:rsid w:val="6ECB3E6A"/>
    <w:rsid w:val="702C2AF3"/>
    <w:rsid w:val="70A703CB"/>
    <w:rsid w:val="74BB2697"/>
    <w:rsid w:val="7541202B"/>
    <w:rsid w:val="755521A4"/>
    <w:rsid w:val="7574536F"/>
    <w:rsid w:val="765C57B4"/>
    <w:rsid w:val="79A11E5C"/>
    <w:rsid w:val="79AB4A88"/>
    <w:rsid w:val="79E42378"/>
    <w:rsid w:val="7B034EB4"/>
    <w:rsid w:val="7B75534E"/>
    <w:rsid w:val="7BE20509"/>
    <w:rsid w:val="7C292859"/>
    <w:rsid w:val="7C3314CE"/>
    <w:rsid w:val="7DAC7021"/>
    <w:rsid w:val="7F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character" w:customStyle="1" w:styleId="7">
    <w:name w:val="10"/>
    <w:basedOn w:val="6"/>
    <w:qFormat/>
    <w:uiPriority w:val="0"/>
    <w:rPr>
      <w:rFonts w:hint="default" w:ascii="Times New Roman" w:hAnsi="Times New Roman" w:cs="Times New Roman"/>
    </w:rPr>
  </w:style>
  <w:style w:type="character" w:customStyle="1" w:styleId="8">
    <w:name w:val="15"/>
    <w:basedOn w:val="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2023-10-16T01:40:00Z</dcterms:created>
  <dc:creator>Administrator</dc:creator>
  <cp:lastModifiedBy>大足生活通-牵牵妹</cp:lastModifiedBy>
  <dcterms:modified xsi:type="dcterms:W3CDTF">2023-10-20T09:07:47Z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8755E128F5DD41C6BEF84AEE58E69EAB_13</vt:lpwstr>
  </property>
</Properties>
</file>