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3393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重庆市大足区政务服务管理办公室</w:t>
      </w:r>
    </w:p>
    <w:p w14:paraId="2D8BDD95">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44"/>
          <w:szCs w:val="44"/>
        </w:rPr>
      </w:pPr>
      <w:r>
        <w:rPr>
          <w:rFonts w:hint="eastAsia" w:ascii="方正小标宋_GBK" w:hAnsi="方正小标宋_GBK" w:eastAsia="方正小标宋_GBK" w:cs="方正小标宋_GBK"/>
          <w:sz w:val="44"/>
          <w:szCs w:val="44"/>
        </w:rPr>
        <w:t>2023年度决算公开</w:t>
      </w:r>
      <w:r>
        <w:rPr>
          <w:rFonts w:hint="eastAsia" w:ascii="方正小标宋_GBK" w:hAnsi="方正小标宋_GBK" w:eastAsia="方正小标宋_GBK" w:cs="方正小标宋_GBK"/>
          <w:sz w:val="44"/>
          <w:szCs w:val="44"/>
          <w:lang w:eastAsia="zh-CN"/>
        </w:rPr>
        <w:t>的</w:t>
      </w:r>
      <w:r>
        <w:rPr>
          <w:rFonts w:hint="eastAsia" w:ascii="方正小标宋_GBK" w:hAnsi="方正小标宋_GBK" w:eastAsia="方正小标宋_GBK" w:cs="方正小标宋_GBK"/>
          <w:sz w:val="44"/>
          <w:szCs w:val="44"/>
        </w:rPr>
        <w:t>说明</w:t>
      </w:r>
    </w:p>
    <w:p w14:paraId="7CFB305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p>
    <w:p w14:paraId="55DFD03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一、部门基本情况</w:t>
      </w:r>
    </w:p>
    <w:p w14:paraId="038C65E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6D85275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贯</w:t>
      </w:r>
      <w:r>
        <w:rPr>
          <w:rFonts w:hint="eastAsia" w:ascii="方正仿宋_GBK" w:hAnsi="方正仿宋_GBK" w:eastAsia="方正仿宋_GBK" w:cs="方正仿宋_GBK"/>
          <w:sz w:val="32"/>
          <w:szCs w:val="32"/>
          <w:lang w:val="en-US" w:eastAsia="zh-CN"/>
        </w:rPr>
        <w:t>彻执行国家、市、区深化行政审批制度改革的决策部署，负责统筹推进全区行政审批制度改革工作，制定全区政务服务的制度、办法、标准和监管细则，并组织实施。</w:t>
      </w:r>
    </w:p>
    <w:p w14:paraId="27152B7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2.负责清理全区政务服务事项，完善项目库，规范优化行政审批服务流程，压缩审批服务时限，推进行政审批服务信息公开。</w:t>
      </w:r>
    </w:p>
    <w:p w14:paraId="2D11DB1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3.负责对进入行政服务中心的各类事项的办理进行组织协调、监督管理和指导服务。</w:t>
      </w:r>
    </w:p>
    <w:p w14:paraId="463FF47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统筹协调全区政务网络信息系统和公共信息平台的规划建设管理，协调促进跨行业、跨部门面向社会服务网的互联互通和信息资源共享。负责全区政务服务平台和电子政务外网的建设管理，制定相应的运行规范和制度。负责全区各部门、各镇（街）推进信息化建设的技术指导和支持，以及政务信息化人员培训。负责三级政务服务事项的管理。</w:t>
      </w:r>
    </w:p>
    <w:p w14:paraId="4612646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5.负责全区网上行政审批电子监察平台的建设、管理和维护，对网上行政审批工作进行实时监控、预警纠错和绩效评估。</w:t>
      </w:r>
    </w:p>
    <w:p w14:paraId="1357358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6.负责对全区各部门、各镇（街）行政审批和政务服务工作的考核，并对入驻中心的窗口单位、工作人员进行管理和考核。</w:t>
      </w:r>
    </w:p>
    <w:p w14:paraId="5257DB0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7.负责对全区镇（街）公共服务中心和村（社区）便民服务中心的业务指导。</w:t>
      </w:r>
    </w:p>
    <w:p w14:paraId="5F013D4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8.负责牵头协调重大复杂审批事项，确保审批事项快速高效办结。</w:t>
      </w:r>
    </w:p>
    <w:p w14:paraId="07A9879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9.协助纪委监委等部门处理审批服务中的违规、违纪、投诉及信访案件。</w:t>
      </w:r>
    </w:p>
    <w:p w14:paraId="50E89E1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10.完成区委、区政府交办的其他任务。</w:t>
      </w:r>
    </w:p>
    <w:p w14:paraId="3AC9157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636EB61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重庆市大足区政务服务管理办公室是区政府工作部门，设有综合科、考核监督科、电子政务科、审批服务协调科、审批制度改革科、基层指导科6个科室。下设重庆市大足区行政服务中心（</w:t>
      </w:r>
      <w:r>
        <w:rPr>
          <w:rFonts w:hint="eastAsia" w:ascii="方正仿宋_GBK" w:hAnsi="方正仿宋_GBK" w:eastAsia="方正仿宋_GBK" w:cs="方正仿宋_GBK"/>
          <w:sz w:val="32"/>
          <w:szCs w:val="32"/>
          <w:lang w:eastAsia="zh-CN"/>
        </w:rPr>
        <w:t>公益一类</w:t>
      </w:r>
      <w:r>
        <w:rPr>
          <w:rFonts w:hint="eastAsia" w:ascii="方正仿宋_GBK" w:hAnsi="方正仿宋_GBK" w:eastAsia="方正仿宋_GBK" w:cs="方正仿宋_GBK"/>
          <w:sz w:val="32"/>
          <w:szCs w:val="32"/>
        </w:rPr>
        <w:t>事业单位）。目前区政务服务管理办工作人员共</w:t>
      </w:r>
      <w:r>
        <w:rPr>
          <w:rFonts w:hint="eastAsia" w:ascii="方正仿宋_GBK" w:hAnsi="方正仿宋_GBK" w:eastAsia="方正仿宋_GBK" w:cs="方正仿宋_GBK"/>
          <w:sz w:val="32"/>
          <w:szCs w:val="32"/>
          <w:lang w:val="en-US" w:eastAsia="zh-CN"/>
        </w:rPr>
        <w:t>38</w:t>
      </w:r>
      <w:r>
        <w:rPr>
          <w:rFonts w:hint="eastAsia" w:ascii="方正仿宋_GBK" w:hAnsi="方正仿宋_GBK" w:eastAsia="方正仿宋_GBK" w:cs="方正仿宋_GBK"/>
          <w:sz w:val="32"/>
          <w:szCs w:val="32"/>
        </w:rPr>
        <w:t>人。其中：区政务服务管理办正式在编工作人员</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区行政服务中心正式在编人员</w:t>
      </w:r>
      <w:r>
        <w:rPr>
          <w:rFonts w:hint="eastAsia" w:ascii="方正仿宋_GBK" w:hAnsi="方正仿宋_GBK" w:eastAsia="方正仿宋_GBK" w:cs="方正仿宋_GBK"/>
          <w:sz w:val="32"/>
          <w:szCs w:val="32"/>
          <w:lang w:val="en-US" w:eastAsia="zh-CN"/>
        </w:rPr>
        <w:t>4名，由区临工办批准使用的聘用人员24</w:t>
      </w:r>
      <w:r>
        <w:rPr>
          <w:rFonts w:hint="eastAsia" w:ascii="方正仿宋_GBK" w:hAnsi="方正仿宋_GBK" w:eastAsia="方正仿宋_GBK" w:cs="方正仿宋_GBK"/>
          <w:sz w:val="32"/>
          <w:szCs w:val="32"/>
        </w:rPr>
        <w:t>人。</w:t>
      </w:r>
    </w:p>
    <w:p w14:paraId="6D7EBF9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二、部门决算情况说明</w:t>
      </w:r>
    </w:p>
    <w:p w14:paraId="53AE133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（一）收入支出决算总体情况说明。</w:t>
      </w:r>
    </w:p>
    <w:p w14:paraId="4D8B33DD">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2023年度收入总计724.81万元，支出总计724.81万元。收支较上年决算数减少99.84万元，下降12.11%，主要</w:t>
      </w:r>
      <w:r>
        <w:rPr>
          <w:rFonts w:hint="eastAsia" w:ascii="方正仿宋_GBK" w:hAnsi="方正仿宋_GBK" w:eastAsia="方正仿宋_GBK" w:cs="方正仿宋_GBK"/>
          <w:sz w:val="32"/>
          <w:szCs w:val="32"/>
          <w:lang w:eastAsia="zh-CN"/>
        </w:rPr>
        <w:t>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p>
    <w:p w14:paraId="7B170445">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2023年度收入合计684.19万元，较上年决算数减少99.83万元，下降12.73%，</w:t>
      </w:r>
      <w:r>
        <w:rPr>
          <w:rFonts w:hint="eastAsia" w:ascii="方正仿宋_GBK" w:hAnsi="方正仿宋_GBK" w:eastAsia="方正仿宋_GBK" w:cs="方正仿宋_GBK"/>
          <w:sz w:val="32"/>
          <w:szCs w:val="32"/>
          <w:lang w:eastAsia="zh-CN"/>
        </w:rPr>
        <w:t>主要原因是“大厅工作服经费”“双桥分中心用房物业费”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2个项目经费虽然纳入了年初预算，年终却未支付；“网络运行及服务外包”纳入债务还本而未纳入年底决算。</w:t>
      </w:r>
      <w:r>
        <w:rPr>
          <w:rFonts w:hint="eastAsia" w:ascii="方正仿宋_GBK" w:hAnsi="方正仿宋_GBK" w:eastAsia="方正仿宋_GBK" w:cs="方正仿宋_GBK"/>
          <w:sz w:val="32"/>
          <w:szCs w:val="32"/>
        </w:rPr>
        <w:t>其中：财政拨款收入684.19万元，占100.00%；事业收入0.00万元，占0.00%；经营收入0.00万元，占0.00%；其他收入0.00万元，占0.00%。此外，使用非财政拨款结余和专用结余0.00万元，年初结转和结余40.62万元。</w:t>
      </w:r>
    </w:p>
    <w:p w14:paraId="20B60B29">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2023年度支出合计684.19万元，较上年决算数减少99.83万元，下降12.73%，</w:t>
      </w:r>
      <w:r>
        <w:rPr>
          <w:rFonts w:hint="eastAsia" w:ascii="方正仿宋_GBK" w:hAnsi="方正仿宋_GBK" w:eastAsia="方正仿宋_GBK" w:cs="方正仿宋_GBK"/>
          <w:sz w:val="32"/>
          <w:szCs w:val="32"/>
          <w:lang w:eastAsia="zh-CN"/>
        </w:rPr>
        <w:t>主要原因是“大厅工作服经费”“双桥分中心用房物业费”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2个项目经费虽然纳入了年初预算，年底却未支付；“网络运行及服务外包”纳入未纳入年终决算。</w:t>
      </w:r>
      <w:r>
        <w:rPr>
          <w:rFonts w:hint="eastAsia" w:ascii="方正仿宋_GBK" w:hAnsi="方正仿宋_GBK" w:eastAsia="方正仿宋_GBK" w:cs="方正仿宋_GBK"/>
          <w:sz w:val="32"/>
          <w:szCs w:val="32"/>
        </w:rPr>
        <w:t>其中：基本支出386.74万元，占56.52%；项目支出297.45万元，占43.48%；经营支出0.00万元，占0.00%。此外，结余分配0.00万元。</w:t>
      </w:r>
    </w:p>
    <w:p w14:paraId="5A5E41C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2023年度年末结转和结余40.62万元，较上年决算数无增减，主要原因是</w:t>
      </w:r>
      <w:r>
        <w:rPr>
          <w:rFonts w:hint="eastAsia" w:ascii="方正仿宋_GBK" w:hAnsi="方正仿宋_GBK" w:eastAsia="方正仿宋_GBK" w:cs="方正仿宋_GBK"/>
          <w:sz w:val="32"/>
          <w:szCs w:val="32"/>
          <w:lang w:val="en-US" w:eastAsia="zh-CN"/>
        </w:rPr>
        <w:t>2023年年末结余40.62万元为双桥分中心合并时双桥资金局结余。</w:t>
      </w:r>
    </w:p>
    <w:p w14:paraId="72892D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（二）财政拨款收入支出决算总体情况说明</w:t>
      </w:r>
      <w:r>
        <w:rPr>
          <w:rFonts w:hint="eastAsia" w:ascii="方正楷体_GBK" w:hAnsi="方正楷体_GBK" w:eastAsia="方正楷体_GBK" w:cs="方正楷体_GBK"/>
          <w:sz w:val="32"/>
          <w:szCs w:val="32"/>
          <w:lang w:eastAsia="zh-CN"/>
        </w:rPr>
        <w:t>。</w:t>
      </w:r>
    </w:p>
    <w:p w14:paraId="597BA77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2023年度财政拨款收、支总计724.81万元。与2022年相比，财政拨款收、支总计各减少99.84万元，下降12.11%。</w:t>
      </w:r>
      <w:r>
        <w:rPr>
          <w:rFonts w:hint="eastAsia" w:ascii="方正仿宋_GBK" w:hAnsi="方正仿宋_GBK" w:eastAsia="方正仿宋_GBK" w:cs="方正仿宋_GBK"/>
          <w:sz w:val="32"/>
          <w:szCs w:val="32"/>
          <w:lang w:eastAsia="zh-CN"/>
        </w:rPr>
        <w:t>主要原因是本单位厉行节约，严格控制开</w:t>
      </w:r>
      <w:r>
        <w:rPr>
          <w:rFonts w:hint="eastAsia" w:ascii="方正仿宋_GBK" w:hAnsi="方正仿宋_GBK" w:eastAsia="方正仿宋_GBK" w:cs="方正仿宋_GBK"/>
          <w:sz w:val="32"/>
          <w:szCs w:val="32"/>
          <w:lang w:val="en-US" w:eastAsia="zh-CN"/>
        </w:rPr>
        <w:t>支</w:t>
      </w:r>
      <w:r>
        <w:rPr>
          <w:rFonts w:hint="eastAsia" w:ascii="方正仿宋_GBK" w:hAnsi="方正仿宋_GBK" w:eastAsia="方正仿宋_GBK" w:cs="方正仿宋_GBK"/>
          <w:sz w:val="32"/>
          <w:szCs w:val="32"/>
          <w:lang w:eastAsia="zh-CN"/>
        </w:rPr>
        <w:t>；“大厅工作服经费”“双桥分中心用房物业费”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p>
    <w:p w14:paraId="3EFF587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（三）一般公共预算财政拨款收入支出决算情况说明</w:t>
      </w:r>
      <w:r>
        <w:rPr>
          <w:rFonts w:hint="eastAsia" w:ascii="方正楷体_GBK" w:hAnsi="方正楷体_GBK" w:eastAsia="方正楷体_GBK" w:cs="方正楷体_GBK"/>
          <w:sz w:val="32"/>
          <w:szCs w:val="32"/>
          <w:lang w:eastAsia="zh-CN"/>
        </w:rPr>
        <w:t>。</w:t>
      </w:r>
    </w:p>
    <w:p w14:paraId="704F104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rPr>
        <w:t>1.收入情况。</w:t>
      </w:r>
      <w:r>
        <w:rPr>
          <w:rFonts w:hint="eastAsia" w:ascii="方正仿宋_GBK" w:hAnsi="方正仿宋_GBK" w:eastAsia="方正仿宋_GBK" w:cs="方正仿宋_GBK"/>
          <w:sz w:val="32"/>
          <w:szCs w:val="32"/>
        </w:rPr>
        <w:t>2023年度一般公共预算财政拨款收入684.19万元，较上年决算数减少99.83万元，下降12.73%。</w:t>
      </w:r>
      <w:r>
        <w:rPr>
          <w:rFonts w:hint="eastAsia" w:ascii="方正仿宋_GBK" w:hAnsi="方正仿宋_GBK" w:eastAsia="方正仿宋_GBK" w:cs="方正仿宋_GBK"/>
          <w:sz w:val="32"/>
          <w:szCs w:val="32"/>
          <w:lang w:eastAsia="zh-CN"/>
        </w:rPr>
        <w:t>主要原因是本单位厉行节约，严格控制开支；“大厅工作服经费”“双桥分中心用房物业费”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r>
        <w:rPr>
          <w:rFonts w:hint="eastAsia" w:ascii="方正仿宋_GBK" w:hAnsi="方正仿宋_GBK" w:eastAsia="方正仿宋_GBK" w:cs="方正仿宋_GBK"/>
          <w:sz w:val="32"/>
          <w:szCs w:val="32"/>
        </w:rPr>
        <w:t>较年初预算数减少48.67万元，下降6.64%。</w:t>
      </w:r>
      <w:r>
        <w:rPr>
          <w:rFonts w:hint="eastAsia" w:ascii="方正仿宋_GBK" w:hAnsi="方正仿宋_GBK" w:eastAsia="方正仿宋_GBK" w:cs="方正仿宋_GBK"/>
          <w:sz w:val="32"/>
          <w:szCs w:val="32"/>
          <w:lang w:eastAsia="zh-CN"/>
        </w:rPr>
        <w:t>主要原因是本单位厉行节约，严格控制开支；“大厅工作服经费”“双桥分中心用房物业费”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2个项目经费虽然纳入了年初预算，年终未在本部门支付。</w:t>
      </w:r>
    </w:p>
    <w:p w14:paraId="6ED06A9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此外，年初财政拨款结转和结余40.62万元。</w:t>
      </w:r>
    </w:p>
    <w:p w14:paraId="72E07B5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2.支出情况。</w:t>
      </w:r>
      <w:r>
        <w:rPr>
          <w:rFonts w:hint="eastAsia" w:ascii="方正仿宋_GBK" w:hAnsi="方正仿宋_GBK" w:eastAsia="方正仿宋_GBK" w:cs="方正仿宋_GBK"/>
          <w:sz w:val="32"/>
          <w:szCs w:val="32"/>
        </w:rPr>
        <w:t>2023年度一般公共预算财政拨款支出684.19万元，较上年决算数减少99.83万元，下降12.73%。</w:t>
      </w:r>
      <w:r>
        <w:rPr>
          <w:rFonts w:hint="eastAsia" w:ascii="方正仿宋_GBK" w:hAnsi="方正仿宋_GBK" w:eastAsia="方正仿宋_GBK" w:cs="方正仿宋_GBK"/>
          <w:sz w:val="32"/>
          <w:szCs w:val="32"/>
          <w:lang w:eastAsia="zh-CN"/>
        </w:rPr>
        <w:t>主要原因是本单位厉行节约，严格控制开支；“大厅工作服经费”“双桥分中心用房物业费”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r>
        <w:rPr>
          <w:rFonts w:hint="eastAsia" w:ascii="方正仿宋_GBK" w:hAnsi="方正仿宋_GBK" w:eastAsia="方正仿宋_GBK" w:cs="方正仿宋_GBK"/>
          <w:sz w:val="32"/>
          <w:szCs w:val="32"/>
        </w:rPr>
        <w:t>较年初预算数减少48.67万元，下降6.64%。</w:t>
      </w:r>
      <w:r>
        <w:rPr>
          <w:rFonts w:hint="eastAsia" w:ascii="方正仿宋_GBK" w:hAnsi="方正仿宋_GBK" w:eastAsia="方正仿宋_GBK" w:cs="方正仿宋_GBK"/>
          <w:sz w:val="32"/>
          <w:szCs w:val="32"/>
          <w:lang w:eastAsia="zh-CN"/>
        </w:rPr>
        <w:t>主要原因是本单位厉行节约，严格控制</w:t>
      </w:r>
      <w:r>
        <w:rPr>
          <w:rFonts w:hint="eastAsia" w:ascii="方正仿宋_GBK" w:hAnsi="方正仿宋_GBK" w:eastAsia="方正仿宋_GBK" w:cs="方正仿宋_GBK"/>
          <w:sz w:val="32"/>
          <w:szCs w:val="32"/>
          <w:lang w:val="en-US" w:eastAsia="zh-CN"/>
        </w:rPr>
        <w:t>开</w:t>
      </w:r>
      <w:r>
        <w:rPr>
          <w:rFonts w:hint="eastAsia" w:ascii="方正仿宋_GBK" w:hAnsi="方正仿宋_GBK" w:eastAsia="方正仿宋_GBK" w:cs="方正仿宋_GBK"/>
          <w:sz w:val="32"/>
          <w:szCs w:val="32"/>
          <w:lang w:eastAsia="zh-CN"/>
        </w:rPr>
        <w:t>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2个项目经费虽然纳入了年初预算，年终未在本部门支付。</w:t>
      </w:r>
    </w:p>
    <w:p w14:paraId="18269D3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3.结转结余情况。</w:t>
      </w:r>
      <w:r>
        <w:rPr>
          <w:rFonts w:hint="eastAsia" w:ascii="方正仿宋_GBK" w:hAnsi="方正仿宋_GBK" w:eastAsia="方正仿宋_GBK" w:cs="方正仿宋_GBK"/>
          <w:sz w:val="32"/>
          <w:szCs w:val="32"/>
        </w:rPr>
        <w:t>2023年度年末一般公共预算财政拨款结转和结余40.62万元，较上年决算数无增减，主要原因是</w:t>
      </w:r>
      <w:r>
        <w:rPr>
          <w:rFonts w:hint="eastAsia" w:ascii="方正仿宋_GBK" w:hAnsi="方正仿宋_GBK" w:eastAsia="方正仿宋_GBK" w:cs="方正仿宋_GBK"/>
          <w:sz w:val="32"/>
          <w:szCs w:val="32"/>
          <w:lang w:val="en-US" w:eastAsia="zh-CN"/>
        </w:rPr>
        <w:t>2023年年末结余40.62万元为双桥分中心合并时双桥资金局结余结转40.62万元。</w:t>
      </w:r>
    </w:p>
    <w:p w14:paraId="09BAE492">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4.比较情况。</w:t>
      </w:r>
      <w:r>
        <w:rPr>
          <w:rFonts w:hint="eastAsia" w:ascii="方正仿宋_GBK" w:hAnsi="方正仿宋_GBK" w:eastAsia="方正仿宋_GBK" w:cs="方正仿宋_GBK"/>
          <w:sz w:val="32"/>
          <w:szCs w:val="32"/>
        </w:rPr>
        <w:t>本部门2023年度一般公共预算财政拨款支出主要用于以下几个方面：</w:t>
      </w:r>
    </w:p>
    <w:p w14:paraId="0F60644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（1）一般公共服务支出605.67万元，占88.52%，较年初预算数减少32.80万元，下降5.14%，</w:t>
      </w:r>
      <w:r>
        <w:rPr>
          <w:rFonts w:hint="eastAsia" w:ascii="方正仿宋_GBK" w:hAnsi="方正仿宋_GBK" w:eastAsia="方正仿宋_GBK" w:cs="方正仿宋_GBK"/>
          <w:sz w:val="32"/>
          <w:szCs w:val="32"/>
          <w:lang w:eastAsia="zh-CN"/>
        </w:rPr>
        <w:t>主要原因是本单位厉行节约，严格控制开支；“大厅工作服经费”“双桥分中心用房物业费”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2个项目经费虽然纳入了年初预算，年终未本部门支付。</w:t>
      </w:r>
    </w:p>
    <w:p w14:paraId="3214617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）社会保障与就业支出45.72万元，占6.68%，较年初预算数减少2.50万元，下降5.18%，主要原因是</w:t>
      </w:r>
      <w:r>
        <w:rPr>
          <w:rFonts w:hint="eastAsia" w:ascii="方正仿宋_GBK" w:hAnsi="方正仿宋_GBK" w:eastAsia="方正仿宋_GBK" w:cs="方正仿宋_GBK"/>
          <w:sz w:val="32"/>
          <w:szCs w:val="32"/>
          <w:lang w:eastAsia="zh-CN"/>
        </w:rPr>
        <w:t>本单位厉行节约，严格控制</w:t>
      </w:r>
      <w:r>
        <w:rPr>
          <w:rFonts w:hint="eastAsia" w:ascii="方正仿宋_GBK" w:hAnsi="方正仿宋_GBK" w:eastAsia="方正仿宋_GBK" w:cs="方正仿宋_GBK"/>
          <w:sz w:val="32"/>
          <w:szCs w:val="32"/>
          <w:lang w:val="en-US" w:eastAsia="zh-CN"/>
        </w:rPr>
        <w:t>机关事业单位基本养老、职业年金、工伤保险等</w:t>
      </w:r>
      <w:r>
        <w:rPr>
          <w:rFonts w:hint="eastAsia" w:ascii="方正仿宋_GBK" w:hAnsi="方正仿宋_GBK" w:eastAsia="方正仿宋_GBK" w:cs="方正仿宋_GBK"/>
          <w:sz w:val="32"/>
          <w:szCs w:val="32"/>
          <w:lang w:eastAsia="zh-CN"/>
        </w:rPr>
        <w:t>支付。</w:t>
      </w:r>
    </w:p>
    <w:p w14:paraId="58B15F1B">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）卫生健康支出20.27万元，占2.96%，较年初预算数减少0.94万元，下降4.43%，主要原因是</w:t>
      </w:r>
      <w:r>
        <w:rPr>
          <w:rFonts w:hint="eastAsia" w:ascii="方正仿宋_GBK" w:hAnsi="方正仿宋_GBK" w:eastAsia="方正仿宋_GBK" w:cs="方正仿宋_GBK"/>
          <w:sz w:val="32"/>
          <w:szCs w:val="32"/>
          <w:lang w:eastAsia="zh-CN"/>
        </w:rPr>
        <w:t>本单位厉行节约，严格控制</w:t>
      </w:r>
      <w:r>
        <w:rPr>
          <w:rFonts w:hint="eastAsia" w:ascii="方正仿宋_GBK" w:hAnsi="方正仿宋_GBK" w:eastAsia="方正仿宋_GBK" w:cs="方正仿宋_GBK"/>
          <w:sz w:val="32"/>
          <w:szCs w:val="32"/>
          <w:lang w:val="en-US" w:eastAsia="zh-CN"/>
        </w:rPr>
        <w:t>行政事业单位医疗保险、公务员医疗补助等</w:t>
      </w:r>
      <w:r>
        <w:rPr>
          <w:rFonts w:hint="eastAsia" w:ascii="方正仿宋_GBK" w:hAnsi="方正仿宋_GBK" w:eastAsia="方正仿宋_GBK" w:cs="方正仿宋_GBK"/>
          <w:sz w:val="32"/>
          <w:szCs w:val="32"/>
          <w:lang w:eastAsia="zh-CN"/>
        </w:rPr>
        <w:t>开支。</w:t>
      </w:r>
    </w:p>
    <w:p w14:paraId="372A7F2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）住房保障支出12.53万元，占1.83%，较年初预算数减少12.42万元，下降49.78%，主要原因是</w:t>
      </w:r>
      <w:r>
        <w:rPr>
          <w:rFonts w:hint="eastAsia" w:ascii="方正仿宋_GBK" w:hAnsi="方正仿宋_GBK" w:eastAsia="方正仿宋_GBK" w:cs="方正仿宋_GBK"/>
          <w:sz w:val="32"/>
          <w:szCs w:val="32"/>
          <w:lang w:eastAsia="zh-CN"/>
        </w:rPr>
        <w:t>本单位厉行节约，严格控制</w:t>
      </w:r>
      <w:r>
        <w:rPr>
          <w:rFonts w:hint="eastAsia" w:ascii="方正仿宋_GBK" w:hAnsi="方正仿宋_GBK" w:eastAsia="方正仿宋_GBK" w:cs="方正仿宋_GBK"/>
          <w:sz w:val="32"/>
          <w:szCs w:val="32"/>
          <w:lang w:val="en-US" w:eastAsia="zh-CN"/>
        </w:rPr>
        <w:t>住房公积金</w:t>
      </w:r>
      <w:r>
        <w:rPr>
          <w:rFonts w:hint="eastAsia" w:ascii="方正仿宋_GBK" w:hAnsi="方正仿宋_GBK" w:eastAsia="方正仿宋_GBK" w:cs="方正仿宋_GBK"/>
          <w:sz w:val="32"/>
          <w:szCs w:val="32"/>
          <w:lang w:eastAsia="zh-CN"/>
        </w:rPr>
        <w:t>开支。</w:t>
      </w:r>
    </w:p>
    <w:p w14:paraId="7A4BD70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（四）一般公共预算财政拨款基本支出决算情况说明</w:t>
      </w:r>
      <w:r>
        <w:rPr>
          <w:rFonts w:hint="eastAsia" w:ascii="方正楷体_GBK" w:hAnsi="方正楷体_GBK" w:eastAsia="方正楷体_GBK" w:cs="方正楷体_GBK"/>
          <w:sz w:val="32"/>
          <w:szCs w:val="32"/>
          <w:lang w:eastAsia="zh-CN"/>
        </w:rPr>
        <w:t>。</w:t>
      </w:r>
    </w:p>
    <w:p w14:paraId="77E55AF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2023年度一般公共财政拨款基本支出386.74万元。其中：人员经费324.16万元，较上年决算数增加1.87万元，增长0.58%，主要原因是</w:t>
      </w:r>
      <w:r>
        <w:rPr>
          <w:rFonts w:hint="eastAsia" w:ascii="方正仿宋_GBK" w:hAnsi="方正仿宋_GBK" w:eastAsia="方正仿宋_GBK" w:cs="方正仿宋_GBK"/>
          <w:sz w:val="32"/>
          <w:szCs w:val="32"/>
          <w:lang w:val="en-US" w:eastAsia="zh-CN"/>
        </w:rPr>
        <w:t>本单位用公用经费支付单位的伙食费，计入了人员经费</w:t>
      </w:r>
      <w:r>
        <w:rPr>
          <w:rFonts w:hint="eastAsia" w:ascii="方正仿宋_GBK" w:hAnsi="方正仿宋_GBK" w:eastAsia="方正仿宋_GBK" w:cs="方正仿宋_GBK"/>
          <w:sz w:val="32"/>
          <w:szCs w:val="32"/>
        </w:rPr>
        <w:t>。人员经费用途主要包括</w:t>
      </w:r>
      <w:r>
        <w:rPr>
          <w:rFonts w:hint="eastAsia" w:ascii="方正仿宋_GBK" w:hAnsi="方正仿宋_GBK" w:eastAsia="方正仿宋_GBK" w:cs="方正仿宋_GBK"/>
          <w:sz w:val="32"/>
          <w:szCs w:val="32"/>
          <w:lang w:val="en-US" w:eastAsia="zh-CN"/>
        </w:rPr>
        <w:t>基本工资、津贴补贴、奖金、伙食补助、绩效工资、机关事业养老保险费、职业年金、职工基本医疗保险费、公务员医疗保险、其他社会保障缴费、住房公积金、医疗费、退休人员生活补助和医疗补助等。</w:t>
      </w:r>
      <w:r>
        <w:rPr>
          <w:rFonts w:hint="eastAsia" w:ascii="方正仿宋_GBK" w:hAnsi="方正仿宋_GBK" w:eastAsia="方正仿宋_GBK" w:cs="方正仿宋_GBK"/>
          <w:sz w:val="32"/>
          <w:szCs w:val="32"/>
        </w:rPr>
        <w:t>公用经费62.58万元，较上年决算数减少4.48万元，下降6.68%，主要原因是</w:t>
      </w:r>
      <w:r>
        <w:rPr>
          <w:rFonts w:hint="eastAsia" w:ascii="方正仿宋_GBK" w:hAnsi="方正仿宋_GBK" w:eastAsia="方正仿宋_GBK" w:cs="方正仿宋_GBK"/>
          <w:sz w:val="32"/>
          <w:szCs w:val="32"/>
          <w:lang w:eastAsia="zh-CN"/>
        </w:rPr>
        <w:t>本单位厉行节约，严格控制开支。</w:t>
      </w:r>
      <w:r>
        <w:rPr>
          <w:rFonts w:hint="eastAsia" w:ascii="方正仿宋_GBK" w:hAnsi="方正仿宋_GBK" w:eastAsia="方正仿宋_GBK" w:cs="方正仿宋_GBK"/>
          <w:sz w:val="32"/>
          <w:szCs w:val="32"/>
        </w:rPr>
        <w:t>公用经费用途主要包括</w:t>
      </w:r>
      <w:r>
        <w:rPr>
          <w:rFonts w:hint="eastAsia" w:ascii="方正仿宋_GBK" w:hAnsi="方正仿宋_GBK" w:eastAsia="方正仿宋_GBK" w:cs="方正仿宋_GBK"/>
          <w:sz w:val="32"/>
          <w:szCs w:val="32"/>
          <w:lang w:val="en-US" w:eastAsia="zh-CN"/>
        </w:rPr>
        <w:t>办公费、邮电费、差旅费、培训费、公务接待费、劳务费、工会经费、福利费、公务用车运行维护费、其他交通费、其他商品服务支出等。</w:t>
      </w:r>
    </w:p>
    <w:p w14:paraId="551AFF1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（五）政府性基金预算收支决算情况说明</w:t>
      </w:r>
      <w:r>
        <w:rPr>
          <w:rFonts w:hint="eastAsia" w:ascii="方正楷体_GBK" w:hAnsi="方正楷体_GBK" w:eastAsia="方正楷体_GBK" w:cs="方正楷体_GBK"/>
          <w:sz w:val="32"/>
          <w:szCs w:val="32"/>
          <w:lang w:eastAsia="zh-CN"/>
        </w:rPr>
        <w:t>。</w:t>
      </w:r>
    </w:p>
    <w:p w14:paraId="2EFC561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政府性基金预算财政拨款年初结转结余0.00万元，年末结转结余0.00万元。本年收入0.00万元，较上年决算数无增减，主要原因是本部门2023年度无政府性基金预算财政拨款收支。本年支出0.00万元，较上年决算数无增减，主要原因是本部门2023年度无政府性基金预算财政拨款收支。</w:t>
      </w:r>
    </w:p>
    <w:p w14:paraId="300D010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（六）国有资本经营预算财政拨款支出决算情况说明</w:t>
      </w:r>
      <w:r>
        <w:rPr>
          <w:rFonts w:hint="eastAsia" w:ascii="方正楷体_GBK" w:hAnsi="方正楷体_GBK" w:eastAsia="方正楷体_GBK" w:cs="方正楷体_GBK"/>
          <w:sz w:val="32"/>
          <w:szCs w:val="32"/>
          <w:lang w:eastAsia="zh-CN"/>
        </w:rPr>
        <w:t>。</w:t>
      </w:r>
    </w:p>
    <w:p w14:paraId="1160D1A2">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2023年度国有资本经营预算财政拨本年支出0.00万元，基本支出0.00万元，项目支出0.00万元，本部门2023年度无国有资本经营预算财政拨款支出。</w:t>
      </w:r>
    </w:p>
    <w:p w14:paraId="13F68BF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5784C4E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（一）“三公”经费支出总体情况说明</w:t>
      </w:r>
      <w:r>
        <w:rPr>
          <w:rFonts w:hint="eastAsia" w:ascii="方正楷体_GBK" w:hAnsi="方正楷体_GBK" w:eastAsia="方正楷体_GBK" w:cs="方正楷体_GBK"/>
          <w:sz w:val="32"/>
          <w:szCs w:val="32"/>
          <w:lang w:eastAsia="zh-CN"/>
        </w:rPr>
        <w:t>。</w:t>
      </w:r>
    </w:p>
    <w:p w14:paraId="0572111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2023年度“三公”经费支出共计4.54万元，较年初预算数减少1.66万元，下降26.77%，主要原因是主要原因本年</w:t>
      </w:r>
      <w:r>
        <w:rPr>
          <w:rFonts w:hint="eastAsia" w:ascii="方正仿宋_GBK" w:hAnsi="方正仿宋_GBK" w:eastAsia="方正仿宋_GBK" w:cs="方正仿宋_GBK"/>
          <w:sz w:val="32"/>
          <w:szCs w:val="32"/>
          <w:lang w:eastAsia="zh-CN"/>
        </w:rPr>
        <w:t>本着厉行节约的原则，</w:t>
      </w:r>
      <w:r>
        <w:rPr>
          <w:rFonts w:hint="eastAsia" w:ascii="方正仿宋_GBK" w:hAnsi="方正仿宋_GBK" w:eastAsia="方正仿宋_GBK" w:cs="方正仿宋_GBK"/>
          <w:sz w:val="32"/>
          <w:szCs w:val="32"/>
          <w:lang w:val="en-US" w:eastAsia="zh-CN"/>
        </w:rPr>
        <w:t>严格控制“三公”经费开支。</w:t>
      </w:r>
      <w:r>
        <w:rPr>
          <w:rFonts w:hint="eastAsia" w:ascii="方正仿宋_GBK" w:hAnsi="方正仿宋_GBK" w:eastAsia="方正仿宋_GBK" w:cs="方正仿宋_GBK"/>
          <w:sz w:val="32"/>
          <w:szCs w:val="32"/>
        </w:rPr>
        <w:t>较上年支出数减少0.02万元，下降0.44%，主要原因是</w:t>
      </w:r>
      <w:r>
        <w:rPr>
          <w:rFonts w:hint="eastAsia" w:ascii="方正仿宋_GBK" w:hAnsi="方正仿宋_GBK" w:eastAsia="方正仿宋_GBK" w:cs="方正仿宋_GBK"/>
          <w:sz w:val="32"/>
          <w:szCs w:val="32"/>
          <w:lang w:val="en-US" w:eastAsia="zh-CN"/>
        </w:rPr>
        <w:t>本单位</w:t>
      </w:r>
      <w:r>
        <w:rPr>
          <w:rFonts w:hint="eastAsia" w:ascii="方正仿宋_GBK" w:hAnsi="方正仿宋_GBK" w:eastAsia="方正仿宋_GBK" w:cs="方正仿宋_GBK"/>
          <w:sz w:val="32"/>
          <w:szCs w:val="32"/>
          <w:lang w:eastAsia="zh-CN"/>
        </w:rPr>
        <w:t>厉行节约，</w:t>
      </w:r>
      <w:r>
        <w:rPr>
          <w:rFonts w:hint="eastAsia" w:ascii="方正仿宋_GBK" w:hAnsi="方正仿宋_GBK" w:eastAsia="方正仿宋_GBK" w:cs="方正仿宋_GBK"/>
          <w:sz w:val="32"/>
          <w:szCs w:val="32"/>
          <w:lang w:val="en-US" w:eastAsia="zh-CN"/>
        </w:rPr>
        <w:t>严格控制“三公”经费开支。</w:t>
      </w:r>
    </w:p>
    <w:p w14:paraId="5D2AFCC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（二）“三公”经费分项支出情况</w:t>
      </w:r>
      <w:r>
        <w:rPr>
          <w:rFonts w:hint="eastAsia" w:ascii="方正楷体_GBK" w:hAnsi="方正楷体_GBK" w:eastAsia="方正楷体_GBK" w:cs="方正楷体_GBK"/>
          <w:sz w:val="32"/>
          <w:szCs w:val="32"/>
          <w:lang w:eastAsia="zh-CN"/>
        </w:rPr>
        <w:t>。</w:t>
      </w:r>
    </w:p>
    <w:p w14:paraId="34C539C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2023年度本部门因公出国（境）费用0.00万元，主要</w:t>
      </w:r>
      <w:r>
        <w:rPr>
          <w:rFonts w:hint="eastAsia" w:ascii="方正仿宋_GBK" w:hAnsi="方正仿宋_GBK" w:eastAsia="方正仿宋_GBK" w:cs="方正仿宋_GBK"/>
          <w:color w:val="auto"/>
          <w:sz w:val="32"/>
          <w:szCs w:val="32"/>
          <w:lang w:val="en-US" w:eastAsia="zh-CN"/>
        </w:rPr>
        <w:t>用于</w:t>
      </w:r>
      <w:r>
        <w:rPr>
          <w:rFonts w:hint="eastAsia" w:ascii="方正仿宋_GBK" w:hAnsi="方正仿宋_GBK" w:eastAsia="方正仿宋_GBK" w:cs="方正仿宋_GBK"/>
          <w:sz w:val="32"/>
          <w:szCs w:val="32"/>
          <w:shd w:val="clear" w:color="auto" w:fill="FFFFFF"/>
          <w:lang w:val="en-US" w:eastAsia="zh-CN"/>
        </w:rPr>
        <w:t>机关和参公事业单位公务出国（境）的国际旅费、国外城市间的交通费、住宿费、伙食费、培训费、公务杂支费等支出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支出较年初预算数无增减，主要原因是</w:t>
      </w:r>
      <w:r>
        <w:rPr>
          <w:rFonts w:hint="eastAsia" w:ascii="方正仿宋_GBK" w:hAnsi="方正仿宋_GBK" w:eastAsia="方正仿宋_GBK" w:cs="方正仿宋_GBK"/>
          <w:sz w:val="32"/>
          <w:szCs w:val="32"/>
          <w:lang w:val="en-US" w:eastAsia="zh-CN"/>
        </w:rPr>
        <w:t>本单位无</w:t>
      </w:r>
      <w:r>
        <w:rPr>
          <w:rFonts w:hint="eastAsia" w:ascii="方正仿宋_GBK" w:hAnsi="方正仿宋_GBK" w:eastAsia="方正仿宋_GBK" w:cs="方正仿宋_GBK"/>
          <w:sz w:val="32"/>
          <w:szCs w:val="32"/>
        </w:rPr>
        <w:t>因公出国（境）费用</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较上年支出数无增减，主要原因是</w:t>
      </w:r>
      <w:r>
        <w:rPr>
          <w:rFonts w:hint="eastAsia" w:ascii="方正仿宋_GBK" w:hAnsi="方正仿宋_GBK" w:eastAsia="方正仿宋_GBK" w:cs="方正仿宋_GBK"/>
          <w:sz w:val="32"/>
          <w:szCs w:val="32"/>
          <w:lang w:val="en-US" w:eastAsia="zh-CN"/>
        </w:rPr>
        <w:t>本单位无</w:t>
      </w:r>
      <w:r>
        <w:rPr>
          <w:rFonts w:hint="eastAsia" w:ascii="方正仿宋_GBK" w:hAnsi="方正仿宋_GBK" w:eastAsia="方正仿宋_GBK" w:cs="方正仿宋_GBK"/>
          <w:sz w:val="32"/>
          <w:szCs w:val="32"/>
        </w:rPr>
        <w:t>因公出国（境）费用</w:t>
      </w:r>
      <w:r>
        <w:rPr>
          <w:rFonts w:hint="eastAsia" w:ascii="方正仿宋_GBK" w:hAnsi="方正仿宋_GBK" w:eastAsia="方正仿宋_GBK" w:cs="方正仿宋_GBK"/>
          <w:sz w:val="32"/>
          <w:szCs w:val="32"/>
          <w:lang w:eastAsia="zh-CN"/>
        </w:rPr>
        <w:t>。</w:t>
      </w:r>
    </w:p>
    <w:p w14:paraId="6A778F8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公务车购置费0.00万元，主要</w:t>
      </w:r>
      <w:r>
        <w:rPr>
          <w:rFonts w:hint="eastAsia" w:ascii="方正仿宋_GBK" w:hAnsi="方正仿宋_GBK" w:eastAsia="方正仿宋_GBK" w:cs="方正仿宋_GBK"/>
          <w:sz w:val="32"/>
          <w:szCs w:val="32"/>
          <w:lang w:val="en-US" w:eastAsia="zh-CN"/>
        </w:rPr>
        <w:t>原因是本单位未购置公务车</w:t>
      </w:r>
      <w:r>
        <w:rPr>
          <w:rFonts w:hint="eastAsia" w:ascii="方正仿宋_GBK" w:hAnsi="方正仿宋_GBK" w:eastAsia="方正仿宋_GBK" w:cs="方正仿宋_GBK"/>
          <w:sz w:val="32"/>
          <w:szCs w:val="32"/>
        </w:rPr>
        <w:t>。费用支出较年初预算数无增减，主要原因是</w:t>
      </w:r>
      <w:r>
        <w:rPr>
          <w:rFonts w:hint="eastAsia" w:ascii="方正仿宋_GBK" w:hAnsi="方正仿宋_GBK" w:eastAsia="方正仿宋_GBK" w:cs="方正仿宋_GBK"/>
          <w:sz w:val="32"/>
          <w:szCs w:val="32"/>
          <w:lang w:val="en-US" w:eastAsia="zh-CN"/>
        </w:rPr>
        <w:t>本单位未购置公务车</w:t>
      </w:r>
      <w:r>
        <w:rPr>
          <w:rFonts w:hint="eastAsia" w:ascii="方正仿宋_GBK" w:hAnsi="方正仿宋_GBK" w:eastAsia="方正仿宋_GBK" w:cs="方正仿宋_GBK"/>
          <w:sz w:val="32"/>
          <w:szCs w:val="32"/>
        </w:rPr>
        <w:t>。较上年支出数无增减，主要原因是</w:t>
      </w:r>
      <w:r>
        <w:rPr>
          <w:rFonts w:hint="eastAsia" w:ascii="方正仿宋_GBK" w:hAnsi="方正仿宋_GBK" w:eastAsia="方正仿宋_GBK" w:cs="方正仿宋_GBK"/>
          <w:sz w:val="32"/>
          <w:szCs w:val="32"/>
          <w:lang w:val="en-US" w:eastAsia="zh-CN"/>
        </w:rPr>
        <w:t>本单位未购置公务车</w:t>
      </w:r>
      <w:r>
        <w:rPr>
          <w:rFonts w:hint="eastAsia" w:ascii="方正仿宋_GBK" w:hAnsi="方正仿宋_GBK" w:eastAsia="方正仿宋_GBK" w:cs="方正仿宋_GBK"/>
          <w:sz w:val="32"/>
          <w:szCs w:val="32"/>
          <w:lang w:eastAsia="zh-CN"/>
        </w:rPr>
        <w:t>。</w:t>
      </w:r>
    </w:p>
    <w:p w14:paraId="3571CCC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公务车运行维护费2.97万元，主要用于</w:t>
      </w:r>
      <w:r>
        <w:rPr>
          <w:rFonts w:hint="eastAsia" w:ascii="方正仿宋_GBK" w:hAnsi="方正仿宋_GBK" w:eastAsia="方正仿宋_GBK" w:cs="方正仿宋_GBK"/>
          <w:sz w:val="32"/>
          <w:szCs w:val="32"/>
          <w:lang w:val="en-US" w:eastAsia="zh-CN"/>
        </w:rPr>
        <w:t>公务车抛光打蜡、加油、保险、过路过桥、停车等费用。公务</w:t>
      </w:r>
      <w:r>
        <w:rPr>
          <w:rFonts w:hint="eastAsia" w:ascii="方正仿宋_GBK" w:hAnsi="方正仿宋_GBK" w:eastAsia="方正仿宋_GBK" w:cs="方正仿宋_GBK"/>
          <w:sz w:val="32"/>
          <w:szCs w:val="32"/>
        </w:rPr>
        <w:t>费用支出较年初预算数减少1.03万元，下降25.75%，主要原因是</w:t>
      </w:r>
      <w:r>
        <w:rPr>
          <w:rFonts w:hint="eastAsia" w:ascii="方正仿宋_GBK" w:hAnsi="方正仿宋_GBK" w:eastAsia="方正仿宋_GBK" w:cs="方正仿宋_GBK"/>
          <w:sz w:val="32"/>
          <w:szCs w:val="32"/>
          <w:lang w:val="en-US" w:eastAsia="zh-CN"/>
        </w:rPr>
        <w:t>本单位厉行节约，严格控制公务用车</w:t>
      </w:r>
      <w:r>
        <w:rPr>
          <w:rFonts w:hint="eastAsia" w:ascii="方正仿宋_GBK" w:hAnsi="方正仿宋_GBK" w:eastAsia="方正仿宋_GBK" w:cs="方正仿宋_GBK"/>
          <w:sz w:val="32"/>
          <w:szCs w:val="32"/>
        </w:rPr>
        <w:t>。较上年支出数无增减，主要原因是</w:t>
      </w:r>
      <w:r>
        <w:rPr>
          <w:rFonts w:hint="eastAsia" w:ascii="方正仿宋_GBK" w:hAnsi="方正仿宋_GBK" w:eastAsia="方正仿宋_GBK" w:cs="方正仿宋_GBK"/>
          <w:sz w:val="32"/>
          <w:szCs w:val="32"/>
          <w:lang w:val="en-US" w:eastAsia="zh-CN"/>
        </w:rPr>
        <w:t>本单位厉行节约，严格控制公务用车</w:t>
      </w:r>
      <w:r>
        <w:rPr>
          <w:rFonts w:hint="eastAsia" w:ascii="方正仿宋_GBK" w:hAnsi="方正仿宋_GBK" w:eastAsia="方正仿宋_GBK" w:cs="方正仿宋_GBK"/>
          <w:sz w:val="32"/>
          <w:szCs w:val="32"/>
        </w:rPr>
        <w:t>。</w:t>
      </w:r>
    </w:p>
    <w:p w14:paraId="0B70E69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公务接待费1.57万元，主要用于接待</w:t>
      </w:r>
      <w:r>
        <w:rPr>
          <w:rFonts w:hint="eastAsia" w:ascii="方正仿宋_GBK" w:hAnsi="方正仿宋_GBK" w:eastAsia="方正仿宋_GBK" w:cs="方正仿宋_GBK"/>
          <w:sz w:val="32"/>
          <w:szCs w:val="32"/>
          <w:lang w:val="en-US" w:eastAsia="zh-CN"/>
        </w:rPr>
        <w:t>铜梁区展及营商环境服务中心来大足区政务大厅调研、垫江县府大足交流学习、服装公司及各单位到我单位联系工作等。</w:t>
      </w:r>
      <w:r>
        <w:rPr>
          <w:rFonts w:hint="eastAsia" w:ascii="方正仿宋_GBK" w:hAnsi="方正仿宋_GBK" w:eastAsia="方正仿宋_GBK" w:cs="方正仿宋_GBK"/>
          <w:sz w:val="32"/>
          <w:szCs w:val="32"/>
        </w:rPr>
        <w:t>费用支出较年初预算数减少0.63万元，下降28.64%，主要原因是</w:t>
      </w:r>
      <w:r>
        <w:rPr>
          <w:rFonts w:hint="eastAsia" w:ascii="方正仿宋_GBK" w:hAnsi="方正仿宋_GBK" w:eastAsia="方正仿宋_GBK" w:cs="方正仿宋_GBK"/>
          <w:sz w:val="32"/>
          <w:szCs w:val="32"/>
          <w:lang w:val="en-US" w:eastAsia="zh-CN"/>
        </w:rPr>
        <w:t>本单位厉行节约，严格控制公务接待</w:t>
      </w:r>
      <w:r>
        <w:rPr>
          <w:rFonts w:hint="eastAsia" w:ascii="方正仿宋_GBK" w:hAnsi="方正仿宋_GBK" w:eastAsia="方正仿宋_GBK" w:cs="方正仿宋_GBK"/>
          <w:sz w:val="32"/>
          <w:szCs w:val="32"/>
        </w:rPr>
        <w:t>。较上年支出数减少0.02万元，下降1.26%，主要原因是</w:t>
      </w:r>
      <w:r>
        <w:rPr>
          <w:rFonts w:hint="eastAsia" w:ascii="方正仿宋_GBK" w:hAnsi="方正仿宋_GBK" w:eastAsia="方正仿宋_GBK" w:cs="方正仿宋_GBK"/>
          <w:sz w:val="32"/>
          <w:szCs w:val="32"/>
          <w:lang w:val="en-US" w:eastAsia="zh-CN"/>
        </w:rPr>
        <w:t>单位厉行节约，严格控制公务接待。</w:t>
      </w:r>
    </w:p>
    <w:p w14:paraId="141BB6C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（三）“三公”经费实物量情况</w:t>
      </w:r>
      <w:r>
        <w:rPr>
          <w:rFonts w:hint="eastAsia" w:ascii="方正楷体_GBK" w:hAnsi="方正楷体_GBK" w:eastAsia="方正楷体_GBK" w:cs="方正楷体_GBK"/>
          <w:sz w:val="32"/>
          <w:szCs w:val="32"/>
          <w:lang w:eastAsia="zh-CN"/>
        </w:rPr>
        <w:t>。</w:t>
      </w:r>
    </w:p>
    <w:p w14:paraId="0048BE3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2023年度本部门因公出国（境）共计0个团组，0人；公务用车购置0辆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公务车保有量为1辆；国内公务接待40批次320人，其中：国内外事接待0批次，0人；国（境）外公务接待0批次，0人。2023年本部门人均接待费49.19元，车均购置费0万元，车均维护费2.97万元。</w:t>
      </w:r>
    </w:p>
    <w:p w14:paraId="140EB3A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5FD29A9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（一）财政拨款会议费和培训费情况说明</w:t>
      </w:r>
    </w:p>
    <w:p w14:paraId="0C59A7F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年度会议费支出0.27万元，较上年决算数增加0.01万元，增长3.85%，主要原因是本单位开会用重庆市大足区机关事务中心1号、2号、4号会议室总次数增加，所付的租金增加。本年度培训费支出2.92万元，较上年决算数增加2.59万元，增长784.85%，主要原因是主要原因本单位开展了12345热线与110对接培训、政务大讲堂培训、互联网+督查平台问题线索办理工作培训；本单位领导李正剑、蔡明兰、李雪梅到市内外培训；专技人员肖春霞公需科目培训，到重庆市档案学会培训，到重庆市档案学会培训；事业工作人员王荣杰、黄倩、邓润进行在岗培训等。</w:t>
      </w:r>
    </w:p>
    <w:p w14:paraId="68B2549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（二）机关运行经费情况说明</w:t>
      </w:r>
      <w:r>
        <w:rPr>
          <w:rFonts w:hint="eastAsia" w:ascii="方正楷体_GBK" w:hAnsi="方正楷体_GBK" w:eastAsia="方正楷体_GBK" w:cs="方正楷体_GBK"/>
          <w:sz w:val="32"/>
          <w:szCs w:val="32"/>
          <w:lang w:eastAsia="zh-CN"/>
        </w:rPr>
        <w:t>。</w:t>
      </w:r>
    </w:p>
    <w:p w14:paraId="6FDDA9FC">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2023年度本部门机关运行经费支出48.16万元，机关运行经费主要用于开支</w:t>
      </w:r>
      <w:r>
        <w:rPr>
          <w:rFonts w:hint="eastAsia" w:ascii="方正仿宋_GBK" w:hAnsi="方正仿宋_GBK" w:eastAsia="方正仿宋_GBK" w:cs="方正仿宋_GBK"/>
          <w:sz w:val="32"/>
          <w:szCs w:val="32"/>
          <w:lang w:val="en-US" w:eastAsia="zh-CN"/>
        </w:rPr>
        <w:t>办公费2.79万元、邮电费3.38万元、差旅费2.05万元、培训费1.13万元、公务接待费1.57万元、劳务费10.20万元、工会经费7.03万元、福利费0.45万元、公务用车运行维护费2.97万元、其他交通费11.70万元、其他商品服务支出4.89万元 。</w:t>
      </w:r>
      <w:r>
        <w:rPr>
          <w:rFonts w:hint="eastAsia" w:ascii="方正仿宋_GBK" w:hAnsi="方正仿宋_GBK" w:eastAsia="方正仿宋_GBK" w:cs="方正仿宋_GBK"/>
          <w:sz w:val="32"/>
          <w:szCs w:val="32"/>
        </w:rPr>
        <w:t>机关运行经费较上年支出数减少9.68万元，下降16.74%，主要原因是</w:t>
      </w:r>
      <w:r>
        <w:rPr>
          <w:rFonts w:hint="eastAsia" w:ascii="方正仿宋_GBK" w:hAnsi="方正仿宋_GBK" w:eastAsia="方正仿宋_GBK" w:cs="方正仿宋_GBK"/>
          <w:sz w:val="32"/>
          <w:szCs w:val="32"/>
          <w:lang w:val="en-US" w:eastAsia="zh-CN"/>
        </w:rPr>
        <w:t>我单位厉行节约，严格控制开支。</w:t>
      </w:r>
    </w:p>
    <w:p w14:paraId="51C377E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（三）国有资产占用情况说明</w:t>
      </w:r>
      <w:r>
        <w:rPr>
          <w:rFonts w:hint="eastAsia" w:ascii="方正楷体_GBK" w:hAnsi="方正楷体_GBK" w:eastAsia="方正楷体_GBK" w:cs="方正楷体_GBK"/>
          <w:sz w:val="32"/>
          <w:szCs w:val="32"/>
          <w:lang w:eastAsia="zh-CN"/>
        </w:rPr>
        <w:t>。</w:t>
      </w:r>
    </w:p>
    <w:p w14:paraId="2DD0491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截至2023年12月31日，本部门共有车辆1辆，其中，副部（省）级及以上领导用车0辆、主要负责人用车0辆、机要通信用车0辆、应急保障用车1辆、执法执勤用车0辆，特种专业技术用车0辆，离退休干部用车0辆。单价100万元（含）以上专用设备0台（套）。</w:t>
      </w:r>
    </w:p>
    <w:p w14:paraId="42E41A9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（四）政府采购支出情况说明</w:t>
      </w:r>
      <w:r>
        <w:rPr>
          <w:rFonts w:hint="eastAsia" w:ascii="方正楷体_GBK" w:hAnsi="方正楷体_GBK" w:eastAsia="方正楷体_GBK" w:cs="方正楷体_GBK"/>
          <w:sz w:val="32"/>
          <w:szCs w:val="32"/>
          <w:lang w:eastAsia="zh-CN"/>
        </w:rPr>
        <w:t>。</w:t>
      </w:r>
    </w:p>
    <w:p w14:paraId="1596E61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  2023年度本部门政府采购支出总额83.78万元，其中：政府采购货物支出83.78万元、政府采购工程支出0.00万元、政府采购服务支出0.00万元。授予中小企业合同金额83.78万元，占政府采购支出总额的100.00%，其中：授予小微企业合同金额83.78万元，占政府采购支出总额的100.00 %。主要用于采购</w:t>
      </w:r>
      <w:r>
        <w:rPr>
          <w:rFonts w:hint="eastAsia" w:ascii="方正仿宋_GBK" w:hAnsi="方正仿宋_GBK" w:eastAsia="方正仿宋_GBK" w:cs="方正仿宋_GBK"/>
          <w:sz w:val="32"/>
          <w:szCs w:val="32"/>
          <w:lang w:eastAsia="zh-CN"/>
        </w:rPr>
        <w:t>中小企业</w:t>
      </w:r>
      <w:r>
        <w:rPr>
          <w:rFonts w:hint="eastAsia" w:ascii="方正仿宋_GBK" w:hAnsi="方正仿宋_GBK" w:eastAsia="方正仿宋_GBK" w:cs="方正仿宋_GBK"/>
          <w:sz w:val="32"/>
          <w:szCs w:val="32"/>
        </w:rPr>
        <w:t>货物</w:t>
      </w:r>
      <w:r>
        <w:rPr>
          <w:rFonts w:hint="eastAsia" w:ascii="方正仿宋_GBK" w:hAnsi="方正仿宋_GBK" w:eastAsia="方正仿宋_GBK" w:cs="方正仿宋_GBK"/>
          <w:sz w:val="32"/>
          <w:szCs w:val="32"/>
          <w:lang w:eastAsia="zh-CN"/>
        </w:rPr>
        <w:t>。</w:t>
      </w:r>
    </w:p>
    <w:p w14:paraId="5EBF584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五、预算</w:t>
      </w:r>
      <w:r>
        <w:rPr>
          <w:rFonts w:hint="eastAsia" w:ascii="方正黑体_GBK" w:hAnsi="方正黑体_GBK" w:eastAsia="方正黑体_GBK" w:cs="方正黑体_GBK"/>
          <w:sz w:val="32"/>
          <w:szCs w:val="32"/>
        </w:rPr>
        <w:t>绩效管理情况说明</w:t>
      </w:r>
    </w:p>
    <w:p w14:paraId="32783C79">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预算绩效管理要求，我单位组织部门本级及所属单位对4个项目开展了绩效自评，其中，以填报自评表形式开展自评34项，涉及财政拨款项目支出297.45万元。以委托第三方形式开展绩效自评0项，涉及资金0万元，从评价情况来看，本单位经过严格审查评价，绩效目标达到计划目标。</w:t>
      </w:r>
    </w:p>
    <w:p w14:paraId="758BE27D">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（一）部门自评情况</w:t>
      </w:r>
      <w:r>
        <w:rPr>
          <w:rFonts w:hint="eastAsia" w:ascii="方正楷体_GBK" w:hAnsi="方正楷体_GBK" w:eastAsia="方正楷体_GBK" w:cs="方正楷体_GBK"/>
          <w:sz w:val="32"/>
          <w:szCs w:val="32"/>
          <w:lang w:eastAsia="zh-CN"/>
        </w:rPr>
        <w:t>。</w:t>
      </w:r>
    </w:p>
    <w:p w14:paraId="51553ED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根据预算绩效管理要求，我部门对部门整体和</w:t>
      </w:r>
      <w:r>
        <w:rPr>
          <w:rFonts w:hint="eastAsia" w:ascii="方正仿宋_GBK" w:hAnsi="方正仿宋_GBK" w:eastAsia="方正仿宋_GBK" w:cs="方正仿宋_GBK"/>
          <w:sz w:val="32"/>
          <w:szCs w:val="32"/>
          <w:lang w:val="en-US" w:eastAsia="zh-CN"/>
        </w:rPr>
        <w:t>3个</w:t>
      </w:r>
      <w:r>
        <w:rPr>
          <w:rFonts w:hint="eastAsia" w:ascii="方正仿宋_GBK" w:hAnsi="方正仿宋_GBK" w:eastAsia="方正仿宋_GBK" w:cs="方正仿宋_GBK"/>
          <w:sz w:val="32"/>
          <w:szCs w:val="32"/>
        </w:rPr>
        <w:t>二级项目开展了绩效自评，涉及财政拨款项目支出资金</w:t>
      </w:r>
      <w:r>
        <w:rPr>
          <w:rFonts w:hint="eastAsia" w:ascii="方正仿宋_GBK" w:hAnsi="方正仿宋_GBK" w:eastAsia="方正仿宋_GBK" w:cs="方正仿宋_GBK"/>
          <w:sz w:val="32"/>
          <w:szCs w:val="32"/>
          <w:lang w:val="en-US" w:eastAsia="zh-CN"/>
        </w:rPr>
        <w:t>297.45</w:t>
      </w:r>
      <w:r>
        <w:rPr>
          <w:rFonts w:hint="eastAsia" w:ascii="方正仿宋_GBK" w:hAnsi="方正仿宋_GBK" w:eastAsia="方正仿宋_GBK" w:cs="方正仿宋_GBK"/>
          <w:sz w:val="32"/>
          <w:szCs w:val="32"/>
        </w:rPr>
        <w:t>万元</w:t>
      </w:r>
      <w:r>
        <w:rPr>
          <w:rFonts w:hint="eastAsia" w:ascii="方正仿宋_GBK" w:hAnsi="方正仿宋_GBK" w:eastAsia="方正仿宋_GBK" w:cs="方正仿宋_GBK"/>
          <w:sz w:val="32"/>
          <w:szCs w:val="32"/>
          <w:lang w:eastAsia="zh-CN"/>
        </w:rPr>
        <w:t>。</w:t>
      </w:r>
    </w:p>
    <w:p w14:paraId="3A3BE5E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2023年度部门整体绩效自评表（见附表）</w:t>
      </w:r>
    </w:p>
    <w:p w14:paraId="641C148A">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（二）部门绩效评价情况</w:t>
      </w:r>
      <w:r>
        <w:rPr>
          <w:rFonts w:hint="eastAsia" w:ascii="方正楷体_GBK" w:hAnsi="方正楷体_GBK" w:eastAsia="方正楷体_GBK" w:cs="方正楷体_GBK"/>
          <w:sz w:val="32"/>
          <w:szCs w:val="32"/>
          <w:lang w:val="en-US" w:eastAsia="zh-CN"/>
        </w:rPr>
        <w:t>。</w:t>
      </w:r>
    </w:p>
    <w:p w14:paraId="394DBCAC">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我部门对</w:t>
      </w:r>
      <w:r>
        <w:rPr>
          <w:rFonts w:hint="eastAsia" w:ascii="方正仿宋_GBK" w:hAnsi="方正仿宋_GBK" w:eastAsia="方正仿宋_GBK" w:cs="方正仿宋_GBK"/>
          <w:sz w:val="32"/>
          <w:szCs w:val="32"/>
          <w:lang w:val="en-US" w:eastAsia="zh-CN"/>
        </w:rPr>
        <w:t>办“办公经费及双桥分中心运行经费”</w:t>
      </w:r>
      <w:r>
        <w:rPr>
          <w:rFonts w:hint="eastAsia" w:ascii="方正仿宋_GBK" w:hAnsi="方正仿宋_GBK" w:eastAsia="方正仿宋_GBK" w:cs="方正仿宋_GBK"/>
          <w:sz w:val="32"/>
          <w:szCs w:val="32"/>
        </w:rPr>
        <w:t>开展了绩效评价，涉及财政拨款项目资金</w:t>
      </w:r>
      <w:r>
        <w:rPr>
          <w:rFonts w:hint="eastAsia" w:ascii="方正仿宋_GBK" w:hAnsi="方正仿宋_GBK" w:eastAsia="方正仿宋_GBK" w:cs="方正仿宋_GBK"/>
          <w:sz w:val="32"/>
          <w:szCs w:val="32"/>
          <w:lang w:val="en-US" w:eastAsia="zh-CN"/>
        </w:rPr>
        <w:t>119.16</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val="en-US" w:eastAsia="zh-CN"/>
        </w:rPr>
        <w:t>优</w:t>
      </w:r>
      <w:r>
        <w:rPr>
          <w:rFonts w:hint="eastAsia" w:ascii="方正仿宋_GBK" w:hAnsi="方正仿宋_GBK" w:eastAsia="方正仿宋_GBK" w:cs="方正仿宋_GBK"/>
          <w:sz w:val="32"/>
          <w:szCs w:val="32"/>
        </w:rPr>
        <w:t>，绩效评价</w:t>
      </w:r>
      <w:r>
        <w:rPr>
          <w:rFonts w:hint="eastAsia" w:ascii="方正仿宋_GBK" w:hAnsi="方正仿宋_GBK" w:eastAsia="方正仿宋_GBK" w:cs="方正仿宋_GBK"/>
          <w:sz w:val="32"/>
          <w:szCs w:val="32"/>
          <w:lang w:val="en-US" w:eastAsia="zh-CN"/>
        </w:rPr>
        <w:t>未</w:t>
      </w:r>
      <w:r>
        <w:rPr>
          <w:rFonts w:hint="eastAsia" w:ascii="方正仿宋_GBK" w:hAnsi="方正仿宋_GBK" w:eastAsia="方正仿宋_GBK" w:cs="方正仿宋_GBK"/>
          <w:sz w:val="32"/>
          <w:szCs w:val="32"/>
        </w:rPr>
        <w:t>发现问题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飞驶特人员工资”</w:t>
      </w:r>
      <w:r>
        <w:rPr>
          <w:rFonts w:hint="eastAsia" w:ascii="方正仿宋_GBK" w:hAnsi="方正仿宋_GBK" w:eastAsia="方正仿宋_GBK" w:cs="方正仿宋_GBK"/>
          <w:sz w:val="32"/>
          <w:szCs w:val="32"/>
        </w:rPr>
        <w:t>开展了绩效评价，涉及财政拨款项目资金</w:t>
      </w:r>
      <w:r>
        <w:rPr>
          <w:rFonts w:hint="eastAsia" w:ascii="方正仿宋_GBK" w:hAnsi="方正仿宋_GBK" w:eastAsia="方正仿宋_GBK" w:cs="方正仿宋_GBK"/>
          <w:sz w:val="32"/>
          <w:szCs w:val="32"/>
          <w:lang w:val="en-US" w:eastAsia="zh-CN"/>
        </w:rPr>
        <w:t>172.48</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val="en-US" w:eastAsia="zh-CN"/>
        </w:rPr>
        <w:t>优</w:t>
      </w:r>
      <w:r>
        <w:rPr>
          <w:rFonts w:hint="eastAsia" w:ascii="方正仿宋_GBK" w:hAnsi="方正仿宋_GBK" w:eastAsia="方正仿宋_GBK" w:cs="方正仿宋_GBK"/>
          <w:sz w:val="32"/>
          <w:szCs w:val="32"/>
        </w:rPr>
        <w:t>，绩效评价</w:t>
      </w:r>
      <w:r>
        <w:rPr>
          <w:rFonts w:hint="eastAsia" w:ascii="方正仿宋_GBK" w:hAnsi="方正仿宋_GBK" w:eastAsia="方正仿宋_GBK" w:cs="方正仿宋_GBK"/>
          <w:sz w:val="32"/>
          <w:szCs w:val="32"/>
          <w:lang w:val="en-US" w:eastAsia="zh-CN"/>
        </w:rPr>
        <w:t>未</w:t>
      </w:r>
      <w:r>
        <w:rPr>
          <w:rFonts w:hint="eastAsia" w:ascii="方正仿宋_GBK" w:hAnsi="方正仿宋_GBK" w:eastAsia="方正仿宋_GBK" w:cs="方正仿宋_GBK"/>
          <w:sz w:val="32"/>
          <w:szCs w:val="32"/>
        </w:rPr>
        <w:t>发现问题</w:t>
      </w:r>
      <w:r>
        <w:rPr>
          <w:rFonts w:hint="eastAsia" w:ascii="方正仿宋_GBK" w:hAnsi="方正仿宋_GBK" w:eastAsia="方正仿宋_GBK" w:cs="方正仿宋_GBK"/>
          <w:sz w:val="32"/>
          <w:szCs w:val="32"/>
          <w:lang w:val="en-US" w:eastAsia="zh-CN"/>
        </w:rPr>
        <w:t>；对“大厅免费邮政快递服务”开展了</w:t>
      </w:r>
      <w:r>
        <w:rPr>
          <w:rFonts w:hint="eastAsia" w:ascii="方正仿宋_GBK" w:hAnsi="方正仿宋_GBK" w:eastAsia="方正仿宋_GBK" w:cs="方正仿宋_GBK"/>
          <w:sz w:val="32"/>
          <w:szCs w:val="32"/>
        </w:rPr>
        <w:t>绩效评价，涉及财政拨款项目资金</w:t>
      </w:r>
      <w:r>
        <w:rPr>
          <w:rFonts w:hint="eastAsia" w:ascii="方正仿宋_GBK" w:hAnsi="方正仿宋_GBK" w:eastAsia="方正仿宋_GBK" w:cs="方正仿宋_GBK"/>
          <w:sz w:val="32"/>
          <w:szCs w:val="32"/>
          <w:lang w:val="en-US" w:eastAsia="zh-CN"/>
        </w:rPr>
        <w:t>5.81</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val="en-US" w:eastAsia="zh-CN"/>
        </w:rPr>
        <w:t>优</w:t>
      </w:r>
      <w:r>
        <w:rPr>
          <w:rFonts w:hint="eastAsia" w:ascii="方正仿宋_GBK" w:hAnsi="方正仿宋_GBK" w:eastAsia="方正仿宋_GBK" w:cs="方正仿宋_GBK"/>
          <w:sz w:val="32"/>
          <w:szCs w:val="32"/>
        </w:rPr>
        <w:t>，绩效评价</w:t>
      </w:r>
      <w:r>
        <w:rPr>
          <w:rFonts w:hint="eastAsia" w:ascii="方正仿宋_GBK" w:hAnsi="方正仿宋_GBK" w:eastAsia="方正仿宋_GBK" w:cs="方正仿宋_GBK"/>
          <w:sz w:val="32"/>
          <w:szCs w:val="32"/>
          <w:lang w:val="en-US" w:eastAsia="zh-CN"/>
        </w:rPr>
        <w:t>未</w:t>
      </w:r>
      <w:r>
        <w:rPr>
          <w:rFonts w:hint="eastAsia" w:ascii="方正仿宋_GBK" w:hAnsi="方正仿宋_GBK" w:eastAsia="方正仿宋_GBK" w:cs="方正仿宋_GBK"/>
          <w:sz w:val="32"/>
          <w:szCs w:val="32"/>
        </w:rPr>
        <w:t>发现问题</w:t>
      </w:r>
      <w:r>
        <w:rPr>
          <w:rFonts w:hint="eastAsia" w:ascii="方正仿宋_GBK" w:hAnsi="方正仿宋_GBK" w:eastAsia="方正仿宋_GBK" w:cs="方正仿宋_GBK"/>
          <w:sz w:val="32"/>
          <w:szCs w:val="32"/>
          <w:lang w:eastAsia="zh-CN"/>
        </w:rPr>
        <w:t>。</w:t>
      </w:r>
    </w:p>
    <w:p w14:paraId="17CA2BE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2023年度二级项目绩效自评表（见附表）</w:t>
      </w:r>
    </w:p>
    <w:p w14:paraId="56FFECA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（三）财政绩效评价情况</w:t>
      </w:r>
      <w:r>
        <w:rPr>
          <w:rFonts w:hint="eastAsia" w:ascii="方正楷体_GBK" w:hAnsi="方正楷体_GBK" w:eastAsia="方正楷体_GBK" w:cs="方正楷体_GBK"/>
          <w:sz w:val="32"/>
          <w:szCs w:val="32"/>
          <w:lang w:val="en-US" w:eastAsia="zh-CN"/>
        </w:rPr>
        <w:t>。</w:t>
      </w:r>
    </w:p>
    <w:p w14:paraId="7EA80886">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区</w:t>
      </w:r>
      <w:r>
        <w:rPr>
          <w:rFonts w:hint="eastAsia" w:ascii="方正仿宋_GBK" w:hAnsi="方正仿宋_GBK" w:eastAsia="方正仿宋_GBK" w:cs="方正仿宋_GBK"/>
          <w:sz w:val="32"/>
          <w:szCs w:val="32"/>
        </w:rPr>
        <w:t>财政局未委托第三方对我部门开展绩效评价。</w:t>
      </w:r>
    </w:p>
    <w:p w14:paraId="18318EC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六、专业名词解释</w:t>
      </w:r>
    </w:p>
    <w:p w14:paraId="085BEE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（一）财政拨款收入：</w:t>
      </w:r>
      <w:r>
        <w:rPr>
          <w:rFonts w:hint="eastAsia" w:ascii="方正仿宋_GBK" w:hAnsi="方正仿宋_GBK" w:eastAsia="方正仿宋_GBK" w:cs="方正仿宋_GBK"/>
          <w:sz w:val="32"/>
          <w:szCs w:val="32"/>
        </w:rPr>
        <w:t>指本年度从本级财政部门取得的财政拨款，包括一般公共预算财政拨款和政府性基金预算财政拨款。</w:t>
      </w:r>
    </w:p>
    <w:p w14:paraId="3C1BC1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（二）事业收入：</w:t>
      </w:r>
      <w:r>
        <w:rPr>
          <w:rFonts w:hint="eastAsia" w:ascii="方正仿宋_GBK" w:hAnsi="方正仿宋_GBK" w:eastAsia="方正仿宋_GBK" w:cs="方正仿宋_GBK"/>
          <w:sz w:val="32"/>
          <w:szCs w:val="32"/>
        </w:rPr>
        <w:t>指事业单位开展专业业务活动及其辅助活动取得的现金流入；事业单位收到的财政专户实际核拨的教育收费等资金在此反映。</w:t>
      </w:r>
    </w:p>
    <w:p w14:paraId="500768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（三）经营收入：</w:t>
      </w:r>
      <w:r>
        <w:rPr>
          <w:rFonts w:hint="eastAsia" w:ascii="方正仿宋_GBK" w:hAnsi="方正仿宋_GBK" w:eastAsia="方正仿宋_GBK" w:cs="方正仿宋_GBK"/>
          <w:sz w:val="32"/>
          <w:szCs w:val="32"/>
        </w:rPr>
        <w:t>指事业单位在专业业务活动及其辅助活动之外开展非独立核算经营活动取得的现金流入。</w:t>
      </w:r>
    </w:p>
    <w:p w14:paraId="3AC460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（四）其他收入：</w:t>
      </w:r>
      <w:r>
        <w:rPr>
          <w:rFonts w:hint="eastAsia" w:ascii="方正仿宋_GBK" w:hAnsi="方正仿宋_GBK" w:eastAsia="方正仿宋_GBK" w:cs="方正仿宋_GBK"/>
          <w:sz w:val="32"/>
          <w:szCs w:val="32"/>
        </w:rPr>
        <w:t>指单位取得的除“财政拨款收入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B3B52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（五）使用非财政拨款结余：</w:t>
      </w:r>
      <w:r>
        <w:rPr>
          <w:rFonts w:hint="eastAsia" w:ascii="方正仿宋_GBK" w:hAnsi="方正仿宋_GBK" w:eastAsia="方正仿宋_GBK" w:cs="方正仿宋_GBK"/>
          <w:sz w:val="32"/>
          <w:szCs w:val="32"/>
        </w:rPr>
        <w:t>指单位在当年的“财政拨款收入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事业收入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经营收入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其他收入”等不足以安排当年支出的情况下，使用以前年度积累的非财政拨款结余弥补本年度收支缺口的资金。</w:t>
      </w:r>
    </w:p>
    <w:p w14:paraId="562B1E7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（六）年初结转和结余：</w:t>
      </w:r>
      <w:r>
        <w:rPr>
          <w:rFonts w:hint="eastAsia" w:ascii="方正仿宋_GBK" w:hAnsi="方正仿宋_GBK" w:eastAsia="方正仿宋_GBK" w:cs="方正仿宋_GBK"/>
          <w:sz w:val="32"/>
          <w:szCs w:val="32"/>
        </w:rPr>
        <w:t>指单位上年结转本年使用的基本支出结转、项目支出结转和结余、经营结余。</w:t>
      </w:r>
    </w:p>
    <w:p w14:paraId="73514E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（七）结余分配：</w:t>
      </w:r>
      <w:r>
        <w:rPr>
          <w:rFonts w:hint="eastAsia" w:ascii="方正仿宋_GBK" w:hAnsi="方正仿宋_GBK" w:eastAsia="方正仿宋_GBK" w:cs="方正仿宋_GBK"/>
          <w:sz w:val="32"/>
          <w:szCs w:val="32"/>
        </w:rPr>
        <w:t>指单位按照国家有关规定，缴纳所得税、提取专用基金、转入非财政拨款结余等当年结余的分配情况。</w:t>
      </w:r>
    </w:p>
    <w:p w14:paraId="47823F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（八）年末结转和结余：</w:t>
      </w:r>
      <w:r>
        <w:rPr>
          <w:rFonts w:hint="eastAsia" w:ascii="方正仿宋_GBK" w:hAnsi="方正仿宋_GBK" w:eastAsia="方正仿宋_GBK" w:cs="方正仿宋_GBK"/>
          <w:sz w:val="32"/>
          <w:szCs w:val="32"/>
        </w:rPr>
        <w:t>指单位结转下年的基本支出结转、项目支出结转和结余、经营结余。</w:t>
      </w:r>
    </w:p>
    <w:p w14:paraId="7B6303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（九）基本支出：</w:t>
      </w:r>
      <w:r>
        <w:rPr>
          <w:rFonts w:hint="eastAsia" w:ascii="方正仿宋_GBK" w:hAnsi="方正仿宋_GBK" w:eastAsia="方正仿宋_GBK" w:cs="方正仿宋_GBK"/>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673EA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（十）项目支出：</w:t>
      </w:r>
      <w:r>
        <w:rPr>
          <w:rFonts w:hint="eastAsia" w:ascii="方正仿宋_GBK" w:hAnsi="方正仿宋_GBK" w:eastAsia="方正仿宋_GBK" w:cs="方正仿宋_GBK"/>
          <w:sz w:val="32"/>
          <w:szCs w:val="32"/>
        </w:rPr>
        <w:t>指在基本支出之外为完成特定行政任务和事业发展目标所发生的支出。</w:t>
      </w:r>
    </w:p>
    <w:p w14:paraId="2624DF9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（十一）经营支出：</w:t>
      </w:r>
      <w:r>
        <w:rPr>
          <w:rFonts w:hint="eastAsia" w:ascii="方正仿宋_GBK" w:hAnsi="方正仿宋_GBK" w:eastAsia="方正仿宋_GBK" w:cs="方正仿宋_GBK"/>
          <w:sz w:val="32"/>
          <w:szCs w:val="32"/>
        </w:rPr>
        <w:t>指事业单位在专业业务活动及其辅助活动之外开展非独立核算经营活动发生的支出。</w:t>
      </w:r>
    </w:p>
    <w:p w14:paraId="2D1929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（十二）“三公”经费：</w:t>
      </w:r>
      <w:r>
        <w:rPr>
          <w:rFonts w:hint="eastAsia" w:ascii="方正仿宋_GBK" w:hAnsi="方正仿宋_GBK" w:eastAsia="方正仿宋_GBK" w:cs="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28600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（十三）机关运行经费：</w:t>
      </w:r>
      <w:r>
        <w:rPr>
          <w:rFonts w:hint="eastAsia" w:ascii="方正仿宋_GBK" w:hAnsi="方正仿宋_GBK" w:eastAsia="方正仿宋_GBK" w:cs="方正仿宋_GBK"/>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0B2B7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（十四）工资福利支出（支出经济分类科目类级）：</w:t>
      </w:r>
      <w:r>
        <w:rPr>
          <w:rFonts w:hint="eastAsia" w:ascii="方正仿宋_GBK" w:hAnsi="方正仿宋_GBK" w:eastAsia="方正仿宋_GBK" w:cs="方正仿宋_GBK"/>
          <w:sz w:val="32"/>
          <w:szCs w:val="32"/>
        </w:rPr>
        <w:t>反映单位开支的在职职工和编制外长期聘用人员的各类劳动报酬，以及为上述人员缴纳的各项社会保险费等。</w:t>
      </w:r>
    </w:p>
    <w:p w14:paraId="0CF144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sz w:val="32"/>
          <w:szCs w:val="32"/>
        </w:rPr>
        <w:t>（十五）商品和服务支出（支出经济分类科目类级）：</w:t>
      </w:r>
      <w:r>
        <w:rPr>
          <w:rFonts w:hint="eastAsia" w:ascii="方正仿宋_GBK" w:hAnsi="方正仿宋_GBK" w:eastAsia="方正仿宋_GBK" w:cs="方正仿宋_GBK"/>
          <w:sz w:val="32"/>
          <w:szCs w:val="32"/>
        </w:rPr>
        <w:t>反映单位购买商品和服务的支出（不包括用于购置固定资产的支出、战略性和应急储备支出）。</w:t>
      </w:r>
    </w:p>
    <w:p w14:paraId="5C77F2F5">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（十六）对个人和家庭的补助（支出经济分类科目类级）：</w:t>
      </w:r>
      <w:r>
        <w:rPr>
          <w:rFonts w:hint="eastAsia" w:ascii="方正仿宋_GBK" w:hAnsi="方正仿宋_GBK" w:eastAsia="方正仿宋_GBK" w:cs="方正仿宋_GBK"/>
          <w:sz w:val="32"/>
          <w:szCs w:val="32"/>
        </w:rPr>
        <w:t>反映用于对个人和家庭的补助支出。</w:t>
      </w:r>
    </w:p>
    <w:p w14:paraId="3E2A454D">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（十七）其他资本性支出（支出经济分类科目类级）：</w:t>
      </w:r>
      <w:r>
        <w:rPr>
          <w:rFonts w:hint="eastAsia" w:ascii="方正仿宋_GBK" w:hAnsi="方正仿宋_GBK" w:eastAsia="方正仿宋_GBK" w:cs="方正仿宋_GBK"/>
          <w:sz w:val="32"/>
          <w:szCs w:val="32"/>
        </w:rPr>
        <w:t>反映非各级发展与改革部门集中安排的用于购置固定资产、战略性和应急性储备、土地和无形资产，以及构建基础设施、大型修缮和财政支持企业更新改造所发生的支出。</w:t>
      </w:r>
    </w:p>
    <w:p w14:paraId="6DAA4264">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七、决算公开联系方式及信息反馈渠道</w:t>
      </w:r>
    </w:p>
    <w:p w14:paraId="763AE81A">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本单位决算公开信息反馈和联系</w:t>
      </w:r>
      <w:r>
        <w:rPr>
          <w:rFonts w:ascii="方正仿宋_GBK" w:hAnsi="方正仿宋_GBK" w:eastAsia="方正仿宋_GBK" w:cs="方正仿宋_GBK"/>
          <w:color w:val="auto"/>
          <w:sz w:val="32"/>
          <w:szCs w:val="32"/>
          <w:shd w:val="clear" w:color="auto" w:fill="FFFFFF"/>
        </w:rPr>
        <w:t>方式：</w:t>
      </w:r>
      <w:r>
        <w:rPr>
          <w:rFonts w:hint="eastAsia" w:ascii="方正仿宋_GBK" w:hAnsi="方正仿宋_GBK" w:eastAsia="方正仿宋_GBK" w:cs="方正仿宋_GBK"/>
          <w:color w:val="auto"/>
          <w:sz w:val="32"/>
          <w:szCs w:val="32"/>
          <w:shd w:val="clear" w:color="auto" w:fill="FFFFFF"/>
          <w:lang w:val="en-US" w:eastAsia="zh-CN"/>
        </w:rPr>
        <w:t>023-43775679</w:t>
      </w:r>
    </w:p>
    <w:p w14:paraId="57147061">
      <w:pPr>
        <w:pStyle w:val="11"/>
        <w:autoSpaceDE w:val="0"/>
        <w:ind w:firstLine="0" w:firstLineChars="0"/>
        <w:jc w:val="both"/>
        <w:rPr>
          <w:rStyle w:val="10"/>
          <w:rFonts w:ascii="方正仿宋_GBK" w:hAnsi="方正仿宋_GBK" w:eastAsia="方正仿宋_GBK" w:cs="方正仿宋_GBK"/>
          <w:color w:val="auto"/>
          <w:sz w:val="32"/>
          <w:szCs w:val="32"/>
          <w:shd w:val="clear" w:color="auto" w:fill="FFFF00"/>
        </w:rPr>
        <w:sectPr>
          <w:footerReference r:id="rId3" w:type="default"/>
          <w:pgSz w:w="11917" w:h="16838"/>
          <w:pgMar w:top="1984" w:right="1446" w:bottom="1644" w:left="1446" w:header="850" w:footer="992" w:gutter="0"/>
          <w:pgNumType w:fmt="decimal"/>
          <w:cols w:space="0" w:num="1"/>
          <w:rtlGutter w:val="0"/>
          <w:docGrid w:type="lines" w:linePitch="338" w:charSpace="0"/>
        </w:sectPr>
      </w:pPr>
    </w:p>
    <w:tbl>
      <w:tblPr>
        <w:tblStyle w:val="7"/>
        <w:tblW w:w="5005" w:type="pct"/>
        <w:tblInd w:w="0" w:type="dxa"/>
        <w:tblLayout w:type="autofit"/>
        <w:tblCellMar>
          <w:top w:w="0" w:type="dxa"/>
          <w:left w:w="0" w:type="dxa"/>
          <w:bottom w:w="0" w:type="dxa"/>
          <w:right w:w="0" w:type="dxa"/>
        </w:tblCellMar>
      </w:tblPr>
      <w:tblGrid>
        <w:gridCol w:w="4660"/>
        <w:gridCol w:w="1837"/>
        <w:gridCol w:w="4374"/>
        <w:gridCol w:w="3131"/>
      </w:tblGrid>
      <w:tr w14:paraId="7D13BFF9">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BE95389">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收入支出决算总表</w:t>
            </w:r>
          </w:p>
        </w:tc>
      </w:tr>
      <w:tr w14:paraId="69AC04E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338F566D">
            <w:pPr>
              <w:spacing w:line="200" w:lineRule="exact"/>
              <w:jc w:val="both"/>
              <w:rPr>
                <w:rFonts w:hint="eastAsia" w:ascii="方正仿宋_GBK" w:hAnsi="方正仿宋_GBK" w:eastAsia="方正仿宋_GBK" w:cs="方正仿宋_GBK"/>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8FDAE5A">
            <w:pPr>
              <w:spacing w:line="200" w:lineRule="exact"/>
              <w:jc w:val="both"/>
              <w:rPr>
                <w:rFonts w:hint="eastAsia" w:ascii="方正仿宋_GBK" w:hAnsi="方正仿宋_GBK" w:eastAsia="方正仿宋_GBK" w:cs="方正仿宋_GBK"/>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2F838A23">
            <w:pPr>
              <w:spacing w:line="200" w:lineRule="exact"/>
              <w:jc w:val="both"/>
              <w:rPr>
                <w:rFonts w:hint="eastAsia" w:ascii="方正仿宋_GBK" w:hAnsi="方正仿宋_GBK" w:eastAsia="方正仿宋_GBK" w:cs="方正仿宋_GBK"/>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49EABEB6">
            <w:pPr>
              <w:spacing w:line="280" w:lineRule="exact"/>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公开01表</w:t>
            </w:r>
          </w:p>
        </w:tc>
      </w:tr>
      <w:tr w14:paraId="22752D3C">
        <w:tblPrEx>
          <w:tblCellMar>
            <w:top w:w="0" w:type="dxa"/>
            <w:left w:w="0" w:type="dxa"/>
            <w:bottom w:w="0" w:type="dxa"/>
            <w:right w:w="0" w:type="dxa"/>
          </w:tblCellMar>
        </w:tblPrEx>
        <w:trPr>
          <w:trHeight w:val="232" w:hRule="atLeast"/>
        </w:trPr>
        <w:tc>
          <w:tcPr>
            <w:tcW w:w="2320"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5007DFC">
            <w:pPr>
              <w:spacing w:line="200" w:lineRule="exact"/>
              <w:jc w:val="both"/>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sz w:val="20"/>
                <w:u w:color="auto"/>
              </w:rPr>
              <w:t>重庆市大足区政务服务管理办公室</w:t>
            </w:r>
          </w:p>
        </w:tc>
        <w:tc>
          <w:tcPr>
            <w:tcW w:w="1562" w:type="pct"/>
            <w:tcBorders>
              <w:top w:val="nil"/>
              <w:left w:val="nil"/>
              <w:bottom w:val="single" w:color="auto" w:sz="4" w:space="0"/>
              <w:right w:val="nil"/>
            </w:tcBorders>
            <w:shd w:val="clear" w:color="auto" w:fill="auto"/>
            <w:noWrap/>
            <w:tcMar>
              <w:top w:w="15" w:type="dxa"/>
              <w:left w:w="15" w:type="dxa"/>
              <w:right w:w="15" w:type="dxa"/>
            </w:tcMar>
            <w:vAlign w:val="bottom"/>
          </w:tcPr>
          <w:p w14:paraId="6FD9B82E">
            <w:pPr>
              <w:spacing w:line="200" w:lineRule="exact"/>
              <w:jc w:val="both"/>
              <w:rPr>
                <w:rFonts w:hint="eastAsia" w:ascii="方正仿宋_GBK" w:hAnsi="方正仿宋_GBK" w:eastAsia="方正仿宋_GBK" w:cs="方正仿宋_GBK"/>
                <w:color w:val="000000"/>
                <w:sz w:val="22"/>
                <w:szCs w:val="22"/>
              </w:rPr>
            </w:pPr>
          </w:p>
        </w:tc>
        <w:tc>
          <w:tcPr>
            <w:tcW w:w="1118" w:type="pct"/>
            <w:tcBorders>
              <w:top w:val="nil"/>
              <w:left w:val="nil"/>
              <w:bottom w:val="single" w:color="auto" w:sz="4" w:space="0"/>
              <w:right w:val="nil"/>
            </w:tcBorders>
            <w:shd w:val="clear" w:color="auto" w:fill="auto"/>
            <w:noWrap/>
            <w:tcMar>
              <w:top w:w="15" w:type="dxa"/>
              <w:left w:w="15" w:type="dxa"/>
              <w:right w:w="15" w:type="dxa"/>
            </w:tcMar>
            <w:vAlign w:val="bottom"/>
          </w:tcPr>
          <w:p w14:paraId="71B5A5B6">
            <w:pPr>
              <w:spacing w:line="280" w:lineRule="exact"/>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136817C7">
        <w:tblPrEx>
          <w:tblCellMar>
            <w:top w:w="0" w:type="dxa"/>
            <w:left w:w="0" w:type="dxa"/>
            <w:bottom w:w="0" w:type="dxa"/>
            <w:right w:w="0" w:type="dxa"/>
          </w:tblCellMar>
        </w:tblPrEx>
        <w:trPr>
          <w:trHeight w:val="243" w:hRule="atLeast"/>
        </w:trPr>
        <w:tc>
          <w:tcPr>
            <w:tcW w:w="2320"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E38094">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收入</w:t>
            </w:r>
          </w:p>
        </w:tc>
        <w:tc>
          <w:tcPr>
            <w:tcW w:w="2680"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481DD7">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支出</w:t>
            </w:r>
          </w:p>
        </w:tc>
      </w:tr>
      <w:tr w14:paraId="6BFB92A9">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1A8E95">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65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E1F428">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D15304">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w:t>
            </w:r>
          </w:p>
        </w:tc>
        <w:tc>
          <w:tcPr>
            <w:tcW w:w="11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7825C3">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08848234">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2405C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一、一般公共预算财政拨款收入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E3A0B">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684.19</w:t>
            </w: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5A18C3">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一、一般公共服务支出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8FB5A2">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605.67</w:t>
            </w:r>
            <w:r>
              <w:rPr>
                <w:rFonts w:hint="eastAsia" w:ascii="方正仿宋_GBK" w:hAnsi="方正仿宋_GBK" w:eastAsia="方正仿宋_GBK" w:cs="方正仿宋_GBK"/>
                <w:color w:val="000000"/>
                <w:sz w:val="20"/>
                <w:u w:color="auto"/>
              </w:rPr>
              <w:t xml:space="preserve"> </w:t>
            </w:r>
          </w:p>
        </w:tc>
      </w:tr>
      <w:tr w14:paraId="06EF8A92">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509FE1">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二、政府性基金预算财政拨款收入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A874B">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7AB85F">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二、外交支出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B44D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8B57C27">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0F88A5">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三、国有资本经营预算财政拨款收入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58DAE1">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D364C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三、国防支出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E3CA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6455EC5">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6A2806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四、上级补助收入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8D90F1">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273D85">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四、公共安全支出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E9A72">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31200D1">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A711F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五、事业收入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2DEA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E8AE8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五、教育支出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AF6BA3">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8C45240">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580535">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六、经营收入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82D5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D86FBB">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六、科学技术支出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2CC9D">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FE348A6">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E4663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七、附属单位上缴收入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2D33D3">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105187">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七、文化旅游体育与传媒支出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D3395">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A285394">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30A5D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八、其他收入</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AA75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EA29A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八、社会保障和就业支出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7E34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45.72</w:t>
            </w:r>
            <w:r>
              <w:rPr>
                <w:rFonts w:hint="eastAsia" w:ascii="方正仿宋_GBK" w:hAnsi="方正仿宋_GBK" w:eastAsia="方正仿宋_GBK" w:cs="方正仿宋_GBK"/>
                <w:color w:val="000000"/>
                <w:sz w:val="20"/>
                <w:u w:color="auto"/>
              </w:rPr>
              <w:t xml:space="preserve"> </w:t>
            </w:r>
          </w:p>
        </w:tc>
      </w:tr>
      <w:tr w14:paraId="223C3B80">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36F01B">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AD51C8">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41820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九、卫生健康支出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D373D">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20.27</w:t>
            </w:r>
            <w:r>
              <w:rPr>
                <w:rFonts w:hint="eastAsia" w:ascii="方正仿宋_GBK" w:hAnsi="方正仿宋_GBK" w:eastAsia="方正仿宋_GBK" w:cs="方正仿宋_GBK"/>
                <w:color w:val="000000"/>
                <w:sz w:val="20"/>
                <w:u w:color="auto"/>
              </w:rPr>
              <w:t xml:space="preserve"> </w:t>
            </w:r>
          </w:p>
        </w:tc>
      </w:tr>
      <w:tr w14:paraId="59AF17A3">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EB31A9">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EA8A5F">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C040D9">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十、节能环保支出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2509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687BB9E">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04BE12">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64ED8F">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59114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十一、城乡社区支出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5B4BF">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A0854A0">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3F092A">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395E3C">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3E200D">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十二、农林水支出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B78A8D">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0FD9F7A">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A8B25D">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6CB0BE">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08FC01">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十三、交通运输支出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F3D4E6">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9460F2A">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A3AB933">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7DB6E4">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CA81D9">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十四、资源勘探工业信息等支出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59D2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5042C26">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2F5011">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1E352">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0136B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十五、商业服务业等支出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15DBB">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6534D24">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F43CA9">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5E681">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29BC3D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十六、金融支出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C96BD">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CB8A693">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D8BADD">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AAE31">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2B245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十七、援助其他地区支出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561EA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4FC5364">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F7AF81">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FD6702">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DDC4C3">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十八、自然资源海洋气象等支出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22757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D5AD85B">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14DDEF">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D8F19">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D4EE7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十九、住房保障支出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33E3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r>
      <w:tr w14:paraId="3490F373">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FF322E">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38407">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A5D59A7">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二十、粮油物资储备支出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009315">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F9F51A7">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F0DFF3">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2A67B">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3DACE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二十一、国有资本经营预算支出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4ED5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CC26735">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B2963B">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20981">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075A05">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二十二、灾害防治及应急管理支出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5FBF0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0476734">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7DE9F3">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47635">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A83863">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二十三、其他支出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D3B1FF">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2BF0236">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54199D">
            <w:pPr>
              <w:spacing w:line="240" w:lineRule="exact"/>
              <w:jc w:val="both"/>
              <w:rPr>
                <w:rFonts w:hint="eastAsia" w:ascii="方正仿宋_GBK" w:hAnsi="方正仿宋_GBK" w:eastAsia="方正仿宋_GBK" w:cs="方正仿宋_GBK"/>
                <w:b/>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83B4F">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3A562B1">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二十四、债务还本支出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27CDF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C96129A">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82A634">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A66BF">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2FE5BF">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二十五、债务付息支出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46701C">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8DEA1B7">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ACCEEC">
            <w:pPr>
              <w:spacing w:line="240" w:lineRule="exact"/>
              <w:jc w:val="both"/>
              <w:rPr>
                <w:rFonts w:hint="eastAsia" w:ascii="方正仿宋_GBK" w:hAnsi="方正仿宋_GBK" w:eastAsia="方正仿宋_GBK" w:cs="方正仿宋_GBK"/>
                <w:color w:val="000000"/>
                <w:sz w:val="20"/>
                <w:szCs w:val="20"/>
              </w:rPr>
            </w:pP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82E3B">
            <w:pPr>
              <w:spacing w:line="240" w:lineRule="exact"/>
              <w:jc w:val="both"/>
              <w:rPr>
                <w:rFonts w:hint="eastAsia" w:ascii="方正仿宋_GBK" w:hAnsi="方正仿宋_GBK" w:eastAsia="方正仿宋_GBK" w:cs="方正仿宋_GBK"/>
                <w:color w:val="000000"/>
                <w:sz w:val="20"/>
                <w:szCs w:val="20"/>
              </w:rPr>
            </w:pP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BE766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二十六、抗疫特别国债安排的支出</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C5B99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7C15854">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CACA37">
            <w:pPr>
              <w:spacing w:line="24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115B61">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684.19</w:t>
            </w: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EF2122">
            <w:pPr>
              <w:spacing w:line="24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469A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684.19</w:t>
            </w:r>
            <w:r>
              <w:rPr>
                <w:rFonts w:hint="eastAsia" w:ascii="方正仿宋_GBK" w:hAnsi="方正仿宋_GBK" w:eastAsia="方正仿宋_GBK" w:cs="方正仿宋_GBK"/>
                <w:color w:val="000000"/>
                <w:sz w:val="20"/>
                <w:u w:color="auto"/>
              </w:rPr>
              <w:t xml:space="preserve"> </w:t>
            </w:r>
          </w:p>
        </w:tc>
      </w:tr>
      <w:tr w14:paraId="05D78060">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629C7E">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使用非财政拨款结余和专用结余</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DB680A">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A7822B">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结余分配</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EC7462">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4DB1617">
        <w:tblPrEx>
          <w:tblCellMar>
            <w:top w:w="0" w:type="dxa"/>
            <w:left w:w="0" w:type="dxa"/>
            <w:bottom w:w="0" w:type="dxa"/>
            <w:right w:w="0" w:type="dxa"/>
          </w:tblCellMar>
        </w:tblPrEx>
        <w:trPr>
          <w:trHeight w:val="24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378409">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年初结转和结余</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83686">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A598E4">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年末结转和结余</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99C26F">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r>
              <w:rPr>
                <w:rFonts w:hint="eastAsia" w:ascii="方正仿宋_GBK" w:hAnsi="方正仿宋_GBK" w:eastAsia="方正仿宋_GBK" w:cs="方正仿宋_GBK"/>
                <w:color w:val="000000"/>
                <w:sz w:val="20"/>
                <w:u w:color="auto"/>
              </w:rPr>
              <w:t xml:space="preserve"> </w:t>
            </w:r>
          </w:p>
        </w:tc>
      </w:tr>
      <w:tr w14:paraId="2F24A199">
        <w:tblPrEx>
          <w:tblCellMar>
            <w:top w:w="0" w:type="dxa"/>
            <w:left w:w="0" w:type="dxa"/>
            <w:bottom w:w="0" w:type="dxa"/>
            <w:right w:w="0" w:type="dxa"/>
          </w:tblCellMar>
        </w:tblPrEx>
        <w:trPr>
          <w:trHeight w:val="253" w:hRule="atLeast"/>
        </w:trPr>
        <w:tc>
          <w:tcPr>
            <w:tcW w:w="166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A06800">
            <w:pPr>
              <w:spacing w:line="24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6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80279">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724.81</w:t>
            </w:r>
            <w:r>
              <w:rPr>
                <w:rFonts w:hint="eastAsia" w:ascii="方正仿宋_GBK" w:hAnsi="方正仿宋_GBK" w:eastAsia="方正仿宋_GBK" w:cs="方正仿宋_GBK"/>
                <w:color w:val="000000"/>
                <w:sz w:val="20"/>
                <w:u w:color="auto"/>
              </w:rPr>
              <w:t xml:space="preserve"> </w:t>
            </w:r>
          </w:p>
        </w:tc>
        <w:tc>
          <w:tcPr>
            <w:tcW w:w="156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CE20CE">
            <w:pPr>
              <w:spacing w:line="24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254A88">
            <w:pPr>
              <w:spacing w:line="240" w:lineRule="exact"/>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724.81</w:t>
            </w:r>
            <w:r>
              <w:rPr>
                <w:rFonts w:hint="eastAsia" w:ascii="方正仿宋_GBK" w:hAnsi="方正仿宋_GBK" w:eastAsia="方正仿宋_GBK" w:cs="方正仿宋_GBK"/>
                <w:color w:val="000000"/>
                <w:sz w:val="20"/>
                <w:u w:color="auto"/>
              </w:rPr>
              <w:t xml:space="preserve"> </w:t>
            </w:r>
          </w:p>
        </w:tc>
      </w:tr>
    </w:tbl>
    <w:p w14:paraId="290C864F">
      <w:pPr>
        <w:spacing w:line="240" w:lineRule="exact"/>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备注：1.本表反映部门本年度的总收支和年末结转结余情况。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5000" w:type="pct"/>
        <w:tblInd w:w="0" w:type="dxa"/>
        <w:tblLayout w:type="fixed"/>
        <w:tblCellMar>
          <w:top w:w="0" w:type="dxa"/>
          <w:left w:w="0" w:type="dxa"/>
          <w:bottom w:w="0" w:type="dxa"/>
          <w:right w:w="0" w:type="dxa"/>
        </w:tblCellMar>
      </w:tblPr>
      <w:tblGrid>
        <w:gridCol w:w="1547"/>
        <w:gridCol w:w="2884"/>
        <w:gridCol w:w="1122"/>
        <w:gridCol w:w="1122"/>
        <w:gridCol w:w="1122"/>
        <w:gridCol w:w="1122"/>
        <w:gridCol w:w="1243"/>
        <w:gridCol w:w="1189"/>
        <w:gridCol w:w="1309"/>
        <w:gridCol w:w="1329"/>
      </w:tblGrid>
      <w:tr w14:paraId="58BAB054">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84DC1AD">
            <w:pPr>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收入决算表</w:t>
            </w:r>
          </w:p>
        </w:tc>
      </w:tr>
      <w:tr w14:paraId="0E26EB6D">
        <w:tblPrEx>
          <w:tblCellMar>
            <w:top w:w="0" w:type="dxa"/>
            <w:left w:w="0" w:type="dxa"/>
            <w:bottom w:w="0" w:type="dxa"/>
            <w:right w:w="0" w:type="dxa"/>
          </w:tblCellMar>
        </w:tblPrEx>
        <w:trPr>
          <w:trHeight w:val="328" w:hRule="atLeast"/>
        </w:trPr>
        <w:tc>
          <w:tcPr>
            <w:tcW w:w="1984" w:type="pct"/>
            <w:gridSpan w:val="3"/>
            <w:vMerge w:val="restart"/>
            <w:tcBorders>
              <w:top w:val="nil"/>
              <w:left w:val="nil"/>
              <w:right w:val="nil"/>
            </w:tcBorders>
            <w:shd w:val="clear" w:color="auto" w:fill="auto"/>
            <w:noWrap/>
            <w:tcMar>
              <w:top w:w="15" w:type="dxa"/>
              <w:left w:w="15" w:type="dxa"/>
              <w:right w:w="15" w:type="dxa"/>
            </w:tcMar>
            <w:vAlign w:val="bottom"/>
          </w:tcPr>
          <w:p w14:paraId="1551E7C4">
            <w:pPr>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sz w:val="20"/>
                <w:u w:color="auto"/>
              </w:rPr>
              <w:t>重庆市大足区政务服务管理办公室</w:t>
            </w:r>
          </w:p>
        </w:tc>
        <w:tc>
          <w:tcPr>
            <w:tcW w:w="401" w:type="pct"/>
            <w:tcBorders>
              <w:top w:val="nil"/>
              <w:left w:val="nil"/>
              <w:bottom w:val="nil"/>
              <w:right w:val="nil"/>
            </w:tcBorders>
            <w:shd w:val="clear" w:color="auto" w:fill="auto"/>
            <w:noWrap/>
            <w:tcMar>
              <w:top w:w="15" w:type="dxa"/>
              <w:left w:w="15" w:type="dxa"/>
              <w:right w:w="15" w:type="dxa"/>
            </w:tcMar>
            <w:vAlign w:val="bottom"/>
          </w:tcPr>
          <w:p w14:paraId="01B21948">
            <w:pPr>
              <w:jc w:val="both"/>
              <w:rPr>
                <w:rFonts w:hint="eastAsia" w:ascii="方正仿宋_GBK" w:hAnsi="方正仿宋_GBK" w:eastAsia="方正仿宋_GBK" w:cs="方正仿宋_GBK"/>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C4AFC39">
            <w:pPr>
              <w:jc w:val="both"/>
              <w:rPr>
                <w:rFonts w:hint="eastAsia" w:ascii="方正仿宋_GBK" w:hAnsi="方正仿宋_GBK" w:eastAsia="方正仿宋_GBK" w:cs="方正仿宋_GBK"/>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48B683A">
            <w:pPr>
              <w:jc w:val="both"/>
              <w:rPr>
                <w:rFonts w:hint="eastAsia" w:ascii="方正仿宋_GBK" w:hAnsi="方正仿宋_GBK" w:eastAsia="方正仿宋_GBK" w:cs="方正仿宋_GBK"/>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5195A9A9">
            <w:pPr>
              <w:jc w:val="both"/>
              <w:rPr>
                <w:rFonts w:hint="eastAsia" w:ascii="方正仿宋_GBK" w:hAnsi="方正仿宋_GBK" w:eastAsia="方正仿宋_GBK" w:cs="方正仿宋_GBK"/>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568CE024">
            <w:pPr>
              <w:jc w:val="both"/>
              <w:rPr>
                <w:rFonts w:hint="eastAsia" w:ascii="方正仿宋_GBK" w:hAnsi="方正仿宋_GBK" w:eastAsia="方正仿宋_GBK" w:cs="方正仿宋_GBK"/>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5C9C52C">
            <w:pPr>
              <w:jc w:val="both"/>
              <w:rPr>
                <w:rFonts w:hint="eastAsia" w:ascii="方正仿宋_GBK" w:hAnsi="方正仿宋_GBK" w:eastAsia="方正仿宋_GBK" w:cs="方正仿宋_GBK"/>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F8DBED7">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公开02表</w:t>
            </w:r>
          </w:p>
        </w:tc>
      </w:tr>
      <w:tr w14:paraId="2C00E471">
        <w:tblPrEx>
          <w:tblCellMar>
            <w:top w:w="0" w:type="dxa"/>
            <w:left w:w="0" w:type="dxa"/>
            <w:bottom w:w="0" w:type="dxa"/>
            <w:right w:w="0" w:type="dxa"/>
          </w:tblCellMar>
        </w:tblPrEx>
        <w:trPr>
          <w:trHeight w:val="90" w:hRule="atLeast"/>
        </w:trPr>
        <w:tc>
          <w:tcPr>
            <w:tcW w:w="1984" w:type="pct"/>
            <w:gridSpan w:val="3"/>
            <w:vMerge w:val="continue"/>
            <w:tcBorders>
              <w:left w:val="nil"/>
              <w:bottom w:val="single" w:color="auto" w:sz="4" w:space="0"/>
              <w:right w:val="nil"/>
            </w:tcBorders>
            <w:shd w:val="clear" w:color="auto" w:fill="auto"/>
            <w:noWrap/>
            <w:tcMar>
              <w:top w:w="15" w:type="dxa"/>
              <w:left w:w="15" w:type="dxa"/>
              <w:right w:w="15" w:type="dxa"/>
            </w:tcMar>
            <w:vAlign w:val="bottom"/>
          </w:tcPr>
          <w:p w14:paraId="268B0C5C">
            <w:pPr>
              <w:jc w:val="both"/>
              <w:rPr>
                <w:rFonts w:hint="eastAsia" w:ascii="方正仿宋_GBK" w:hAnsi="方正仿宋_GBK" w:eastAsia="方正仿宋_GBK" w:cs="方正仿宋_GBK"/>
                <w:color w:val="000000"/>
                <w:sz w:val="20"/>
                <w:szCs w:val="20"/>
              </w:rPr>
            </w:pPr>
          </w:p>
        </w:tc>
        <w:tc>
          <w:tcPr>
            <w:tcW w:w="401" w:type="pct"/>
            <w:tcBorders>
              <w:top w:val="nil"/>
              <w:left w:val="nil"/>
              <w:bottom w:val="single" w:color="auto" w:sz="4" w:space="0"/>
              <w:right w:val="nil"/>
            </w:tcBorders>
            <w:shd w:val="clear" w:color="auto" w:fill="auto"/>
            <w:noWrap/>
            <w:tcMar>
              <w:top w:w="15" w:type="dxa"/>
              <w:left w:w="15" w:type="dxa"/>
              <w:right w:w="15" w:type="dxa"/>
            </w:tcMar>
            <w:vAlign w:val="bottom"/>
          </w:tcPr>
          <w:p w14:paraId="7E4E74E1">
            <w:pPr>
              <w:jc w:val="both"/>
              <w:rPr>
                <w:rFonts w:hint="eastAsia" w:ascii="方正仿宋_GBK" w:hAnsi="方正仿宋_GBK" w:eastAsia="方正仿宋_GBK" w:cs="方正仿宋_GBK"/>
                <w:color w:val="000000"/>
                <w:sz w:val="20"/>
                <w:szCs w:val="20"/>
              </w:rPr>
            </w:pPr>
          </w:p>
        </w:tc>
        <w:tc>
          <w:tcPr>
            <w:tcW w:w="401" w:type="pct"/>
            <w:tcBorders>
              <w:top w:val="nil"/>
              <w:left w:val="nil"/>
              <w:bottom w:val="single" w:color="auto" w:sz="4" w:space="0"/>
              <w:right w:val="nil"/>
            </w:tcBorders>
            <w:shd w:val="clear" w:color="auto" w:fill="auto"/>
            <w:noWrap/>
            <w:tcMar>
              <w:top w:w="15" w:type="dxa"/>
              <w:left w:w="15" w:type="dxa"/>
              <w:right w:w="15" w:type="dxa"/>
            </w:tcMar>
            <w:vAlign w:val="bottom"/>
          </w:tcPr>
          <w:p w14:paraId="4C93D459">
            <w:pPr>
              <w:jc w:val="both"/>
              <w:rPr>
                <w:rFonts w:hint="eastAsia" w:ascii="方正仿宋_GBK" w:hAnsi="方正仿宋_GBK" w:eastAsia="方正仿宋_GBK" w:cs="方正仿宋_GBK"/>
                <w:color w:val="000000"/>
                <w:sz w:val="20"/>
                <w:szCs w:val="20"/>
              </w:rPr>
            </w:pPr>
          </w:p>
        </w:tc>
        <w:tc>
          <w:tcPr>
            <w:tcW w:w="401" w:type="pct"/>
            <w:tcBorders>
              <w:top w:val="nil"/>
              <w:left w:val="nil"/>
              <w:bottom w:val="single" w:color="auto" w:sz="4" w:space="0"/>
              <w:right w:val="nil"/>
            </w:tcBorders>
            <w:shd w:val="clear" w:color="auto" w:fill="auto"/>
            <w:noWrap/>
            <w:tcMar>
              <w:top w:w="15" w:type="dxa"/>
              <w:left w:w="15" w:type="dxa"/>
              <w:right w:w="15" w:type="dxa"/>
            </w:tcMar>
            <w:vAlign w:val="bottom"/>
          </w:tcPr>
          <w:p w14:paraId="3B0FEB20">
            <w:pPr>
              <w:jc w:val="both"/>
              <w:rPr>
                <w:rFonts w:hint="eastAsia" w:ascii="方正仿宋_GBK" w:hAnsi="方正仿宋_GBK" w:eastAsia="方正仿宋_GBK" w:cs="方正仿宋_GBK"/>
                <w:color w:val="000000"/>
                <w:sz w:val="20"/>
                <w:szCs w:val="20"/>
              </w:rPr>
            </w:pPr>
          </w:p>
        </w:tc>
        <w:tc>
          <w:tcPr>
            <w:tcW w:w="444" w:type="pct"/>
            <w:tcBorders>
              <w:top w:val="nil"/>
              <w:left w:val="nil"/>
              <w:bottom w:val="single" w:color="auto" w:sz="4" w:space="0"/>
              <w:right w:val="nil"/>
            </w:tcBorders>
            <w:shd w:val="clear" w:color="auto" w:fill="auto"/>
            <w:noWrap/>
            <w:tcMar>
              <w:top w:w="15" w:type="dxa"/>
              <w:left w:w="15" w:type="dxa"/>
              <w:right w:w="15" w:type="dxa"/>
            </w:tcMar>
            <w:vAlign w:val="bottom"/>
          </w:tcPr>
          <w:p w14:paraId="507C380B">
            <w:pPr>
              <w:jc w:val="both"/>
              <w:rPr>
                <w:rFonts w:hint="eastAsia" w:ascii="方正仿宋_GBK" w:hAnsi="方正仿宋_GBK" w:eastAsia="方正仿宋_GBK" w:cs="方正仿宋_GBK"/>
                <w:color w:val="000000"/>
                <w:sz w:val="20"/>
                <w:szCs w:val="20"/>
              </w:rPr>
            </w:pPr>
          </w:p>
        </w:tc>
        <w:tc>
          <w:tcPr>
            <w:tcW w:w="424" w:type="pct"/>
            <w:tcBorders>
              <w:top w:val="nil"/>
              <w:left w:val="nil"/>
              <w:bottom w:val="single" w:color="auto" w:sz="4" w:space="0"/>
              <w:right w:val="nil"/>
            </w:tcBorders>
            <w:shd w:val="clear" w:color="auto" w:fill="auto"/>
            <w:noWrap/>
            <w:tcMar>
              <w:top w:w="15" w:type="dxa"/>
              <w:left w:w="15" w:type="dxa"/>
              <w:right w:w="15" w:type="dxa"/>
            </w:tcMar>
            <w:vAlign w:val="bottom"/>
          </w:tcPr>
          <w:p w14:paraId="4D822A1A">
            <w:pPr>
              <w:jc w:val="both"/>
              <w:rPr>
                <w:rFonts w:hint="eastAsia" w:ascii="方正仿宋_GBK" w:hAnsi="方正仿宋_GBK" w:eastAsia="方正仿宋_GBK" w:cs="方正仿宋_GBK"/>
                <w:color w:val="000000"/>
                <w:sz w:val="20"/>
                <w:szCs w:val="20"/>
              </w:rPr>
            </w:pPr>
          </w:p>
        </w:tc>
        <w:tc>
          <w:tcPr>
            <w:tcW w:w="467" w:type="pct"/>
            <w:tcBorders>
              <w:top w:val="nil"/>
              <w:left w:val="nil"/>
              <w:bottom w:val="single" w:color="auto" w:sz="4" w:space="0"/>
              <w:right w:val="nil"/>
            </w:tcBorders>
            <w:shd w:val="clear" w:color="auto" w:fill="auto"/>
            <w:noWrap/>
            <w:tcMar>
              <w:top w:w="15" w:type="dxa"/>
              <w:left w:w="15" w:type="dxa"/>
              <w:right w:w="15" w:type="dxa"/>
            </w:tcMar>
            <w:vAlign w:val="bottom"/>
          </w:tcPr>
          <w:p w14:paraId="420794E5">
            <w:pPr>
              <w:jc w:val="both"/>
              <w:rPr>
                <w:rFonts w:hint="eastAsia" w:ascii="方正仿宋_GBK" w:hAnsi="方正仿宋_GBK" w:eastAsia="方正仿宋_GBK" w:cs="方正仿宋_GBK"/>
                <w:color w:val="000000"/>
                <w:sz w:val="20"/>
                <w:szCs w:val="20"/>
              </w:rPr>
            </w:pPr>
          </w:p>
        </w:tc>
        <w:tc>
          <w:tcPr>
            <w:tcW w:w="475" w:type="pct"/>
            <w:tcBorders>
              <w:top w:val="nil"/>
              <w:left w:val="nil"/>
              <w:bottom w:val="single" w:color="auto" w:sz="4" w:space="0"/>
              <w:right w:val="nil"/>
            </w:tcBorders>
            <w:shd w:val="clear" w:color="auto" w:fill="auto"/>
            <w:noWrap/>
            <w:tcMar>
              <w:top w:w="15" w:type="dxa"/>
              <w:left w:w="15" w:type="dxa"/>
              <w:right w:w="15" w:type="dxa"/>
            </w:tcMar>
            <w:vAlign w:val="bottom"/>
          </w:tcPr>
          <w:p w14:paraId="078EC351">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22F7641D">
        <w:tblPrEx>
          <w:tblCellMar>
            <w:top w:w="0" w:type="dxa"/>
            <w:left w:w="0" w:type="dxa"/>
            <w:bottom w:w="0" w:type="dxa"/>
            <w:right w:w="0" w:type="dxa"/>
          </w:tblCellMar>
        </w:tblPrEx>
        <w:trPr>
          <w:trHeight w:val="431" w:hRule="atLeast"/>
        </w:trPr>
        <w:tc>
          <w:tcPr>
            <w:tcW w:w="1583" w:type="pct"/>
            <w:gridSpan w:val="2"/>
            <w:tcBorders>
              <w:top w:val="single" w:color="auto" w:sz="4" w:space="0"/>
              <w:left w:val="single" w:color="auto" w:sz="4" w:space="0"/>
              <w:bottom w:val="single" w:color="auto" w:sz="4" w:space="0"/>
              <w:right w:val="single" w:color="auto" w:sz="4" w:space="0"/>
            </w:tcBorders>
            <w:shd w:val="clear" w:color="auto" w:fill="D0CECE"/>
            <w:noWrap/>
            <w:tcMar>
              <w:top w:w="15" w:type="dxa"/>
              <w:left w:w="15" w:type="dxa"/>
              <w:right w:w="15" w:type="dxa"/>
            </w:tcMar>
            <w:vAlign w:val="bottom"/>
          </w:tcPr>
          <w:p w14:paraId="2C08422D">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401"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D95D8B8">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401"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AF9A0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财政拨款收入</w:t>
            </w:r>
          </w:p>
        </w:tc>
        <w:tc>
          <w:tcPr>
            <w:tcW w:w="401"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0523CC4">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上级补助收入</w:t>
            </w:r>
          </w:p>
        </w:tc>
        <w:tc>
          <w:tcPr>
            <w:tcW w:w="845" w:type="pct"/>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bottom"/>
          </w:tcPr>
          <w:p w14:paraId="2518654C">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事业收入</w:t>
            </w:r>
          </w:p>
        </w:tc>
        <w:tc>
          <w:tcPr>
            <w:tcW w:w="424"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AF8F4C4">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经营收入</w:t>
            </w:r>
          </w:p>
        </w:tc>
        <w:tc>
          <w:tcPr>
            <w:tcW w:w="467"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2BBAE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附属单位上缴收入</w:t>
            </w:r>
          </w:p>
        </w:tc>
        <w:tc>
          <w:tcPr>
            <w:tcW w:w="47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E1F44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其他收入</w:t>
            </w:r>
          </w:p>
        </w:tc>
      </w:tr>
      <w:tr w14:paraId="0FEE88D3">
        <w:tblPrEx>
          <w:tblCellMar>
            <w:top w:w="0" w:type="dxa"/>
            <w:left w:w="0" w:type="dxa"/>
            <w:bottom w:w="0" w:type="dxa"/>
            <w:right w:w="0" w:type="dxa"/>
          </w:tblCellMar>
        </w:tblPrEx>
        <w:trPr>
          <w:trHeight w:val="334" w:hRule="atLeast"/>
        </w:trPr>
        <w:tc>
          <w:tcPr>
            <w:tcW w:w="55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4B8A4">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030"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F4D25E">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40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CEEA314">
            <w:pPr>
              <w:jc w:val="both"/>
              <w:rPr>
                <w:rFonts w:hint="eastAsia" w:ascii="方正仿宋_GBK" w:hAnsi="方正仿宋_GBK" w:eastAsia="方正仿宋_GBK" w:cs="方正仿宋_GBK"/>
                <w:b/>
                <w:color w:val="000000"/>
                <w:sz w:val="20"/>
                <w:szCs w:val="20"/>
              </w:rPr>
            </w:pPr>
          </w:p>
        </w:tc>
        <w:tc>
          <w:tcPr>
            <w:tcW w:w="40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AD8982">
            <w:pPr>
              <w:jc w:val="both"/>
              <w:rPr>
                <w:rFonts w:hint="eastAsia" w:ascii="方正仿宋_GBK" w:hAnsi="方正仿宋_GBK" w:eastAsia="方正仿宋_GBK" w:cs="方正仿宋_GBK"/>
                <w:b/>
                <w:color w:val="000000"/>
                <w:sz w:val="20"/>
                <w:szCs w:val="20"/>
              </w:rPr>
            </w:pPr>
          </w:p>
        </w:tc>
        <w:tc>
          <w:tcPr>
            <w:tcW w:w="40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A88036">
            <w:pPr>
              <w:jc w:val="both"/>
              <w:rPr>
                <w:rFonts w:hint="eastAsia" w:ascii="方正仿宋_GBK" w:hAnsi="方正仿宋_GBK" w:eastAsia="方正仿宋_GBK" w:cs="方正仿宋_GBK"/>
                <w:b/>
                <w:color w:val="000000"/>
                <w:sz w:val="20"/>
                <w:szCs w:val="20"/>
              </w:rPr>
            </w:pPr>
          </w:p>
        </w:tc>
        <w:tc>
          <w:tcPr>
            <w:tcW w:w="401"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E023D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小计</w:t>
            </w:r>
          </w:p>
        </w:tc>
        <w:tc>
          <w:tcPr>
            <w:tcW w:w="444"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168EFF">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其中：教育收费</w:t>
            </w:r>
          </w:p>
        </w:tc>
        <w:tc>
          <w:tcPr>
            <w:tcW w:w="42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737FC86">
            <w:pPr>
              <w:jc w:val="both"/>
              <w:rPr>
                <w:rFonts w:hint="eastAsia" w:ascii="方正仿宋_GBK" w:hAnsi="方正仿宋_GBK" w:eastAsia="方正仿宋_GBK" w:cs="方正仿宋_GBK"/>
                <w:b/>
                <w:color w:val="000000"/>
                <w:sz w:val="20"/>
                <w:szCs w:val="20"/>
              </w:rPr>
            </w:pPr>
          </w:p>
        </w:tc>
        <w:tc>
          <w:tcPr>
            <w:tcW w:w="467"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A307E7">
            <w:pPr>
              <w:jc w:val="both"/>
              <w:rPr>
                <w:rFonts w:hint="eastAsia" w:ascii="方正仿宋_GBK" w:hAnsi="方正仿宋_GBK" w:eastAsia="方正仿宋_GBK" w:cs="方正仿宋_GBK"/>
                <w:b/>
                <w:color w:val="000000"/>
                <w:sz w:val="20"/>
                <w:szCs w:val="20"/>
              </w:rPr>
            </w:pPr>
          </w:p>
        </w:tc>
        <w:tc>
          <w:tcPr>
            <w:tcW w:w="47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A36EC3">
            <w:pPr>
              <w:jc w:val="both"/>
              <w:rPr>
                <w:rFonts w:hint="eastAsia" w:ascii="方正仿宋_GBK" w:hAnsi="方正仿宋_GBK" w:eastAsia="方正仿宋_GBK" w:cs="方正仿宋_GBK"/>
                <w:b/>
                <w:color w:val="000000"/>
                <w:sz w:val="20"/>
                <w:szCs w:val="20"/>
              </w:rPr>
            </w:pPr>
          </w:p>
        </w:tc>
      </w:tr>
      <w:tr w14:paraId="04FE61BE">
        <w:tblPrEx>
          <w:tblCellMar>
            <w:top w:w="0" w:type="dxa"/>
            <w:left w:w="0" w:type="dxa"/>
            <w:bottom w:w="0" w:type="dxa"/>
            <w:right w:w="0" w:type="dxa"/>
          </w:tblCellMar>
        </w:tblPrEx>
        <w:trPr>
          <w:trHeight w:val="338" w:hRule="atLeast"/>
        </w:trPr>
        <w:tc>
          <w:tcPr>
            <w:tcW w:w="1583"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06AEB8">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D17F8">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684.19</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923B4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684.19</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C11DF">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9F3207">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FF48C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527F8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325F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C3CC9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r w14:paraId="63057387">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CBBE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78539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6C6D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B4604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75C6D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0752B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80368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8C03D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3D2D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4DFCD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D44C534">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CFBA06">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20103</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C0A6A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政府办公厅（室）及相关机构事务</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5E375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18C62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4DD54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0088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D4D38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419B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9A45C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E151C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5BB564C">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23F24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2010301</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5EE74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FC224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322A5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E46B3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4347C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590AB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AFFD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2A63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E8313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0770C89">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9C7CC">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2010302</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EF7E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一般行政管理事务</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59BE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5535F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06F7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CFF39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E523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BD2B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DE92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AFF1A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F69CBC9">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A2BC1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2010306</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4E2CEA">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政务公开审批</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DB79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8749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10D4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33C1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83FF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406AA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7B90A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A7445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E78E1C5">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6CFEA">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2010350</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8640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事业运行</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6FA88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63.69</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74C2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63.69</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2E4D7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A79CB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3082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01AF3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7802D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6DB5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64E19EC">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4A59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028A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D9883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45.72</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1B7B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45.72</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D6E63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6AAE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1AD1A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A5D6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CBE76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CC08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DCA2EBD">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F36F2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3444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B0097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45.25</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9BB44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45.25</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9142B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8C4FF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5F72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89018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7FAA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2664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68CF446">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F56E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A981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0BD3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28.62</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ADBE4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28.62</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63B11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3DDB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8A01D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97563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70E8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83CBC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40B8915">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77C7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32B51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618CC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14.13</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0D1C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14.13</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B40E5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2B202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4CD20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AC32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1E2DD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E721B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CB7BC85">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C3FF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2080599</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937E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其他行政事业单位养老支出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6D854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A3645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3195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B3AD4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5B7FF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6FD01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17E1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CC5E8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A0C15DD">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0733C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20899</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1A623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其他社会保障和就业支出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B35B4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0.47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E370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0.47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67FC6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212B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73845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B7F2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8476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EBCB1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EB2E237">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C7D3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2089999</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C868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其他社会保障和就业支出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2A89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0.47</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9EEC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0.47</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894DA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FE8C2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08B0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68054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C46FE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FE5E2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47AF71A">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36B3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87BAA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417C2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25631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B3E8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C7895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4B41B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2D5FF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15EB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DDBFC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C9B8DFA">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31487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06363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9C25C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2745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D9BE1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1ED1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6F602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6B535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AAEB4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E507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E3A8ED0">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449E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1FA3F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F432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197E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F8DAB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8575D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B1FF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743A5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37359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F07E7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974C5DF">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0F4B2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2101102</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D6A94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事业单位医疗</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0DAC2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DF422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48A93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CA2B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8309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0990B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A834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4E6D3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3FA0519">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85EA1">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2101103</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1DE6D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公务员医疗补助</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D3086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BCBC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53DC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35096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44AD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C9906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674F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3C38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95A4095">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0D63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2101199</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B91A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其他行政事业单位医疗支出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FD2C6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70161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4EE4A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6D04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E95E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6251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50AD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0DAA7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4701DB7">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DDABFC">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80BC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508BD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64E38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53A7C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581A2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F1A8A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4F488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8F00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9011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7F34646">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4D754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69D13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CDC01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A66E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33DC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92B21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BBD19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98FA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959B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6E3BA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85A74AD">
        <w:tblPrEx>
          <w:tblCellMar>
            <w:top w:w="0" w:type="dxa"/>
            <w:left w:w="0" w:type="dxa"/>
            <w:bottom w:w="0" w:type="dxa"/>
            <w:right w:w="0" w:type="dxa"/>
          </w:tblCellMar>
        </w:tblPrEx>
        <w:trPr>
          <w:trHeight w:val="348" w:hRule="atLeast"/>
        </w:trPr>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51CC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10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959C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CB916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C4A3A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A116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BD8D9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93DE0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38EF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59F5A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7F9A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bl>
    <w:p w14:paraId="386C6B82">
      <w:pPr>
        <w:ind w:left="600" w:hanging="600" w:hangingChars="300"/>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备注：1.本表反映部门本年度取得的各项收入情况。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637"/>
        <w:gridCol w:w="3230"/>
        <w:gridCol w:w="1499"/>
        <w:gridCol w:w="1479"/>
        <w:gridCol w:w="1482"/>
        <w:gridCol w:w="1508"/>
        <w:gridCol w:w="1508"/>
        <w:gridCol w:w="1645"/>
      </w:tblGrid>
      <w:tr w14:paraId="168C478B">
        <w:trPr>
          <w:trHeight w:val="90"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238BB74">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支出决算表</w:t>
            </w:r>
          </w:p>
        </w:tc>
      </w:tr>
      <w:tr w14:paraId="7BC05EBA">
        <w:tblPrEx>
          <w:tblCellMar>
            <w:top w:w="0" w:type="dxa"/>
            <w:left w:w="0" w:type="dxa"/>
            <w:bottom w:w="0" w:type="dxa"/>
            <w:right w:w="0" w:type="dxa"/>
          </w:tblCellMar>
        </w:tblPrEx>
        <w:trPr>
          <w:trHeight w:val="342" w:hRule="atLeast"/>
        </w:trPr>
        <w:tc>
          <w:tcPr>
            <w:tcW w:w="2275" w:type="pct"/>
            <w:gridSpan w:val="3"/>
            <w:vMerge w:val="restart"/>
            <w:tcBorders>
              <w:top w:val="nil"/>
              <w:left w:val="nil"/>
              <w:right w:val="nil"/>
            </w:tcBorders>
            <w:shd w:val="clear" w:color="auto" w:fill="auto"/>
            <w:noWrap/>
            <w:tcMar>
              <w:top w:w="15" w:type="dxa"/>
              <w:left w:w="15" w:type="dxa"/>
              <w:right w:w="15" w:type="dxa"/>
            </w:tcMar>
            <w:vAlign w:val="bottom"/>
          </w:tcPr>
          <w:p w14:paraId="22A9C31E">
            <w:pPr>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 xml:space="preserve">重庆市大足区政务服务管理办公室 </w:t>
            </w:r>
          </w:p>
        </w:tc>
        <w:tc>
          <w:tcPr>
            <w:tcW w:w="529" w:type="pct"/>
            <w:tcBorders>
              <w:top w:val="nil"/>
              <w:left w:val="nil"/>
              <w:bottom w:val="nil"/>
              <w:right w:val="nil"/>
            </w:tcBorders>
            <w:shd w:val="clear" w:color="auto" w:fill="auto"/>
            <w:noWrap/>
            <w:tcMar>
              <w:top w:w="15" w:type="dxa"/>
              <w:left w:w="15" w:type="dxa"/>
              <w:right w:w="15" w:type="dxa"/>
            </w:tcMar>
            <w:vAlign w:val="bottom"/>
          </w:tcPr>
          <w:p w14:paraId="10286471">
            <w:pPr>
              <w:jc w:val="both"/>
              <w:rPr>
                <w:rFonts w:hint="eastAsia" w:ascii="方正仿宋_GBK" w:hAnsi="方正仿宋_GBK" w:eastAsia="方正仿宋_GBK" w:cs="方正仿宋_GBK"/>
                <w:color w:val="000000"/>
                <w:sz w:val="20"/>
                <w:szCs w:val="20"/>
              </w:rPr>
            </w:pPr>
          </w:p>
        </w:tc>
        <w:tc>
          <w:tcPr>
            <w:tcW w:w="530" w:type="pct"/>
            <w:tcBorders>
              <w:top w:val="nil"/>
              <w:left w:val="nil"/>
              <w:bottom w:val="nil"/>
              <w:right w:val="nil"/>
            </w:tcBorders>
            <w:shd w:val="clear" w:color="auto" w:fill="auto"/>
            <w:noWrap/>
            <w:tcMar>
              <w:top w:w="15" w:type="dxa"/>
              <w:left w:w="15" w:type="dxa"/>
              <w:right w:w="15" w:type="dxa"/>
            </w:tcMar>
            <w:vAlign w:val="bottom"/>
          </w:tcPr>
          <w:p w14:paraId="1A08DA05">
            <w:pPr>
              <w:jc w:val="both"/>
              <w:rPr>
                <w:rFonts w:hint="eastAsia" w:ascii="方正仿宋_GBK" w:hAnsi="方正仿宋_GBK" w:eastAsia="方正仿宋_GBK" w:cs="方正仿宋_GBK"/>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5065BC">
            <w:pPr>
              <w:jc w:val="both"/>
              <w:rPr>
                <w:rFonts w:hint="eastAsia" w:ascii="方正仿宋_GBK" w:hAnsi="方正仿宋_GBK" w:eastAsia="方正仿宋_GBK" w:cs="方正仿宋_GBK"/>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5D6BB75">
            <w:pPr>
              <w:jc w:val="both"/>
              <w:rPr>
                <w:rFonts w:hint="eastAsia" w:ascii="方正仿宋_GBK" w:hAnsi="方正仿宋_GBK" w:eastAsia="方正仿宋_GBK" w:cs="方正仿宋_GBK"/>
                <w:color w:val="000000"/>
                <w:sz w:val="20"/>
                <w:szCs w:val="20"/>
              </w:rPr>
            </w:pPr>
          </w:p>
        </w:tc>
        <w:tc>
          <w:tcPr>
            <w:tcW w:w="585" w:type="pct"/>
            <w:tcBorders>
              <w:top w:val="nil"/>
              <w:left w:val="nil"/>
              <w:bottom w:val="nil"/>
              <w:right w:val="nil"/>
            </w:tcBorders>
            <w:shd w:val="clear" w:color="auto" w:fill="auto"/>
            <w:noWrap/>
            <w:tcMar>
              <w:top w:w="15" w:type="dxa"/>
              <w:left w:w="15" w:type="dxa"/>
              <w:right w:w="15" w:type="dxa"/>
            </w:tcMar>
            <w:vAlign w:val="bottom"/>
          </w:tcPr>
          <w:p w14:paraId="2ED4131B">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公开03表</w:t>
            </w:r>
          </w:p>
        </w:tc>
      </w:tr>
      <w:tr w14:paraId="76167130">
        <w:tblPrEx>
          <w:tblCellMar>
            <w:top w:w="0" w:type="dxa"/>
            <w:left w:w="0" w:type="dxa"/>
            <w:bottom w:w="0" w:type="dxa"/>
            <w:right w:w="0" w:type="dxa"/>
          </w:tblCellMar>
        </w:tblPrEx>
        <w:trPr>
          <w:trHeight w:val="342" w:hRule="atLeast"/>
        </w:trPr>
        <w:tc>
          <w:tcPr>
            <w:tcW w:w="2275" w:type="pct"/>
            <w:gridSpan w:val="3"/>
            <w:vMerge w:val="continue"/>
            <w:tcBorders>
              <w:left w:val="nil"/>
              <w:bottom w:val="single" w:color="auto" w:sz="4" w:space="0"/>
              <w:right w:val="nil"/>
            </w:tcBorders>
            <w:shd w:val="clear" w:color="auto" w:fill="auto"/>
            <w:noWrap/>
            <w:tcMar>
              <w:top w:w="15" w:type="dxa"/>
              <w:left w:w="15" w:type="dxa"/>
              <w:right w:w="15" w:type="dxa"/>
            </w:tcMar>
            <w:vAlign w:val="bottom"/>
          </w:tcPr>
          <w:p w14:paraId="5B7A5F9C">
            <w:pPr>
              <w:jc w:val="both"/>
              <w:rPr>
                <w:rFonts w:hint="eastAsia" w:ascii="方正仿宋_GBK" w:hAnsi="方正仿宋_GBK" w:eastAsia="方正仿宋_GBK" w:cs="方正仿宋_GBK"/>
                <w:color w:val="000000"/>
                <w:sz w:val="20"/>
                <w:szCs w:val="20"/>
              </w:rPr>
            </w:pPr>
          </w:p>
        </w:tc>
        <w:tc>
          <w:tcPr>
            <w:tcW w:w="529" w:type="pct"/>
            <w:tcBorders>
              <w:top w:val="nil"/>
              <w:left w:val="nil"/>
              <w:bottom w:val="single" w:color="auto" w:sz="4" w:space="0"/>
              <w:right w:val="nil"/>
            </w:tcBorders>
            <w:shd w:val="clear" w:color="auto" w:fill="auto"/>
            <w:noWrap/>
            <w:tcMar>
              <w:top w:w="15" w:type="dxa"/>
              <w:left w:w="15" w:type="dxa"/>
              <w:right w:w="15" w:type="dxa"/>
            </w:tcMar>
            <w:vAlign w:val="bottom"/>
          </w:tcPr>
          <w:p w14:paraId="55024675">
            <w:pPr>
              <w:jc w:val="both"/>
              <w:rPr>
                <w:rFonts w:hint="eastAsia" w:ascii="方正仿宋_GBK" w:hAnsi="方正仿宋_GBK" w:eastAsia="方正仿宋_GBK" w:cs="方正仿宋_GBK"/>
                <w:color w:val="000000"/>
                <w:sz w:val="20"/>
                <w:szCs w:val="20"/>
              </w:rPr>
            </w:pPr>
          </w:p>
        </w:tc>
        <w:tc>
          <w:tcPr>
            <w:tcW w:w="530" w:type="pct"/>
            <w:tcBorders>
              <w:top w:val="nil"/>
              <w:left w:val="nil"/>
              <w:bottom w:val="single" w:color="auto" w:sz="4" w:space="0"/>
              <w:right w:val="nil"/>
            </w:tcBorders>
            <w:shd w:val="clear" w:color="auto" w:fill="auto"/>
            <w:noWrap/>
            <w:tcMar>
              <w:top w:w="15" w:type="dxa"/>
              <w:left w:w="15" w:type="dxa"/>
              <w:right w:w="15" w:type="dxa"/>
            </w:tcMar>
            <w:vAlign w:val="bottom"/>
          </w:tcPr>
          <w:p w14:paraId="6D933694">
            <w:pPr>
              <w:jc w:val="both"/>
              <w:rPr>
                <w:rFonts w:hint="eastAsia" w:ascii="方正仿宋_GBK" w:hAnsi="方正仿宋_GBK" w:eastAsia="方正仿宋_GBK" w:cs="方正仿宋_GBK"/>
                <w:color w:val="000000"/>
                <w:sz w:val="20"/>
                <w:szCs w:val="20"/>
              </w:rPr>
            </w:pPr>
          </w:p>
        </w:tc>
        <w:tc>
          <w:tcPr>
            <w:tcW w:w="539" w:type="pct"/>
            <w:tcBorders>
              <w:top w:val="nil"/>
              <w:left w:val="nil"/>
              <w:bottom w:val="single" w:color="auto" w:sz="4" w:space="0"/>
              <w:right w:val="nil"/>
            </w:tcBorders>
            <w:shd w:val="clear" w:color="auto" w:fill="auto"/>
            <w:noWrap/>
            <w:tcMar>
              <w:top w:w="15" w:type="dxa"/>
              <w:left w:w="15" w:type="dxa"/>
              <w:right w:w="15" w:type="dxa"/>
            </w:tcMar>
            <w:vAlign w:val="bottom"/>
          </w:tcPr>
          <w:p w14:paraId="1EF719C9">
            <w:pPr>
              <w:jc w:val="both"/>
              <w:rPr>
                <w:rFonts w:hint="eastAsia" w:ascii="方正仿宋_GBK" w:hAnsi="方正仿宋_GBK" w:eastAsia="方正仿宋_GBK" w:cs="方正仿宋_GBK"/>
                <w:color w:val="000000"/>
                <w:sz w:val="20"/>
                <w:szCs w:val="20"/>
              </w:rPr>
            </w:pPr>
          </w:p>
        </w:tc>
        <w:tc>
          <w:tcPr>
            <w:tcW w:w="539" w:type="pct"/>
            <w:tcBorders>
              <w:top w:val="nil"/>
              <w:left w:val="nil"/>
              <w:bottom w:val="single" w:color="auto" w:sz="4" w:space="0"/>
              <w:right w:val="nil"/>
            </w:tcBorders>
            <w:shd w:val="clear" w:color="auto" w:fill="auto"/>
            <w:noWrap/>
            <w:tcMar>
              <w:top w:w="15" w:type="dxa"/>
              <w:left w:w="15" w:type="dxa"/>
              <w:right w:w="15" w:type="dxa"/>
            </w:tcMar>
            <w:vAlign w:val="bottom"/>
          </w:tcPr>
          <w:p w14:paraId="40A07457">
            <w:pPr>
              <w:jc w:val="both"/>
              <w:rPr>
                <w:rFonts w:hint="eastAsia" w:ascii="方正仿宋_GBK" w:hAnsi="方正仿宋_GBK" w:eastAsia="方正仿宋_GBK" w:cs="方正仿宋_GBK"/>
                <w:color w:val="000000"/>
                <w:sz w:val="20"/>
                <w:szCs w:val="20"/>
              </w:rPr>
            </w:pPr>
          </w:p>
        </w:tc>
        <w:tc>
          <w:tcPr>
            <w:tcW w:w="585" w:type="pct"/>
            <w:tcBorders>
              <w:top w:val="nil"/>
              <w:left w:val="nil"/>
              <w:bottom w:val="single" w:color="auto" w:sz="4" w:space="0"/>
              <w:right w:val="nil"/>
            </w:tcBorders>
            <w:shd w:val="clear" w:color="auto" w:fill="auto"/>
            <w:noWrap/>
            <w:tcMar>
              <w:top w:w="15" w:type="dxa"/>
              <w:left w:w="15" w:type="dxa"/>
              <w:right w:w="15" w:type="dxa"/>
            </w:tcMar>
            <w:vAlign w:val="bottom"/>
          </w:tcPr>
          <w:p w14:paraId="3624A6DA">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493BA62D">
        <w:tblPrEx>
          <w:tblCellMar>
            <w:top w:w="0" w:type="dxa"/>
            <w:left w:w="0" w:type="dxa"/>
            <w:bottom w:w="0" w:type="dxa"/>
            <w:right w:w="0" w:type="dxa"/>
          </w:tblCellMar>
        </w:tblPrEx>
        <w:trPr>
          <w:trHeight w:val="362" w:hRule="atLeast"/>
        </w:trPr>
        <w:tc>
          <w:tcPr>
            <w:tcW w:w="1739" w:type="pct"/>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bottom"/>
          </w:tcPr>
          <w:p w14:paraId="6D11CC4C">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53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B47075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52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29A47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530"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0E3D0F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53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EE2F360">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上缴上级支出</w:t>
            </w:r>
          </w:p>
        </w:tc>
        <w:tc>
          <w:tcPr>
            <w:tcW w:w="53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4AA4D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经营支出</w:t>
            </w:r>
          </w:p>
        </w:tc>
        <w:tc>
          <w:tcPr>
            <w:tcW w:w="58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92DE5F">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对附属单位补助支出</w:t>
            </w:r>
          </w:p>
        </w:tc>
      </w:tr>
      <w:tr w14:paraId="38CFFD1C">
        <w:tblPrEx>
          <w:tblCellMar>
            <w:top w:w="0" w:type="dxa"/>
            <w:left w:w="0" w:type="dxa"/>
            <w:bottom w:w="0" w:type="dxa"/>
            <w:right w:w="0" w:type="dxa"/>
          </w:tblCellMar>
        </w:tblPrEx>
        <w:trPr>
          <w:trHeight w:val="90" w:hRule="atLeast"/>
        </w:trPr>
        <w:tc>
          <w:tcPr>
            <w:tcW w:w="58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3E9CD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1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2B9B8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53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AC7B14">
            <w:pPr>
              <w:jc w:val="center"/>
              <w:rPr>
                <w:rFonts w:hint="eastAsia" w:ascii="方正仿宋_GBK" w:hAnsi="方正仿宋_GBK" w:eastAsia="方正仿宋_GBK" w:cs="方正仿宋_GBK"/>
                <w:b/>
                <w:color w:val="000000"/>
                <w:sz w:val="20"/>
                <w:szCs w:val="20"/>
              </w:rPr>
            </w:pPr>
          </w:p>
        </w:tc>
        <w:tc>
          <w:tcPr>
            <w:tcW w:w="52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76434F8">
            <w:pPr>
              <w:jc w:val="center"/>
              <w:rPr>
                <w:rFonts w:hint="eastAsia" w:ascii="方正仿宋_GBK" w:hAnsi="方正仿宋_GBK" w:eastAsia="方正仿宋_GBK" w:cs="方正仿宋_GBK"/>
                <w:b/>
                <w:color w:val="000000"/>
                <w:sz w:val="20"/>
                <w:szCs w:val="20"/>
              </w:rPr>
            </w:pPr>
          </w:p>
        </w:tc>
        <w:tc>
          <w:tcPr>
            <w:tcW w:w="530"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EC0D00">
            <w:pPr>
              <w:jc w:val="center"/>
              <w:rPr>
                <w:rFonts w:hint="eastAsia" w:ascii="方正仿宋_GBK" w:hAnsi="方正仿宋_GBK" w:eastAsia="方正仿宋_GBK" w:cs="方正仿宋_GBK"/>
                <w:b/>
                <w:color w:val="000000"/>
                <w:sz w:val="20"/>
                <w:szCs w:val="20"/>
              </w:rPr>
            </w:pPr>
          </w:p>
        </w:tc>
        <w:tc>
          <w:tcPr>
            <w:tcW w:w="53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7B84DE">
            <w:pPr>
              <w:jc w:val="center"/>
              <w:rPr>
                <w:rFonts w:hint="eastAsia" w:ascii="方正仿宋_GBK" w:hAnsi="方正仿宋_GBK" w:eastAsia="方正仿宋_GBK" w:cs="方正仿宋_GBK"/>
                <w:b/>
                <w:color w:val="000000"/>
                <w:sz w:val="20"/>
                <w:szCs w:val="20"/>
              </w:rPr>
            </w:pPr>
          </w:p>
        </w:tc>
        <w:tc>
          <w:tcPr>
            <w:tcW w:w="53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CFF69A9">
            <w:pPr>
              <w:jc w:val="center"/>
              <w:rPr>
                <w:rFonts w:hint="eastAsia" w:ascii="方正仿宋_GBK" w:hAnsi="方正仿宋_GBK" w:eastAsia="方正仿宋_GBK" w:cs="方正仿宋_GBK"/>
                <w:b/>
                <w:color w:val="000000"/>
                <w:sz w:val="20"/>
                <w:szCs w:val="20"/>
              </w:rPr>
            </w:pPr>
          </w:p>
        </w:tc>
        <w:tc>
          <w:tcPr>
            <w:tcW w:w="58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6B92A09">
            <w:pPr>
              <w:jc w:val="center"/>
              <w:rPr>
                <w:rFonts w:hint="eastAsia" w:ascii="方正仿宋_GBK" w:hAnsi="方正仿宋_GBK" w:eastAsia="方正仿宋_GBK" w:cs="方正仿宋_GBK"/>
                <w:b/>
                <w:color w:val="000000"/>
                <w:sz w:val="20"/>
                <w:szCs w:val="20"/>
              </w:rPr>
            </w:pPr>
          </w:p>
        </w:tc>
      </w:tr>
      <w:tr w14:paraId="0982B70E">
        <w:tblPrEx>
          <w:tblCellMar>
            <w:top w:w="0" w:type="dxa"/>
            <w:left w:w="0" w:type="dxa"/>
            <w:bottom w:w="0" w:type="dxa"/>
            <w:right w:w="0" w:type="dxa"/>
          </w:tblCellMar>
        </w:tblPrEx>
        <w:trPr>
          <w:trHeight w:val="362" w:hRule="atLeast"/>
        </w:trPr>
        <w:tc>
          <w:tcPr>
            <w:tcW w:w="1739"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191B6C">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24D83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684.19</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CE930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386.74</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0A8C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297.45</w:t>
            </w:r>
            <w:r>
              <w:rPr>
                <w:rFonts w:hint="eastAsia" w:ascii="方正仿宋_GBK" w:hAnsi="方正仿宋_GBK" w:eastAsia="方正仿宋_GBK" w:cs="方正仿宋_GBK"/>
                <w:b/>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F2322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BA26B">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9B0F7">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r w14:paraId="6EA5D9A7">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A39A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5E39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826D3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8876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308.22</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24412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297.45</w:t>
            </w:r>
            <w:r>
              <w:rPr>
                <w:rFonts w:hint="eastAsia" w:ascii="方正仿宋_GBK" w:hAnsi="方正仿宋_GBK" w:eastAsia="方正仿宋_GBK" w:cs="方正仿宋_GBK"/>
                <w:b/>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8B72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C4EAA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2E0C8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C43FA32">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B3F9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20103</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5F90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政府办公厅（室）及相关机构事务</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45BBB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FE5C2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308.22</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F113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297.45</w:t>
            </w:r>
            <w:r>
              <w:rPr>
                <w:rFonts w:hint="eastAsia" w:ascii="方正仿宋_GBK" w:hAnsi="方正仿宋_GBK" w:eastAsia="方正仿宋_GBK" w:cs="方正仿宋_GBK"/>
                <w:b/>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2002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FAED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D37A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C3908F2">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366D1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22179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50AB2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355B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E4DEE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D709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C638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66D5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54EA275">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7BA6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2010302</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67B92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一般行政管理事务</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7F09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EE11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54E4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C846F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DBED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DECED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E358189">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25CA11">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2010306</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EB0F6">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政务公开审批</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9984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71B6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D584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604C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B556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FB1A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DF5ADA6">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A9FE2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2010350</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7DE3B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事业运行</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E2D51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63.69</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E557A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63.69</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CA3C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0213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A2667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3E93E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FE5242B">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2A577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40372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288E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45.72</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A3A3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45.72</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171F3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F9A3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3AF4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B3C1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04480AF">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A741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7D57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154FD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45.25</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0560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45.25</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2DE9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A871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1BBC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4A693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88A035D">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780C6">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BABB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278C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28.62</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4B04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28.62</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60474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6D3B8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A5BA6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76E6B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8CFEFDB">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5DAEDA">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3665D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0352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14.13</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D920D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14.13</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B2D7D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0E76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5052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6EB6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375EA90">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2D2E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C1764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其他行政事业单位养老支出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FD5D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AE19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AA43F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5DF15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C70C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FE035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68DC716">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3949E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1113B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其他社会保障和就业支出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C9F9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0.47</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A24A2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0.47</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F3A1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D05FD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DD959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C64B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3F29EFB">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5B55CC">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2089999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7371F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其他社会保障和就业支出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1A67D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0.47</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339F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0.47</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ECF9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CF7AC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C4D7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DF054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D2CC856">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40FE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FA565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93F4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51543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C90F3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634D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73425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EE9D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30619EC">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81636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42F3A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3CB5F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F414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92879">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410B4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EFABC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E062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D253299">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85173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0AA94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3422C">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6B2ED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3373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E2970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DC63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60CC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F43447D">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A8C2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2101102</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05CD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事业单位医疗</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8836A">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725D1">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2.78</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8767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2D3D2">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3245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A2A09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477EEFF">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FEFF7">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2101103</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DE61C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公务员医疗补助</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E7C3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95A65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A851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E3A0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DA3C6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81A27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8F60D70">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9113C">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566D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其他行政事业单位医疗支出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251CC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FC86F">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26F6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4CE4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4EE24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64BC7">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C30A0CD">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15B0B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82EAC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609B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2CBD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33BF90">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CF8533">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60061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9196D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5A7EBC6">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9A52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5944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FD41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BD38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DE1016">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D30C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6A4EB8">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1862B">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A112C05">
        <w:tblPrEx>
          <w:tblCellMar>
            <w:top w:w="0" w:type="dxa"/>
            <w:left w:w="0" w:type="dxa"/>
            <w:bottom w:w="0" w:type="dxa"/>
            <w:right w:w="0" w:type="dxa"/>
          </w:tblCellMar>
        </w:tblPrEx>
        <w:trPr>
          <w:trHeight w:val="382" w:hRule="atLeast"/>
        </w:trPr>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E95CC6">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7999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53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19F95">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c>
          <w:tcPr>
            <w:tcW w:w="52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F6FD2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c>
          <w:tcPr>
            <w:tcW w:w="53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171AE">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F2405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223E4">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3B8DD">
            <w:pPr>
              <w:wordWrap/>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bl>
    <w:p w14:paraId="5AEF8F15">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备注：1.本表反映部门本年度各项支出情况。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4790" w:type="pct"/>
        <w:tblInd w:w="0" w:type="dxa"/>
        <w:tblLayout w:type="autofit"/>
        <w:tblCellMar>
          <w:top w:w="0" w:type="dxa"/>
          <w:left w:w="0" w:type="dxa"/>
          <w:bottom w:w="0" w:type="dxa"/>
          <w:right w:w="0" w:type="dxa"/>
        </w:tblCellMar>
      </w:tblPr>
      <w:tblGrid>
        <w:gridCol w:w="2710"/>
        <w:gridCol w:w="1388"/>
        <w:gridCol w:w="2903"/>
        <w:gridCol w:w="1546"/>
        <w:gridCol w:w="1546"/>
        <w:gridCol w:w="1546"/>
        <w:gridCol w:w="1762"/>
      </w:tblGrid>
      <w:tr w14:paraId="41B55EF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030FEC9">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财政拨款收入支出决算总表</w:t>
            </w:r>
          </w:p>
        </w:tc>
      </w:tr>
      <w:tr w14:paraId="68DD8007">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38EB6EA4">
            <w:pPr>
              <w:spacing w:line="200" w:lineRule="exact"/>
              <w:jc w:val="both"/>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w:t>
            </w:r>
          </w:p>
        </w:tc>
        <w:tc>
          <w:tcPr>
            <w:tcW w:w="577" w:type="pct"/>
            <w:tcBorders>
              <w:top w:val="nil"/>
              <w:left w:val="nil"/>
              <w:bottom w:val="nil"/>
              <w:right w:val="nil"/>
            </w:tcBorders>
            <w:shd w:val="clear" w:color="auto" w:fill="auto"/>
            <w:noWrap/>
            <w:tcMar>
              <w:top w:w="15" w:type="dxa"/>
              <w:left w:w="15" w:type="dxa"/>
              <w:right w:w="15" w:type="dxa"/>
            </w:tcMar>
            <w:vAlign w:val="bottom"/>
          </w:tcPr>
          <w:p w14:paraId="28E8D247">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FCFDD01">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A1522A">
            <w:pPr>
              <w:spacing w:line="200" w:lineRule="exact"/>
              <w:jc w:val="both"/>
              <w:rPr>
                <w:rFonts w:hint="eastAsia" w:ascii="方正仿宋_GBK" w:hAnsi="方正仿宋_GBK" w:eastAsia="方正仿宋_GBK" w:cs="方正仿宋_GBK"/>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15ED53">
            <w:pPr>
              <w:spacing w:line="240" w:lineRule="exact"/>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公开04表</w:t>
            </w:r>
          </w:p>
        </w:tc>
      </w:tr>
      <w:tr w14:paraId="0546AD1E">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1EF0E5DF">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A808FFD">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00BA1C1">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DD0262">
            <w:pPr>
              <w:spacing w:line="200" w:lineRule="exact"/>
              <w:jc w:val="both"/>
              <w:rPr>
                <w:rFonts w:hint="eastAsia" w:ascii="方正仿宋_GBK" w:hAnsi="方正仿宋_GBK" w:eastAsia="方正仿宋_GBK" w:cs="方正仿宋_GBK"/>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FDF9DD0">
            <w:pPr>
              <w:spacing w:line="280" w:lineRule="exact"/>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DE0110A">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48C81">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8197C">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支     出</w:t>
            </w:r>
          </w:p>
        </w:tc>
      </w:tr>
      <w:tr w14:paraId="18A2614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727A8B">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424B07">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04BC60">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572A6C7">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决算数</w:t>
            </w:r>
          </w:p>
        </w:tc>
      </w:tr>
      <w:tr w14:paraId="073171C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132112">
            <w:pPr>
              <w:spacing w:line="200" w:lineRule="exact"/>
              <w:jc w:val="center"/>
              <w:rPr>
                <w:rFonts w:hint="eastAsia" w:ascii="方正仿宋_GBK" w:hAnsi="方正仿宋_GBK" w:eastAsia="方正仿宋_GBK" w:cs="方正仿宋_GBK"/>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7081E8">
            <w:pPr>
              <w:spacing w:line="200" w:lineRule="exact"/>
              <w:jc w:val="center"/>
              <w:rPr>
                <w:rFonts w:hint="eastAsia" w:ascii="方正仿宋_GBK" w:hAnsi="方正仿宋_GBK" w:eastAsia="方正仿宋_GBK" w:cs="方正仿宋_GBK"/>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C4B160">
            <w:pPr>
              <w:spacing w:line="200" w:lineRule="exact"/>
              <w:jc w:val="center"/>
              <w:rPr>
                <w:rFonts w:hint="eastAsia" w:ascii="方正仿宋_GBK" w:hAnsi="方正仿宋_GBK" w:eastAsia="方正仿宋_GBK" w:cs="方正仿宋_GBK"/>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B0F6CD">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56576A">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99827">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92A404">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国有资本经营预算财政拨款</w:t>
            </w:r>
          </w:p>
        </w:tc>
      </w:tr>
      <w:tr w14:paraId="563CD28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0D3A5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C3A8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684.19</w:t>
            </w: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2F644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411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605.67</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8C82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605.67</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8F13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AC1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ED230F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C3EE3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859F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A4ABB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A21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C9EC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B356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152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381D3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20012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0CCA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F4EC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4F4C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396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35C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C260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080D48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86760B">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979356">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29188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AF0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3B71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26C4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497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8CD023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679E44">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6F3CF4">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52A6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077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3537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486E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2B20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C14DB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F4A8C">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468F92">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F95DA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5FFB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B488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3F7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D356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CF41E94">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B05821">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C40555">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D5767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E068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3983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5233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E03D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8BB2C4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A7D60D">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4F9B5F">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7C75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5B30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45.72</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EDDB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45.72</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9334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4FA8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2E479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B46227">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AA8F5">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81DD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64C0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20.27</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92C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20.27</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3380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145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F98CA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BF2C8">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DC0D">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C85A0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116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001E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F555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4816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1098D2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94DC79">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C569E">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86F79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72E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8FC3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F97F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D02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4D4B0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9BBF81">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590E3">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CF7E2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759D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32C6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C0D4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BDC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27C5C2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68EB6B">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EFEC">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F4B18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6310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4B6C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FF3B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5B0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36680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FD7C24">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7FC8D">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FCC15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7BD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E757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EA29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55C2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A664BCB">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B5DBF9">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8C047">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316FF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81D4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6DB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B15D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922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A0BC1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61AFB">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B09FC">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A4CDD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0EFA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A1E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605C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0EA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4E748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7D909">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DB421">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B29B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4CC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38F9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ABE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DE7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77F3F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D4C7">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0D82">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5760F">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B640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DF36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924F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4F9A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C0B092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C38BB">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6A7A">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81096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810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12.53</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D92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12.53</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8C3B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ECA3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8E103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E499A">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66BCF">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DA72B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9815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BE0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47C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61C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37056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270EA">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6524A">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A34A7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687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DBB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EA2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675D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B8113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33268E">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0C0F">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3472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1991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2126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CFDD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7F1A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0AB4C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044D4F">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06BF8">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C100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5368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717E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781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679E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100FB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6698840">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4EBC">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B087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B046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72EF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EDF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14D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4D6AC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B184459">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B5D1">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24925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777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6CF9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658D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DF60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44C11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715FA45">
            <w:pPr>
              <w:spacing w:line="200" w:lineRule="exact"/>
              <w:jc w:val="both"/>
              <w:rPr>
                <w:rFonts w:hint="eastAsia" w:ascii="方正仿宋_GBK" w:hAnsi="方正仿宋_GBK" w:eastAsia="方正仿宋_GBK" w:cs="方正仿宋_GBK"/>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FD0B4">
            <w:pPr>
              <w:spacing w:line="200" w:lineRule="exact"/>
              <w:jc w:val="both"/>
              <w:rPr>
                <w:rFonts w:hint="eastAsia" w:ascii="方正仿宋_GBK" w:hAnsi="方正仿宋_GBK" w:eastAsia="方正仿宋_GBK" w:cs="方正仿宋_GBK"/>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E711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309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D36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92F3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C0F2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5F37D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829566">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D82F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684.19</w:t>
            </w: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B06B5">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EEF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684.19</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7CC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684.19</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A9FD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0B9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90907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FAAE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EDE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40.62</w:t>
            </w: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D078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9416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40.62</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FCBC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40.62</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7755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F8F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B23201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1BF85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0FAA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40.62</w:t>
            </w: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39C1871">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9AFB392">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96275E">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5938065">
            <w:pPr>
              <w:spacing w:line="200" w:lineRule="exact"/>
              <w:jc w:val="both"/>
              <w:rPr>
                <w:rFonts w:hint="eastAsia" w:ascii="方正仿宋_GBK" w:hAnsi="方正仿宋_GBK" w:eastAsia="方正仿宋_GBK" w:cs="方正仿宋_GBK"/>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0A8BA7">
            <w:pPr>
              <w:spacing w:line="200" w:lineRule="exact"/>
              <w:jc w:val="both"/>
              <w:rPr>
                <w:rFonts w:hint="eastAsia" w:ascii="方正仿宋_GBK" w:hAnsi="方正仿宋_GBK" w:eastAsia="方正仿宋_GBK" w:cs="方正仿宋_GBK"/>
                <w:color w:val="000000"/>
                <w:sz w:val="18"/>
                <w:szCs w:val="18"/>
              </w:rPr>
            </w:pPr>
          </w:p>
        </w:tc>
      </w:tr>
      <w:tr w14:paraId="6D5CF21E">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B67B6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32F7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D2ACB">
            <w:pPr>
              <w:spacing w:line="200" w:lineRule="exact"/>
              <w:jc w:val="both"/>
              <w:rPr>
                <w:rFonts w:hint="eastAsia" w:ascii="方正仿宋_GBK" w:hAnsi="方正仿宋_GBK" w:eastAsia="方正仿宋_GBK" w:cs="方正仿宋_GBK"/>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23A11">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9B2E9">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C582C">
            <w:pPr>
              <w:spacing w:line="200" w:lineRule="exact"/>
              <w:jc w:val="both"/>
              <w:rPr>
                <w:rFonts w:hint="eastAsia" w:ascii="方正仿宋_GBK" w:hAnsi="方正仿宋_GBK" w:eastAsia="方正仿宋_GBK" w:cs="方正仿宋_GBK"/>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4243B">
            <w:pPr>
              <w:spacing w:line="200" w:lineRule="exact"/>
              <w:jc w:val="both"/>
              <w:rPr>
                <w:rFonts w:hint="eastAsia" w:ascii="方正仿宋_GBK" w:hAnsi="方正仿宋_GBK" w:eastAsia="方正仿宋_GBK" w:cs="方正仿宋_GBK"/>
                <w:color w:val="000000"/>
                <w:sz w:val="18"/>
                <w:szCs w:val="18"/>
              </w:rPr>
            </w:pPr>
          </w:p>
        </w:tc>
      </w:tr>
      <w:tr w14:paraId="41DCB5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30101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5BCC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F6FD0">
            <w:pPr>
              <w:spacing w:line="200" w:lineRule="exact"/>
              <w:jc w:val="both"/>
              <w:rPr>
                <w:rFonts w:hint="eastAsia" w:ascii="方正仿宋_GBK" w:hAnsi="方正仿宋_GBK" w:eastAsia="方正仿宋_GBK" w:cs="方正仿宋_GBK"/>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1B7FA">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4C8BC">
            <w:pPr>
              <w:spacing w:line="200" w:lineRule="exact"/>
              <w:jc w:val="both"/>
              <w:rPr>
                <w:rFonts w:hint="eastAsia" w:ascii="方正仿宋_GBK" w:hAnsi="方正仿宋_GBK" w:eastAsia="方正仿宋_GBK" w:cs="方正仿宋_GBK"/>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1E16E">
            <w:pPr>
              <w:spacing w:line="200" w:lineRule="exact"/>
              <w:jc w:val="both"/>
              <w:rPr>
                <w:rFonts w:hint="eastAsia" w:ascii="方正仿宋_GBK" w:hAnsi="方正仿宋_GBK" w:eastAsia="方正仿宋_GBK" w:cs="方正仿宋_GBK"/>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1607C">
            <w:pPr>
              <w:spacing w:line="200" w:lineRule="exact"/>
              <w:jc w:val="both"/>
              <w:rPr>
                <w:rFonts w:hint="eastAsia" w:ascii="方正仿宋_GBK" w:hAnsi="方正仿宋_GBK" w:eastAsia="方正仿宋_GBK" w:cs="方正仿宋_GBK"/>
                <w:color w:val="000000"/>
                <w:sz w:val="18"/>
                <w:szCs w:val="18"/>
              </w:rPr>
            </w:pPr>
          </w:p>
        </w:tc>
      </w:tr>
      <w:tr w14:paraId="6315B91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75335A">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0BAB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724.81</w:t>
            </w:r>
            <w:r>
              <w:rPr>
                <w:rFonts w:hint="eastAsia" w:ascii="方正仿宋_GBK" w:hAnsi="方正仿宋_GBK" w:eastAsia="方正仿宋_GBK" w:cs="方正仿宋_GBK"/>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132C7">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DA13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724.81</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2722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724.81</w:t>
            </w:r>
            <w:r>
              <w:rPr>
                <w:rFonts w:hint="eastAsia" w:ascii="方正仿宋_GBK" w:hAnsi="方正仿宋_GBK" w:eastAsia="方正仿宋_GBK" w:cs="方正仿宋_GBK"/>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CE78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50A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bl>
    <w:p w14:paraId="63AFB446">
      <w:pPr>
        <w:spacing w:line="240" w:lineRule="exact"/>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备注：1.本表反映部门本年度一般公共预算财政拨款、政府性基金预算财政拨款及国有资本经营预算财政拨款的总收支和年末结转结余情况。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675"/>
        <w:gridCol w:w="3231"/>
        <w:gridCol w:w="3019"/>
        <w:gridCol w:w="3016"/>
        <w:gridCol w:w="3047"/>
      </w:tblGrid>
      <w:tr w14:paraId="30A3B387">
        <w:tblPrEx>
          <w:tblCellMar>
            <w:top w:w="0" w:type="dxa"/>
            <w:left w:w="0" w:type="dxa"/>
            <w:bottom w:w="0" w:type="dxa"/>
            <w:right w:w="0" w:type="dxa"/>
          </w:tblCellMar>
        </w:tblPrEx>
        <w:trPr>
          <w:trHeight w:val="105"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1316295">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一般公共预算财政拨款支出决算表</w:t>
            </w:r>
          </w:p>
        </w:tc>
      </w:tr>
      <w:tr w14:paraId="7E773140">
        <w:tblPrEx>
          <w:tblCellMar>
            <w:top w:w="0" w:type="dxa"/>
            <w:left w:w="0" w:type="dxa"/>
            <w:bottom w:w="0" w:type="dxa"/>
            <w:right w:w="0" w:type="dxa"/>
          </w:tblCellMar>
        </w:tblPrEx>
        <w:trPr>
          <w:trHeight w:val="255" w:hRule="atLeast"/>
        </w:trPr>
        <w:tc>
          <w:tcPr>
            <w:tcW w:w="2833" w:type="pct"/>
            <w:gridSpan w:val="3"/>
            <w:vMerge w:val="restart"/>
            <w:tcBorders>
              <w:top w:val="nil"/>
              <w:left w:val="nil"/>
              <w:right w:val="nil"/>
            </w:tcBorders>
            <w:shd w:val="clear" w:color="auto" w:fill="auto"/>
            <w:noWrap/>
            <w:tcMar>
              <w:top w:w="15" w:type="dxa"/>
              <w:left w:w="15" w:type="dxa"/>
              <w:right w:w="15" w:type="dxa"/>
            </w:tcMar>
            <w:vAlign w:val="bottom"/>
          </w:tcPr>
          <w:p w14:paraId="21B8EB43">
            <w:pPr>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w:t>
            </w:r>
          </w:p>
        </w:tc>
        <w:tc>
          <w:tcPr>
            <w:tcW w:w="1078" w:type="pct"/>
            <w:tcBorders>
              <w:top w:val="nil"/>
              <w:left w:val="nil"/>
              <w:bottom w:val="nil"/>
              <w:right w:val="nil"/>
            </w:tcBorders>
            <w:shd w:val="clear" w:color="auto" w:fill="auto"/>
            <w:noWrap/>
            <w:tcMar>
              <w:top w:w="15" w:type="dxa"/>
              <w:left w:w="15" w:type="dxa"/>
              <w:right w:w="15" w:type="dxa"/>
            </w:tcMar>
            <w:vAlign w:val="bottom"/>
          </w:tcPr>
          <w:p w14:paraId="660CDCCF">
            <w:pPr>
              <w:jc w:val="both"/>
              <w:rPr>
                <w:rFonts w:hint="eastAsia" w:ascii="方正仿宋_GBK" w:hAnsi="方正仿宋_GBK" w:eastAsia="方正仿宋_GBK" w:cs="方正仿宋_GBK"/>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57EC5E3">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公开05表</w:t>
            </w:r>
          </w:p>
        </w:tc>
      </w:tr>
      <w:tr w14:paraId="3781AF65">
        <w:tblPrEx>
          <w:tblCellMar>
            <w:top w:w="0" w:type="dxa"/>
            <w:left w:w="0" w:type="dxa"/>
            <w:bottom w:w="0" w:type="dxa"/>
            <w:right w:w="0" w:type="dxa"/>
          </w:tblCellMar>
        </w:tblPrEx>
        <w:trPr>
          <w:trHeight w:val="285" w:hRule="atLeast"/>
        </w:trPr>
        <w:tc>
          <w:tcPr>
            <w:tcW w:w="2833" w:type="pct"/>
            <w:gridSpan w:val="3"/>
            <w:vMerge w:val="continue"/>
            <w:tcBorders>
              <w:left w:val="nil"/>
              <w:bottom w:val="single" w:color="auto" w:sz="4" w:space="0"/>
              <w:right w:val="nil"/>
            </w:tcBorders>
            <w:shd w:val="clear" w:color="auto" w:fill="auto"/>
            <w:noWrap/>
            <w:tcMar>
              <w:top w:w="15" w:type="dxa"/>
              <w:left w:w="15" w:type="dxa"/>
              <w:right w:w="15" w:type="dxa"/>
            </w:tcMar>
            <w:vAlign w:val="bottom"/>
          </w:tcPr>
          <w:p w14:paraId="5B06595A">
            <w:pPr>
              <w:jc w:val="both"/>
              <w:rPr>
                <w:rFonts w:hint="eastAsia" w:ascii="方正仿宋_GBK" w:hAnsi="方正仿宋_GBK" w:eastAsia="方正仿宋_GBK" w:cs="方正仿宋_GBK"/>
                <w:color w:val="000000"/>
                <w:sz w:val="20"/>
                <w:szCs w:val="20"/>
              </w:rPr>
            </w:pPr>
          </w:p>
        </w:tc>
        <w:tc>
          <w:tcPr>
            <w:tcW w:w="1078" w:type="pct"/>
            <w:tcBorders>
              <w:top w:val="nil"/>
              <w:left w:val="nil"/>
              <w:bottom w:val="single" w:color="auto" w:sz="4" w:space="0"/>
              <w:right w:val="nil"/>
            </w:tcBorders>
            <w:shd w:val="clear" w:color="auto" w:fill="auto"/>
            <w:noWrap/>
            <w:tcMar>
              <w:top w:w="15" w:type="dxa"/>
              <w:left w:w="15" w:type="dxa"/>
              <w:right w:w="15" w:type="dxa"/>
            </w:tcMar>
            <w:vAlign w:val="bottom"/>
          </w:tcPr>
          <w:p w14:paraId="1574FFE5">
            <w:pPr>
              <w:jc w:val="both"/>
              <w:rPr>
                <w:rFonts w:hint="eastAsia" w:ascii="方正仿宋_GBK" w:hAnsi="方正仿宋_GBK" w:eastAsia="方正仿宋_GBK" w:cs="方正仿宋_GBK"/>
                <w:color w:val="000000"/>
                <w:sz w:val="20"/>
                <w:szCs w:val="20"/>
              </w:rPr>
            </w:pPr>
          </w:p>
        </w:tc>
        <w:tc>
          <w:tcPr>
            <w:tcW w:w="1088" w:type="pct"/>
            <w:tcBorders>
              <w:top w:val="nil"/>
              <w:left w:val="nil"/>
              <w:bottom w:val="single" w:color="auto" w:sz="4" w:space="0"/>
              <w:right w:val="nil"/>
            </w:tcBorders>
            <w:shd w:val="clear" w:color="auto" w:fill="auto"/>
            <w:noWrap/>
            <w:tcMar>
              <w:top w:w="15" w:type="dxa"/>
              <w:left w:w="15" w:type="dxa"/>
              <w:right w:w="15" w:type="dxa"/>
            </w:tcMar>
            <w:vAlign w:val="bottom"/>
          </w:tcPr>
          <w:p w14:paraId="52C2C097">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42608A97">
        <w:tblPrEx>
          <w:tblCellMar>
            <w:top w:w="0" w:type="dxa"/>
            <w:left w:w="0" w:type="dxa"/>
            <w:bottom w:w="0" w:type="dxa"/>
            <w:right w:w="0" w:type="dxa"/>
          </w:tblCellMar>
        </w:tblPrEx>
        <w:trPr>
          <w:trHeight w:val="308" w:hRule="atLeast"/>
        </w:trPr>
        <w:tc>
          <w:tcPr>
            <w:tcW w:w="1754"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5134E98">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3245" w:type="pct"/>
            <w:gridSpan w:val="3"/>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81F56E">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5945836D">
        <w:tblPrEx>
          <w:tblCellMar>
            <w:top w:w="0" w:type="dxa"/>
            <w:left w:w="0" w:type="dxa"/>
            <w:bottom w:w="0" w:type="dxa"/>
            <w:right w:w="0" w:type="dxa"/>
          </w:tblCellMar>
        </w:tblPrEx>
        <w:trPr>
          <w:trHeight w:val="326" w:hRule="atLeast"/>
        </w:trPr>
        <w:tc>
          <w:tcPr>
            <w:tcW w:w="599"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BBB77A2">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154"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A3D51AF">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079"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810627">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078"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BAACF26">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088"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72A1160">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6169802D">
        <w:tblPrEx>
          <w:tblCellMar>
            <w:top w:w="0" w:type="dxa"/>
            <w:left w:w="0" w:type="dxa"/>
            <w:bottom w:w="0" w:type="dxa"/>
            <w:right w:w="0" w:type="dxa"/>
          </w:tblCellMar>
        </w:tblPrEx>
        <w:trPr>
          <w:trHeight w:val="308" w:hRule="atLeast"/>
        </w:trPr>
        <w:tc>
          <w:tcPr>
            <w:tcW w:w="1754"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9B9856B">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A1583">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684.19</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C9371">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386.74</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C7381">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297.45</w:t>
            </w:r>
            <w:r>
              <w:rPr>
                <w:rFonts w:hint="eastAsia" w:ascii="方正仿宋_GBK" w:hAnsi="方正仿宋_GBK" w:eastAsia="方正仿宋_GBK" w:cs="方正仿宋_GBK"/>
                <w:b/>
                <w:color w:val="000000"/>
                <w:sz w:val="20"/>
                <w:u w:color="auto"/>
              </w:rPr>
              <w:t xml:space="preserve"> </w:t>
            </w:r>
          </w:p>
        </w:tc>
      </w:tr>
      <w:tr w14:paraId="306AF83B">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2FB25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C2DA3C">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1937C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9C4A6">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308.22</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6EA85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297.45</w:t>
            </w:r>
            <w:r>
              <w:rPr>
                <w:rFonts w:hint="eastAsia" w:ascii="方正仿宋_GBK" w:hAnsi="方正仿宋_GBK" w:eastAsia="方正仿宋_GBK" w:cs="方正仿宋_GBK"/>
                <w:b/>
                <w:color w:val="000000"/>
                <w:sz w:val="20"/>
                <w:u w:color="auto"/>
              </w:rPr>
              <w:t xml:space="preserve"> </w:t>
            </w:r>
          </w:p>
        </w:tc>
      </w:tr>
      <w:tr w14:paraId="06724F77">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084C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20103</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B960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政府办公厅（室）及相关机构事务</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8EC31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605.67</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4CAEE7">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308.22</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1882F">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297.45</w:t>
            </w:r>
            <w:r>
              <w:rPr>
                <w:rFonts w:hint="eastAsia" w:ascii="方正仿宋_GBK" w:hAnsi="方正仿宋_GBK" w:eastAsia="方正仿宋_GBK" w:cs="方正仿宋_GBK"/>
                <w:b/>
                <w:color w:val="000000"/>
                <w:sz w:val="20"/>
                <w:u w:color="auto"/>
              </w:rPr>
              <w:t xml:space="preserve"> </w:t>
            </w:r>
          </w:p>
        </w:tc>
      </w:tr>
      <w:tr w14:paraId="4F8A7557">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64B8C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E97E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3430B">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244.52</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02F92">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244.52</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F500A">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6185ABC8">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08D0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2010302</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412BD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一般行政管理事务</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2BC5D2">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172.48</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5289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CDCA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172.48</w:t>
            </w:r>
            <w:r>
              <w:rPr>
                <w:rFonts w:hint="eastAsia" w:ascii="方正仿宋_GBK" w:hAnsi="方正仿宋_GBK" w:eastAsia="方正仿宋_GBK" w:cs="方正仿宋_GBK"/>
                <w:color w:val="000000"/>
                <w:sz w:val="20"/>
                <w:u w:color="auto"/>
              </w:rPr>
              <w:t xml:space="preserve"> </w:t>
            </w:r>
          </w:p>
        </w:tc>
      </w:tr>
      <w:tr w14:paraId="36686D1D">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85D2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2010306</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7C4B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政务公开审批</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2E3C7">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124.97</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56452">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5CDD3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124.97</w:t>
            </w:r>
            <w:r>
              <w:rPr>
                <w:rFonts w:hint="eastAsia" w:ascii="方正仿宋_GBK" w:hAnsi="方正仿宋_GBK" w:eastAsia="方正仿宋_GBK" w:cs="方正仿宋_GBK"/>
                <w:color w:val="000000"/>
                <w:sz w:val="20"/>
                <w:u w:color="auto"/>
              </w:rPr>
              <w:t xml:space="preserve"> </w:t>
            </w:r>
          </w:p>
        </w:tc>
      </w:tr>
      <w:tr w14:paraId="6D7DF6D5">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F1B4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2010350</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739CA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事业运行</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5CFE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63.69</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DE991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63.69</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3507C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0E37CFA1">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0372E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F3A23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71BAB4">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45.72</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27CCD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45.72</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FBE3A3">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27FE409C">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B723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70AB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CAF46">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45.25</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8538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45.25</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E9FE6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00A2731C">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AC7A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250A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3F783">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28.62</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EE2A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28.62</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94FB3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52539DE1">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0EFC6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F0E021">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18460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14.13</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3943B">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14.13</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79EA12">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4FB72481">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447FE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7E6AD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其他行政事业单位养老支出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29F6E6">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2.50</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370EA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2.50</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567D2">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0EA7AD71">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52C7B1">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5EACF">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其他社会保障和就业支出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A5FA3">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0.47</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C4BAC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0.47</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2C564">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56C1522D">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E800B3">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2089999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6445FC">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其他社会保障和就业支出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78A1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0.47</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B27B5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0.47</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B131B">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7F80AC34">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2EF77D">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771D0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508D8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3FC66">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FF4AA">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288051B9">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6E8DB">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FFE79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6AEE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EEA54A">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20.27</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D266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031A368A">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A93A09">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A8FF7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454ED3">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15.10</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68BA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15.10</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62AC41">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2900FAF2">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6C58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2101102</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E8C566">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事业单位医疗</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6A65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2.78</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22F37">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2.78</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07497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1267EFB7">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F02B6A">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2101103</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51CD6">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公务员医疗补助</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BE1A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1.76</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32068">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1.76</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34F2F5">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54DCB354">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4353B2">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2101199</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E2B025">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其他行政事业单位医疗支出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AF79B8">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1C6BE">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0.64</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CACE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6549A3E1">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4D36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BFAA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7C9BD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ECAE1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26C86">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1D4486AB">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F3378E">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6F9D0">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AA05A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0AEC1">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12.53</w:t>
            </w:r>
            <w:r>
              <w:rPr>
                <w:rFonts w:hint="eastAsia" w:ascii="方正仿宋_GBK" w:hAnsi="方正仿宋_GBK" w:eastAsia="方正仿宋_GBK" w:cs="方正仿宋_GBK"/>
                <w:b/>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8BD1C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r w14:paraId="0060C699">
        <w:tblPrEx>
          <w:tblCellMar>
            <w:top w:w="0" w:type="dxa"/>
            <w:left w:w="0" w:type="dxa"/>
            <w:bottom w:w="0" w:type="dxa"/>
            <w:right w:w="0" w:type="dxa"/>
          </w:tblCellMar>
        </w:tblPrEx>
        <w:trPr>
          <w:trHeight w:val="308" w:hRule="atLeast"/>
        </w:trPr>
        <w:tc>
          <w:tcPr>
            <w:tcW w:w="5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A4834">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11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B43808">
            <w:pPr>
              <w:jc w:val="both"/>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10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F7F71">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c>
          <w:tcPr>
            <w:tcW w:w="10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5F224C">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12.53</w:t>
            </w:r>
            <w:r>
              <w:rPr>
                <w:rFonts w:hint="eastAsia" w:ascii="方正仿宋_GBK" w:hAnsi="方正仿宋_GBK" w:eastAsia="方正仿宋_GBK" w:cs="方正仿宋_GBK"/>
                <w:color w:val="000000"/>
                <w:sz w:val="20"/>
                <w:u w:color="auto"/>
              </w:rPr>
              <w:t xml:space="preserve"> </w:t>
            </w:r>
          </w:p>
        </w:tc>
        <w:tc>
          <w:tcPr>
            <w:tcW w:w="10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786734">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u w:color="auto"/>
              </w:rPr>
              <w:t xml:space="preserve"> </w:t>
            </w:r>
          </w:p>
        </w:tc>
      </w:tr>
    </w:tbl>
    <w:p w14:paraId="060D69A1">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备注：1.本表反映部门本年度一般公共预算财政拨款支出情况。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4994" w:type="pct"/>
        <w:tblInd w:w="0" w:type="dxa"/>
        <w:tblLayout w:type="fixed"/>
        <w:tblCellMar>
          <w:top w:w="0" w:type="dxa"/>
          <w:left w:w="0" w:type="dxa"/>
          <w:bottom w:w="0" w:type="dxa"/>
          <w:right w:w="0" w:type="dxa"/>
        </w:tblCellMar>
      </w:tblPr>
      <w:tblGrid>
        <w:gridCol w:w="550"/>
        <w:gridCol w:w="2492"/>
        <w:gridCol w:w="1252"/>
        <w:gridCol w:w="760"/>
        <w:gridCol w:w="1749"/>
        <w:gridCol w:w="1506"/>
        <w:gridCol w:w="735"/>
        <w:gridCol w:w="3208"/>
        <w:gridCol w:w="1718"/>
      </w:tblGrid>
      <w:tr w14:paraId="5B24BF7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2EF32E5">
            <w:pPr>
              <w:spacing w:line="440" w:lineRule="exact"/>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一般公共预算财政拨款基本支出决算表</w:t>
            </w:r>
          </w:p>
        </w:tc>
      </w:tr>
      <w:tr w14:paraId="1E608080">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14:paraId="5B526913">
            <w:pPr>
              <w:spacing w:line="200" w:lineRule="exact"/>
              <w:jc w:val="both"/>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w:t>
            </w:r>
          </w:p>
        </w:tc>
        <w:tc>
          <w:tcPr>
            <w:tcW w:w="539" w:type="pct"/>
            <w:tcBorders>
              <w:top w:val="nil"/>
              <w:left w:val="nil"/>
              <w:bottom w:val="nil"/>
              <w:right w:val="nil"/>
            </w:tcBorders>
            <w:shd w:val="clear" w:color="auto" w:fill="auto"/>
            <w:noWrap/>
            <w:tcMar>
              <w:top w:w="15" w:type="dxa"/>
              <w:left w:w="15" w:type="dxa"/>
              <w:right w:w="15" w:type="dxa"/>
            </w:tcMar>
            <w:vAlign w:val="bottom"/>
          </w:tcPr>
          <w:p w14:paraId="04BC691E">
            <w:pPr>
              <w:spacing w:line="200" w:lineRule="exact"/>
              <w:jc w:val="both"/>
              <w:rPr>
                <w:rFonts w:hint="eastAsia" w:ascii="方正仿宋_GBK" w:hAnsi="方正仿宋_GBK" w:eastAsia="方正仿宋_GBK" w:cs="方正仿宋_GBK"/>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442AA98C">
            <w:pPr>
              <w:spacing w:line="200" w:lineRule="exact"/>
              <w:jc w:val="both"/>
              <w:rPr>
                <w:rFonts w:hint="eastAsia" w:ascii="方正仿宋_GBK" w:hAnsi="方正仿宋_GBK" w:eastAsia="方正仿宋_GBK" w:cs="方正仿宋_GBK"/>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E1F123">
            <w:pPr>
              <w:spacing w:line="200" w:lineRule="exact"/>
              <w:jc w:val="both"/>
              <w:rPr>
                <w:rFonts w:hint="eastAsia" w:ascii="方正仿宋_GBK" w:hAnsi="方正仿宋_GBK" w:eastAsia="方正仿宋_GBK" w:cs="方正仿宋_GBK"/>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BDD2B73">
            <w:pPr>
              <w:spacing w:line="280" w:lineRule="exact"/>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公开06表</w:t>
            </w:r>
          </w:p>
        </w:tc>
      </w:tr>
      <w:tr w14:paraId="5EA56E5C">
        <w:tblPrEx>
          <w:tblCellMar>
            <w:top w:w="0" w:type="dxa"/>
            <w:left w:w="0" w:type="dxa"/>
            <w:bottom w:w="0" w:type="dxa"/>
            <w:right w:w="0" w:type="dxa"/>
          </w:tblCellMar>
        </w:tblPrEx>
        <w:trPr>
          <w:trHeight w:val="90" w:hRule="atLeast"/>
        </w:trPr>
        <w:tc>
          <w:tcPr>
            <w:tcW w:w="2435" w:type="pct"/>
            <w:gridSpan w:val="5"/>
            <w:vMerge w:val="continue"/>
            <w:tcBorders>
              <w:left w:val="nil"/>
              <w:bottom w:val="single" w:color="auto" w:sz="4" w:space="0"/>
              <w:right w:val="nil"/>
            </w:tcBorders>
            <w:shd w:val="clear" w:color="auto" w:fill="auto"/>
            <w:noWrap/>
            <w:tcMar>
              <w:top w:w="15" w:type="dxa"/>
              <w:left w:w="15" w:type="dxa"/>
              <w:right w:w="15" w:type="dxa"/>
            </w:tcMar>
            <w:vAlign w:val="bottom"/>
          </w:tcPr>
          <w:p w14:paraId="29564EC4">
            <w:pPr>
              <w:spacing w:line="200" w:lineRule="exact"/>
              <w:jc w:val="both"/>
              <w:rPr>
                <w:rFonts w:hint="eastAsia" w:ascii="方正仿宋_GBK" w:hAnsi="方正仿宋_GBK" w:eastAsia="方正仿宋_GBK" w:cs="方正仿宋_GBK"/>
                <w:color w:val="000000"/>
                <w:sz w:val="18"/>
                <w:szCs w:val="18"/>
              </w:rPr>
            </w:pPr>
          </w:p>
        </w:tc>
        <w:tc>
          <w:tcPr>
            <w:tcW w:w="539" w:type="pct"/>
            <w:tcBorders>
              <w:top w:val="nil"/>
              <w:left w:val="nil"/>
              <w:bottom w:val="single" w:color="auto" w:sz="4" w:space="0"/>
              <w:right w:val="nil"/>
            </w:tcBorders>
            <w:shd w:val="clear" w:color="auto" w:fill="auto"/>
            <w:noWrap/>
            <w:tcMar>
              <w:top w:w="15" w:type="dxa"/>
              <w:left w:w="15" w:type="dxa"/>
              <w:right w:w="15" w:type="dxa"/>
            </w:tcMar>
            <w:vAlign w:val="bottom"/>
          </w:tcPr>
          <w:p w14:paraId="21D0F68B">
            <w:pPr>
              <w:spacing w:line="200" w:lineRule="exact"/>
              <w:jc w:val="both"/>
              <w:rPr>
                <w:rFonts w:hint="eastAsia" w:ascii="方正仿宋_GBK" w:hAnsi="方正仿宋_GBK" w:eastAsia="方正仿宋_GBK" w:cs="方正仿宋_GBK"/>
                <w:color w:val="000000"/>
                <w:sz w:val="18"/>
                <w:szCs w:val="18"/>
              </w:rPr>
            </w:pPr>
          </w:p>
        </w:tc>
        <w:tc>
          <w:tcPr>
            <w:tcW w:w="263" w:type="pct"/>
            <w:tcBorders>
              <w:top w:val="nil"/>
              <w:left w:val="nil"/>
              <w:bottom w:val="single" w:color="auto" w:sz="4" w:space="0"/>
              <w:right w:val="nil"/>
            </w:tcBorders>
            <w:shd w:val="clear" w:color="auto" w:fill="auto"/>
            <w:noWrap/>
            <w:tcMar>
              <w:top w:w="15" w:type="dxa"/>
              <w:left w:w="15" w:type="dxa"/>
              <w:right w:w="15" w:type="dxa"/>
            </w:tcMar>
            <w:vAlign w:val="bottom"/>
          </w:tcPr>
          <w:p w14:paraId="051201C7">
            <w:pPr>
              <w:spacing w:line="200" w:lineRule="exact"/>
              <w:jc w:val="both"/>
              <w:rPr>
                <w:rFonts w:hint="eastAsia" w:ascii="方正仿宋_GBK" w:hAnsi="方正仿宋_GBK" w:eastAsia="方正仿宋_GBK" w:cs="方正仿宋_GBK"/>
                <w:color w:val="000000"/>
                <w:sz w:val="18"/>
                <w:szCs w:val="18"/>
              </w:rPr>
            </w:pPr>
          </w:p>
        </w:tc>
        <w:tc>
          <w:tcPr>
            <w:tcW w:w="1148" w:type="pct"/>
            <w:tcBorders>
              <w:top w:val="nil"/>
              <w:left w:val="nil"/>
              <w:bottom w:val="single" w:color="auto" w:sz="4" w:space="0"/>
              <w:right w:val="nil"/>
            </w:tcBorders>
            <w:shd w:val="clear" w:color="auto" w:fill="auto"/>
            <w:noWrap/>
            <w:tcMar>
              <w:top w:w="15" w:type="dxa"/>
              <w:left w:w="15" w:type="dxa"/>
              <w:right w:w="15" w:type="dxa"/>
            </w:tcMar>
            <w:vAlign w:val="bottom"/>
          </w:tcPr>
          <w:p w14:paraId="1794DCD9">
            <w:pPr>
              <w:spacing w:line="200" w:lineRule="exact"/>
              <w:jc w:val="both"/>
              <w:rPr>
                <w:rFonts w:hint="eastAsia" w:ascii="方正仿宋_GBK" w:hAnsi="方正仿宋_GBK" w:eastAsia="方正仿宋_GBK" w:cs="方正仿宋_GBK"/>
                <w:color w:val="000000"/>
                <w:sz w:val="18"/>
                <w:szCs w:val="18"/>
              </w:rPr>
            </w:pPr>
          </w:p>
        </w:tc>
        <w:tc>
          <w:tcPr>
            <w:tcW w:w="615" w:type="pct"/>
            <w:tcBorders>
              <w:top w:val="nil"/>
              <w:left w:val="nil"/>
              <w:bottom w:val="single" w:color="auto" w:sz="4" w:space="0"/>
              <w:right w:val="nil"/>
            </w:tcBorders>
            <w:shd w:val="clear" w:color="auto" w:fill="auto"/>
            <w:noWrap/>
            <w:tcMar>
              <w:top w:w="15" w:type="dxa"/>
              <w:left w:w="15" w:type="dxa"/>
              <w:right w:w="15" w:type="dxa"/>
            </w:tcMar>
            <w:vAlign w:val="bottom"/>
          </w:tcPr>
          <w:p w14:paraId="1272022B">
            <w:pPr>
              <w:spacing w:line="280" w:lineRule="exact"/>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0612B45E">
        <w:tblPrEx>
          <w:tblCellMar>
            <w:top w:w="0" w:type="dxa"/>
            <w:left w:w="0" w:type="dxa"/>
            <w:bottom w:w="0" w:type="dxa"/>
            <w:right w:w="0" w:type="dxa"/>
          </w:tblCellMar>
        </w:tblPrEx>
        <w:trPr>
          <w:trHeight w:val="90" w:hRule="atLeast"/>
        </w:trPr>
        <w:tc>
          <w:tcPr>
            <w:tcW w:w="1537" w:type="pct"/>
            <w:gridSpan w:val="3"/>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DDE424">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人员经费</w:t>
            </w:r>
          </w:p>
        </w:tc>
        <w:tc>
          <w:tcPr>
            <w:tcW w:w="3463" w:type="pct"/>
            <w:gridSpan w:val="6"/>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28FFBB">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公用经费</w:t>
            </w:r>
          </w:p>
        </w:tc>
      </w:tr>
      <w:tr w14:paraId="5C27A22F">
        <w:tblPrEx>
          <w:tblCellMar>
            <w:top w:w="0" w:type="dxa"/>
            <w:left w:w="0" w:type="dxa"/>
            <w:bottom w:w="0" w:type="dxa"/>
            <w:right w:w="0" w:type="dxa"/>
          </w:tblCellMar>
        </w:tblPrEx>
        <w:trPr>
          <w:trHeight w:val="312" w:hRule="atLeast"/>
        </w:trPr>
        <w:tc>
          <w:tcPr>
            <w:tcW w:w="197"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019460D">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经济分类科目编码</w:t>
            </w:r>
          </w:p>
        </w:tc>
        <w:tc>
          <w:tcPr>
            <w:tcW w:w="892"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737DA1E">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经济分类科目（按“款”级功能分类科目）</w:t>
            </w:r>
          </w:p>
        </w:tc>
        <w:tc>
          <w:tcPr>
            <w:tcW w:w="448"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30C8EC">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金额</w:t>
            </w:r>
          </w:p>
        </w:tc>
        <w:tc>
          <w:tcPr>
            <w:tcW w:w="272"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19E1CF5">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经济分类科目编码</w:t>
            </w:r>
          </w:p>
        </w:tc>
        <w:tc>
          <w:tcPr>
            <w:tcW w:w="626"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016AFD8">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经济分类科目（按“款”级功能分类科目）</w:t>
            </w:r>
          </w:p>
        </w:tc>
        <w:tc>
          <w:tcPr>
            <w:tcW w:w="53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BB318A6">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金额</w:t>
            </w:r>
          </w:p>
        </w:tc>
        <w:tc>
          <w:tcPr>
            <w:tcW w:w="26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826CF9A">
            <w:pPr>
              <w:spacing w:line="200" w:lineRule="exact"/>
              <w:jc w:val="center"/>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经济分类科目编码</w:t>
            </w:r>
          </w:p>
        </w:tc>
        <w:tc>
          <w:tcPr>
            <w:tcW w:w="1148"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04C90C2">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经济分类科目（按“款”级功能分类科目）</w:t>
            </w:r>
          </w:p>
        </w:tc>
        <w:tc>
          <w:tcPr>
            <w:tcW w:w="61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9769297">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金额</w:t>
            </w:r>
          </w:p>
        </w:tc>
      </w:tr>
      <w:tr w14:paraId="6177016D">
        <w:tblPrEx>
          <w:tblCellMar>
            <w:top w:w="0" w:type="dxa"/>
            <w:left w:w="0" w:type="dxa"/>
            <w:bottom w:w="0" w:type="dxa"/>
            <w:right w:w="0" w:type="dxa"/>
          </w:tblCellMar>
        </w:tblPrEx>
        <w:trPr>
          <w:trHeight w:val="312" w:hRule="atLeast"/>
        </w:trPr>
        <w:tc>
          <w:tcPr>
            <w:tcW w:w="197"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E0C1036">
            <w:pPr>
              <w:spacing w:line="200" w:lineRule="exact"/>
              <w:jc w:val="both"/>
              <w:rPr>
                <w:rFonts w:hint="eastAsia" w:ascii="方正仿宋_GBK" w:hAnsi="方正仿宋_GBK" w:eastAsia="方正仿宋_GBK" w:cs="方正仿宋_GBK"/>
                <w:b/>
                <w:color w:val="000000"/>
                <w:sz w:val="18"/>
                <w:szCs w:val="18"/>
              </w:rPr>
            </w:pPr>
          </w:p>
        </w:tc>
        <w:tc>
          <w:tcPr>
            <w:tcW w:w="89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8F54F4">
            <w:pPr>
              <w:spacing w:line="200" w:lineRule="exact"/>
              <w:jc w:val="both"/>
              <w:rPr>
                <w:rFonts w:hint="eastAsia" w:ascii="方正仿宋_GBK" w:hAnsi="方正仿宋_GBK" w:eastAsia="方正仿宋_GBK" w:cs="方正仿宋_GBK"/>
                <w:b/>
                <w:color w:val="000000"/>
                <w:sz w:val="18"/>
                <w:szCs w:val="18"/>
              </w:rPr>
            </w:pPr>
          </w:p>
        </w:tc>
        <w:tc>
          <w:tcPr>
            <w:tcW w:w="44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B2BC772">
            <w:pPr>
              <w:spacing w:line="200" w:lineRule="exact"/>
              <w:jc w:val="both"/>
              <w:rPr>
                <w:rFonts w:hint="eastAsia" w:ascii="方正仿宋_GBK" w:hAnsi="方正仿宋_GBK" w:eastAsia="方正仿宋_GBK" w:cs="方正仿宋_GBK"/>
                <w:b/>
                <w:color w:val="000000"/>
                <w:sz w:val="18"/>
                <w:szCs w:val="18"/>
              </w:rPr>
            </w:pPr>
          </w:p>
        </w:tc>
        <w:tc>
          <w:tcPr>
            <w:tcW w:w="27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05DD08A">
            <w:pPr>
              <w:spacing w:line="200" w:lineRule="exact"/>
              <w:jc w:val="both"/>
              <w:rPr>
                <w:rFonts w:hint="eastAsia" w:ascii="方正仿宋_GBK" w:hAnsi="方正仿宋_GBK" w:eastAsia="方正仿宋_GBK" w:cs="方正仿宋_GBK"/>
                <w:b/>
                <w:color w:val="000000"/>
                <w:sz w:val="18"/>
                <w:szCs w:val="18"/>
              </w:rPr>
            </w:pPr>
          </w:p>
        </w:tc>
        <w:tc>
          <w:tcPr>
            <w:tcW w:w="62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5A1FF3">
            <w:pPr>
              <w:spacing w:line="200" w:lineRule="exact"/>
              <w:jc w:val="both"/>
              <w:rPr>
                <w:rFonts w:hint="eastAsia" w:ascii="方正仿宋_GBK" w:hAnsi="方正仿宋_GBK" w:eastAsia="方正仿宋_GBK" w:cs="方正仿宋_GBK"/>
                <w:b/>
                <w:color w:val="000000"/>
                <w:sz w:val="18"/>
                <w:szCs w:val="18"/>
              </w:rPr>
            </w:pPr>
          </w:p>
        </w:tc>
        <w:tc>
          <w:tcPr>
            <w:tcW w:w="53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E0A4E9">
            <w:pPr>
              <w:spacing w:line="200" w:lineRule="exact"/>
              <w:jc w:val="both"/>
              <w:rPr>
                <w:rFonts w:hint="eastAsia" w:ascii="方正仿宋_GBK" w:hAnsi="方正仿宋_GBK" w:eastAsia="方正仿宋_GBK" w:cs="方正仿宋_GBK"/>
                <w:b/>
                <w:color w:val="000000"/>
                <w:sz w:val="18"/>
                <w:szCs w:val="18"/>
              </w:rPr>
            </w:pPr>
          </w:p>
        </w:tc>
        <w:tc>
          <w:tcPr>
            <w:tcW w:w="26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541378">
            <w:pPr>
              <w:spacing w:line="200" w:lineRule="exact"/>
              <w:jc w:val="both"/>
              <w:rPr>
                <w:rFonts w:hint="eastAsia" w:ascii="方正仿宋_GBK" w:hAnsi="方正仿宋_GBK" w:eastAsia="方正仿宋_GBK" w:cs="方正仿宋_GBK"/>
                <w:b/>
                <w:color w:val="000000"/>
                <w:sz w:val="18"/>
                <w:szCs w:val="18"/>
              </w:rPr>
            </w:pPr>
          </w:p>
        </w:tc>
        <w:tc>
          <w:tcPr>
            <w:tcW w:w="114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830D29">
            <w:pPr>
              <w:spacing w:line="200" w:lineRule="exact"/>
              <w:jc w:val="both"/>
              <w:rPr>
                <w:rFonts w:hint="eastAsia" w:ascii="方正仿宋_GBK" w:hAnsi="方正仿宋_GBK" w:eastAsia="方正仿宋_GBK" w:cs="方正仿宋_GBK"/>
                <w:b/>
                <w:color w:val="000000"/>
                <w:sz w:val="18"/>
                <w:szCs w:val="18"/>
              </w:rPr>
            </w:pPr>
          </w:p>
        </w:tc>
        <w:tc>
          <w:tcPr>
            <w:tcW w:w="61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4E12E1">
            <w:pPr>
              <w:spacing w:line="200" w:lineRule="exact"/>
              <w:jc w:val="both"/>
              <w:rPr>
                <w:rFonts w:hint="eastAsia" w:ascii="方正仿宋_GBK" w:hAnsi="方正仿宋_GBK" w:eastAsia="方正仿宋_GBK" w:cs="方正仿宋_GBK"/>
                <w:b/>
                <w:color w:val="000000"/>
                <w:sz w:val="18"/>
                <w:szCs w:val="18"/>
              </w:rPr>
            </w:pPr>
          </w:p>
        </w:tc>
      </w:tr>
      <w:tr w14:paraId="7C9F0667">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98E727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BE6AD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工资福利支出</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C160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321.51</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7521D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BD3E2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商品和服务支出</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6D897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62.58</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A74D2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097DA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资本性支出</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38CE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0E6DA9A2">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5A92D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30101</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BEFF3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基本工资</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D833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72.59</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56BFE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30201</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D959A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办公费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8853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6.03</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C39BA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31001</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5E5163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房屋建筑物购建</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9DA8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AA75ADA">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35144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30102</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DE0127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津贴补贴</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F3A50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38.84</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8A9FA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30202</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5F3C87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印刷费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ED433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39D86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31002</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D149B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办公设备购置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72354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EAD8944">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57EA0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30103</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8B56A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奖金</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3ED7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85.13</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55FA5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30203</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80494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咨询费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FB63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345DD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31003</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1A93B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专用设备购置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02EE5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A3EB0D2">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4BE15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30106</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89BA1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伙食补助费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0DD7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14.78</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765476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30204</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618CD6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手续费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7D201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0BAD1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31005</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2E07F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基础设施建设</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A5822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0B83C74">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191A0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30107</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06832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绩效工资</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0967B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31.26</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F5E41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30205</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DA7C6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水费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35F3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6244B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31006</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9D372E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大型修缮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078F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191FB0C">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E5D1C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30108</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D9959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机关事业单位基本养老保险缴费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3A66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28.62</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3F4650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30206</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85B0D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电费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C6E0D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6577C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31007</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A027F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信息网络及软件购置更新</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95866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706030F">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E20FC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30109</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8477CB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职业年金缴费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A0340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14.13</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C4D6D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30207</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156BC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邮电费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105D0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3.38</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F3526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31008</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2C77C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物资储备</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30B99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4814D7A">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C6697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30110</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3B3B6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职工基本医疗保险缴费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117A8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17.87</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E9696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30208</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7EC09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取暖费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CB39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9707E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31009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36385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土地补偿</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7B5CF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C7DFD56">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F7785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30111</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1AB57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公务员医疗补助缴费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0CB9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1.76</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152C2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30209</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AFC07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物业管理费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2F9F2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4E600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31010</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C6818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安置补助</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28FB1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ACBABEF">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9275CB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30112</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CF896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其他社会保障缴费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605F5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2.75</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0992E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30211</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B3AC2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差旅费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5BC67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2.36</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37CD9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31011</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4431C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地上附着物和青苗补偿</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15C1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6BDCE32">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9DBBCF">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30113</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11F39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住房公积金</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5786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12.53</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BE2945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30212</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4975C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因公出国（境）费用</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C228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CD32D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31012</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AF896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拆迁补偿</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E388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2645D97">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D89CE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30114</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F7844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医疗费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DA80D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1.24</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79486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30213</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13064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维修（护）费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C5EAA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0962F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31013</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71479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公务用车购置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0CDCA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56D0FF1">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92A18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30199</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5FACF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其他工资福利支出</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61F1B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8F4455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30214</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16BAE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租赁费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B0E88">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DE50D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31019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2FCB2DF">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其他交通工具购置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2E403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6D61408">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91D53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ED3DF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对个人和家庭的补助</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800A5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2.65</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82D7B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30215</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A4CCA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会议费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D2600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56173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31021</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59273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文物和陈列品购置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7DB1F">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61EBED8">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ECB19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30301</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BBEFA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离休费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C58F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B10D20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30216</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6C045C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培训费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45D1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1.50</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E1081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31022</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7970D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无形资产购置</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51FCF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FD7869C">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707CA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30302</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76334F">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退休费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019D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17848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30217</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B1E7A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公务接待费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8A38A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1.57</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C917C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31099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46B97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其他资本性支出</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EF771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9E3D146">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A64E87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30303</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DA13C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退职（役）费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78B2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E8493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30218</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C1D44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专用材料费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32A9B">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4F778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0F64E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对企业补助</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7F7DE">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A837FF4">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25283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30304</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48EC6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抚恤金</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343CD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FB96F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30224</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B2806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被装购置费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9581E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AB844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31201</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D11D7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资本金注入</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637D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C87EF5C">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E62E4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30305</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CE5D0E">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生活补助</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9202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2.45</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075F4D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30225</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47A0C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专用燃料费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C75A0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0A1FA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31203</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B38DC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政府投资基金股权投资</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9B3B2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39A58570">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898A1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30306</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F4446F">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救济费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B4361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C4A8B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30226</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8299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劳务费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B3262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10.45</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16AAC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31204</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CE1DC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费用补贴</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ABCB7">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595F622C">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8D6F1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30307</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FD7F3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医疗费补助</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D7C74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0.20</w:t>
            </w: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AB810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30227</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23BB1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委托业务费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AED94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828E7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31205</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3091F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利息补贴</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3891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4D8FD71">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C236E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30308</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E8345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助学金</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1D08A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13DDA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30228</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ADAAF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工会经费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1FB12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13.58</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0744D8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31299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4319C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其他对企业补助</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B8350C">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73D9362A">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3B058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30309</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B10CDD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奖励金</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7E27C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C8B57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30229</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8978E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福利费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CC6A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0.95</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F5C50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88AFF7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其他支出</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B3BF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2D71A485">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02C095C">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30310</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2071E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个人农业生产补贴</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FAA8A">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31559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30231</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58F14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公务用车运行维护费</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780DB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2.97</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C188C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39907</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05616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国家赔偿费用支出</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CF80C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D8C5AE4">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1183B74">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30311</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D54F0A">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代缴社会保险费</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DAFED">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5158F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30239</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71B37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其他交通费用</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6F300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11.70</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D84CD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39908</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C1FD56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对民间非营利组织和群众性自治组织补贴</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79068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8F0FF50">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D6E176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30399</w:t>
            </w: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3C95785">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其他对个人和家庭的补助</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3201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189F7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30240</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0552AB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税金及附加费用</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362D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B1B1303">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39909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C56C62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经常性赠与</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CC17B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615FB359">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BF492D">
            <w:pPr>
              <w:spacing w:line="200" w:lineRule="exact"/>
              <w:jc w:val="both"/>
              <w:rPr>
                <w:rFonts w:hint="eastAsia" w:ascii="方正仿宋_GBK" w:hAnsi="方正仿宋_GBK" w:eastAsia="方正仿宋_GBK" w:cs="方正仿宋_GBK"/>
                <w:color w:val="000000"/>
                <w:sz w:val="18"/>
                <w:szCs w:val="18"/>
              </w:rPr>
            </w:pP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B72BF0">
            <w:pPr>
              <w:spacing w:line="200" w:lineRule="exact"/>
              <w:jc w:val="both"/>
              <w:rPr>
                <w:rFonts w:hint="eastAsia" w:ascii="方正仿宋_GBK" w:hAnsi="方正仿宋_GBK" w:eastAsia="方正仿宋_GBK" w:cs="方正仿宋_GBK"/>
                <w:color w:val="00000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415A09">
            <w:pPr>
              <w:spacing w:line="200" w:lineRule="exact"/>
              <w:jc w:val="both"/>
              <w:rPr>
                <w:rFonts w:hint="eastAsia" w:ascii="方正仿宋_GBK" w:hAnsi="方正仿宋_GBK" w:eastAsia="方正仿宋_GBK" w:cs="方正仿宋_GBK"/>
                <w:color w:val="00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E1B822">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30299</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D7A8D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其他商品和服务支出</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78A6F5">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8.09</w:t>
            </w: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614260">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39910</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83E68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资本性赠与</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893E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40871CD5">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7A40DB">
            <w:pPr>
              <w:spacing w:line="200" w:lineRule="exact"/>
              <w:jc w:val="both"/>
              <w:rPr>
                <w:rFonts w:hint="eastAsia" w:ascii="方正仿宋_GBK" w:hAnsi="方正仿宋_GBK" w:eastAsia="方正仿宋_GBK" w:cs="方正仿宋_GBK"/>
                <w:color w:val="000000"/>
                <w:sz w:val="18"/>
                <w:szCs w:val="18"/>
              </w:rPr>
            </w:pP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211CB4">
            <w:pPr>
              <w:spacing w:line="200" w:lineRule="exact"/>
              <w:jc w:val="both"/>
              <w:rPr>
                <w:rFonts w:hint="eastAsia" w:ascii="方正仿宋_GBK" w:hAnsi="方正仿宋_GBK" w:eastAsia="方正仿宋_GBK" w:cs="方正仿宋_GBK"/>
                <w:color w:val="00000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4E6115">
            <w:pPr>
              <w:spacing w:line="200" w:lineRule="exact"/>
              <w:jc w:val="both"/>
              <w:rPr>
                <w:rFonts w:hint="eastAsia" w:ascii="方正仿宋_GBK" w:hAnsi="方正仿宋_GBK" w:eastAsia="方正仿宋_GBK" w:cs="方正仿宋_GBK"/>
                <w:color w:val="00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5EF69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15BC51B">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债务利息及费用支出</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AF8503">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D2697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39999</w:t>
            </w: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AFEBA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其他支出</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CC1C72">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r>
      <w:tr w14:paraId="1C10ED68">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464C08">
            <w:pPr>
              <w:spacing w:line="200" w:lineRule="exact"/>
              <w:jc w:val="both"/>
              <w:rPr>
                <w:rFonts w:hint="eastAsia" w:ascii="方正仿宋_GBK" w:hAnsi="方正仿宋_GBK" w:eastAsia="方正仿宋_GBK" w:cs="方正仿宋_GBK"/>
                <w:color w:val="000000"/>
                <w:sz w:val="18"/>
                <w:szCs w:val="18"/>
              </w:rPr>
            </w:pP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929327">
            <w:pPr>
              <w:spacing w:line="200" w:lineRule="exact"/>
              <w:jc w:val="both"/>
              <w:rPr>
                <w:rFonts w:hint="eastAsia" w:ascii="方正仿宋_GBK" w:hAnsi="方正仿宋_GBK" w:eastAsia="方正仿宋_GBK" w:cs="方正仿宋_GBK"/>
                <w:color w:val="00000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6D8561">
            <w:pPr>
              <w:spacing w:line="200" w:lineRule="exact"/>
              <w:jc w:val="both"/>
              <w:rPr>
                <w:rFonts w:hint="eastAsia" w:ascii="方正仿宋_GBK" w:hAnsi="方正仿宋_GBK" w:eastAsia="方正仿宋_GBK" w:cs="方正仿宋_GBK"/>
                <w:color w:val="00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13C61">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30701</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FC85DA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国内债务付息</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1D0250">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9EB92D">
            <w:pPr>
              <w:spacing w:line="200" w:lineRule="exact"/>
              <w:jc w:val="both"/>
              <w:rPr>
                <w:rFonts w:hint="eastAsia" w:ascii="方正仿宋_GBK" w:hAnsi="方正仿宋_GBK" w:eastAsia="方正仿宋_GBK" w:cs="方正仿宋_GBK"/>
                <w:color w:val="000000"/>
                <w:sz w:val="18"/>
                <w:szCs w:val="18"/>
              </w:rPr>
            </w:pP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586BE5A">
            <w:pPr>
              <w:spacing w:line="200" w:lineRule="exact"/>
              <w:jc w:val="both"/>
              <w:rPr>
                <w:rFonts w:hint="eastAsia" w:ascii="方正仿宋_GBK" w:hAnsi="方正仿宋_GBK" w:eastAsia="方正仿宋_GBK" w:cs="方正仿宋_GBK"/>
                <w:color w:val="000000"/>
                <w:sz w:val="18"/>
                <w:szCs w:val="18"/>
              </w:rPr>
            </w:pP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4D97A9">
            <w:pPr>
              <w:spacing w:line="200" w:lineRule="exact"/>
              <w:jc w:val="both"/>
              <w:rPr>
                <w:rFonts w:hint="eastAsia" w:ascii="方正仿宋_GBK" w:hAnsi="方正仿宋_GBK" w:eastAsia="方正仿宋_GBK" w:cs="方正仿宋_GBK"/>
                <w:color w:val="000000"/>
                <w:sz w:val="18"/>
                <w:szCs w:val="18"/>
              </w:rPr>
            </w:pPr>
          </w:p>
        </w:tc>
      </w:tr>
      <w:tr w14:paraId="6E095D8D">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2F0456">
            <w:pPr>
              <w:spacing w:line="200" w:lineRule="exact"/>
              <w:jc w:val="both"/>
              <w:rPr>
                <w:rFonts w:hint="eastAsia" w:ascii="方正仿宋_GBK" w:hAnsi="方正仿宋_GBK" w:eastAsia="方正仿宋_GBK" w:cs="方正仿宋_GBK"/>
                <w:color w:val="000000"/>
                <w:sz w:val="18"/>
                <w:szCs w:val="18"/>
              </w:rPr>
            </w:pP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9DCBF5">
            <w:pPr>
              <w:spacing w:line="200" w:lineRule="exact"/>
              <w:jc w:val="both"/>
              <w:rPr>
                <w:rFonts w:hint="eastAsia" w:ascii="方正仿宋_GBK" w:hAnsi="方正仿宋_GBK" w:eastAsia="方正仿宋_GBK" w:cs="方正仿宋_GBK"/>
                <w:color w:val="00000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6255">
            <w:pPr>
              <w:spacing w:line="200" w:lineRule="exact"/>
              <w:jc w:val="both"/>
              <w:rPr>
                <w:rFonts w:hint="eastAsia" w:ascii="方正仿宋_GBK" w:hAnsi="方正仿宋_GBK" w:eastAsia="方正仿宋_GBK" w:cs="方正仿宋_GBK"/>
                <w:color w:val="00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942F5A8">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30702</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15D757">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国外债务付息</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B6B489">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D64650">
            <w:pPr>
              <w:spacing w:line="200" w:lineRule="exact"/>
              <w:jc w:val="both"/>
              <w:rPr>
                <w:rFonts w:hint="eastAsia" w:ascii="方正仿宋_GBK" w:hAnsi="方正仿宋_GBK" w:eastAsia="方正仿宋_GBK" w:cs="方正仿宋_GBK"/>
                <w:color w:val="000000"/>
                <w:sz w:val="18"/>
                <w:szCs w:val="18"/>
              </w:rPr>
            </w:pP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0F62D8">
            <w:pPr>
              <w:spacing w:line="200" w:lineRule="exact"/>
              <w:jc w:val="both"/>
              <w:rPr>
                <w:rFonts w:hint="eastAsia" w:ascii="方正仿宋_GBK" w:hAnsi="方正仿宋_GBK" w:eastAsia="方正仿宋_GBK" w:cs="方正仿宋_GBK"/>
                <w:color w:val="000000"/>
                <w:sz w:val="18"/>
                <w:szCs w:val="18"/>
              </w:rPr>
            </w:pP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B45973">
            <w:pPr>
              <w:spacing w:line="200" w:lineRule="exact"/>
              <w:jc w:val="both"/>
              <w:rPr>
                <w:rFonts w:hint="eastAsia" w:ascii="方正仿宋_GBK" w:hAnsi="方正仿宋_GBK" w:eastAsia="方正仿宋_GBK" w:cs="方正仿宋_GBK"/>
                <w:color w:val="000000"/>
                <w:sz w:val="18"/>
                <w:szCs w:val="18"/>
              </w:rPr>
            </w:pPr>
          </w:p>
        </w:tc>
      </w:tr>
      <w:tr w14:paraId="0F9A11A5">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49B7EF0">
            <w:pPr>
              <w:spacing w:line="200" w:lineRule="exact"/>
              <w:jc w:val="both"/>
              <w:rPr>
                <w:rFonts w:hint="eastAsia" w:ascii="方正仿宋_GBK" w:hAnsi="方正仿宋_GBK" w:eastAsia="方正仿宋_GBK" w:cs="方正仿宋_GBK"/>
                <w:color w:val="000000"/>
                <w:sz w:val="18"/>
                <w:szCs w:val="18"/>
              </w:rPr>
            </w:pP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AA60D1">
            <w:pPr>
              <w:spacing w:line="200" w:lineRule="exact"/>
              <w:jc w:val="both"/>
              <w:rPr>
                <w:rFonts w:hint="eastAsia" w:ascii="方正仿宋_GBK" w:hAnsi="方正仿宋_GBK" w:eastAsia="方正仿宋_GBK" w:cs="方正仿宋_GBK"/>
                <w:color w:val="00000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11E4C">
            <w:pPr>
              <w:spacing w:line="200" w:lineRule="exact"/>
              <w:jc w:val="both"/>
              <w:rPr>
                <w:rFonts w:hint="eastAsia" w:ascii="方正仿宋_GBK" w:hAnsi="方正仿宋_GBK" w:eastAsia="方正仿宋_GBK" w:cs="方正仿宋_GBK"/>
                <w:color w:val="00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B6C2576">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30703</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04E2AAD">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国内债务发行费用</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0FEE6">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973B7D">
            <w:pPr>
              <w:spacing w:line="200" w:lineRule="exact"/>
              <w:jc w:val="both"/>
              <w:rPr>
                <w:rFonts w:hint="eastAsia" w:ascii="方正仿宋_GBK" w:hAnsi="方正仿宋_GBK" w:eastAsia="方正仿宋_GBK" w:cs="方正仿宋_GBK"/>
                <w:color w:val="000000"/>
                <w:sz w:val="18"/>
                <w:szCs w:val="18"/>
              </w:rPr>
            </w:pP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B41061">
            <w:pPr>
              <w:spacing w:line="200" w:lineRule="exact"/>
              <w:jc w:val="both"/>
              <w:rPr>
                <w:rFonts w:hint="eastAsia" w:ascii="方正仿宋_GBK" w:hAnsi="方正仿宋_GBK" w:eastAsia="方正仿宋_GBK" w:cs="方正仿宋_GBK"/>
                <w:color w:val="000000"/>
                <w:sz w:val="18"/>
                <w:szCs w:val="18"/>
              </w:rPr>
            </w:pP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F0AF51">
            <w:pPr>
              <w:spacing w:line="200" w:lineRule="exact"/>
              <w:jc w:val="both"/>
              <w:rPr>
                <w:rFonts w:hint="eastAsia" w:ascii="方正仿宋_GBK" w:hAnsi="方正仿宋_GBK" w:eastAsia="方正仿宋_GBK" w:cs="方正仿宋_GBK"/>
                <w:color w:val="000000"/>
                <w:sz w:val="18"/>
                <w:szCs w:val="18"/>
              </w:rPr>
            </w:pPr>
          </w:p>
        </w:tc>
      </w:tr>
      <w:tr w14:paraId="62CB9C76">
        <w:tblPrEx>
          <w:tblCellMar>
            <w:top w:w="0" w:type="dxa"/>
            <w:left w:w="0" w:type="dxa"/>
            <w:bottom w:w="0" w:type="dxa"/>
            <w:right w:w="0" w:type="dxa"/>
          </w:tblCellMar>
        </w:tblPrEx>
        <w:trPr>
          <w:trHeight w:val="90" w:hRule="atLeast"/>
        </w:trPr>
        <w:tc>
          <w:tcPr>
            <w:tcW w:w="19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D58946">
            <w:pPr>
              <w:spacing w:line="200" w:lineRule="exact"/>
              <w:jc w:val="both"/>
              <w:rPr>
                <w:rFonts w:hint="eastAsia" w:ascii="方正仿宋_GBK" w:hAnsi="方正仿宋_GBK" w:eastAsia="方正仿宋_GBK" w:cs="方正仿宋_GBK"/>
                <w:color w:val="000000"/>
                <w:sz w:val="18"/>
                <w:szCs w:val="18"/>
              </w:rPr>
            </w:pPr>
          </w:p>
        </w:tc>
        <w:tc>
          <w:tcPr>
            <w:tcW w:w="89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D2B382">
            <w:pPr>
              <w:spacing w:line="200" w:lineRule="exact"/>
              <w:jc w:val="both"/>
              <w:rPr>
                <w:rFonts w:hint="eastAsia" w:ascii="方正仿宋_GBK" w:hAnsi="方正仿宋_GBK" w:eastAsia="方正仿宋_GBK" w:cs="方正仿宋_GBK"/>
                <w:color w:val="000000"/>
                <w:sz w:val="18"/>
                <w:szCs w:val="18"/>
              </w:rPr>
            </w:pP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28C8A56">
            <w:pPr>
              <w:spacing w:line="200" w:lineRule="exact"/>
              <w:jc w:val="both"/>
              <w:rPr>
                <w:rFonts w:hint="eastAsia" w:ascii="方正仿宋_GBK" w:hAnsi="方正仿宋_GBK" w:eastAsia="方正仿宋_GBK" w:cs="方正仿宋_GBK"/>
                <w:color w:val="000000"/>
                <w:sz w:val="18"/>
                <w:szCs w:val="18"/>
              </w:rPr>
            </w:pPr>
          </w:p>
        </w:tc>
        <w:tc>
          <w:tcPr>
            <w:tcW w:w="27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E64C19">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30704</w:t>
            </w:r>
          </w:p>
        </w:tc>
        <w:tc>
          <w:tcPr>
            <w:tcW w:w="62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B136BF">
            <w:pPr>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 xml:space="preserve">  国外债务发行费用</w:t>
            </w:r>
          </w:p>
        </w:tc>
        <w:tc>
          <w:tcPr>
            <w:tcW w:w="5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C4E01">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u w:color="auto"/>
              </w:rPr>
              <w:t xml:space="preserve"> </w:t>
            </w:r>
          </w:p>
        </w:tc>
        <w:tc>
          <w:tcPr>
            <w:tcW w:w="26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3EC2E3">
            <w:pPr>
              <w:spacing w:line="200" w:lineRule="exact"/>
              <w:jc w:val="both"/>
              <w:rPr>
                <w:rFonts w:hint="eastAsia" w:ascii="方正仿宋_GBK" w:hAnsi="方正仿宋_GBK" w:eastAsia="方正仿宋_GBK" w:cs="方正仿宋_GBK"/>
                <w:color w:val="000000"/>
                <w:sz w:val="18"/>
                <w:szCs w:val="18"/>
              </w:rPr>
            </w:pPr>
          </w:p>
        </w:tc>
        <w:tc>
          <w:tcPr>
            <w:tcW w:w="11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8E417D">
            <w:pPr>
              <w:spacing w:line="200" w:lineRule="exact"/>
              <w:jc w:val="both"/>
              <w:rPr>
                <w:rFonts w:hint="eastAsia" w:ascii="方正仿宋_GBK" w:hAnsi="方正仿宋_GBK" w:eastAsia="方正仿宋_GBK" w:cs="方正仿宋_GBK"/>
                <w:color w:val="000000"/>
                <w:sz w:val="18"/>
                <w:szCs w:val="18"/>
              </w:rPr>
            </w:pP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7F159">
            <w:pPr>
              <w:spacing w:line="200" w:lineRule="exact"/>
              <w:jc w:val="both"/>
              <w:rPr>
                <w:rFonts w:hint="eastAsia" w:ascii="方正仿宋_GBK" w:hAnsi="方正仿宋_GBK" w:eastAsia="方正仿宋_GBK" w:cs="方正仿宋_GBK"/>
                <w:color w:val="000000"/>
                <w:sz w:val="18"/>
                <w:szCs w:val="18"/>
              </w:rPr>
            </w:pPr>
          </w:p>
        </w:tc>
      </w:tr>
      <w:tr w14:paraId="6942BA69">
        <w:tblPrEx>
          <w:tblCellMar>
            <w:top w:w="0" w:type="dxa"/>
            <w:left w:w="0" w:type="dxa"/>
            <w:bottom w:w="0" w:type="dxa"/>
            <w:right w:w="0" w:type="dxa"/>
          </w:tblCellMar>
        </w:tblPrEx>
        <w:trPr>
          <w:trHeight w:val="90" w:hRule="atLeast"/>
        </w:trPr>
        <w:tc>
          <w:tcPr>
            <w:tcW w:w="1089"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5D747C7">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人员经费合计</w:t>
            </w:r>
          </w:p>
        </w:tc>
        <w:tc>
          <w:tcPr>
            <w:tcW w:w="4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F13D1D">
            <w:pPr>
              <w:wordWrap/>
              <w:spacing w:line="200" w:lineRule="exact"/>
              <w:jc w:val="both"/>
              <w:textAlignment w:val="bottom"/>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324.16</w:t>
            </w:r>
            <w:r>
              <w:rPr>
                <w:rFonts w:hint="eastAsia" w:ascii="方正仿宋_GBK" w:hAnsi="方正仿宋_GBK" w:eastAsia="方正仿宋_GBK" w:cs="方正仿宋_GBK"/>
                <w:color w:val="000000"/>
                <w:sz w:val="18"/>
                <w:u w:color="auto"/>
              </w:rPr>
              <w:t xml:space="preserve"> </w:t>
            </w:r>
          </w:p>
        </w:tc>
        <w:tc>
          <w:tcPr>
            <w:tcW w:w="2848" w:type="pct"/>
            <w:gridSpan w:val="5"/>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CF285D">
            <w:pPr>
              <w:spacing w:line="200" w:lineRule="exact"/>
              <w:jc w:val="both"/>
              <w:textAlignment w:val="center"/>
              <w:rPr>
                <w:rFonts w:hint="eastAsia" w:ascii="方正仿宋_GBK" w:hAnsi="方正仿宋_GBK" w:eastAsia="方正仿宋_GBK" w:cs="方正仿宋_GBK"/>
                <w:b/>
                <w:color w:val="000000"/>
                <w:sz w:val="18"/>
                <w:szCs w:val="18"/>
              </w:rPr>
            </w:pPr>
            <w:r>
              <w:rPr>
                <w:rFonts w:hint="eastAsia" w:ascii="方正仿宋_GBK" w:hAnsi="方正仿宋_GBK" w:eastAsia="方正仿宋_GBK" w:cs="方正仿宋_GBK"/>
                <w:b/>
                <w:color w:val="000000"/>
                <w:sz w:val="18"/>
                <w:szCs w:val="18"/>
              </w:rPr>
              <w:t>公用经费合计</w:t>
            </w:r>
          </w:p>
        </w:tc>
        <w:tc>
          <w:tcPr>
            <w:tcW w:w="6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A4904">
            <w:pPr>
              <w:wordWrap/>
              <w:spacing w:line="200" w:lineRule="exact"/>
              <w:jc w:val="both"/>
              <w:textAlignment w:val="center"/>
              <w:rPr>
                <w:rFonts w:hint="eastAsia" w:ascii="方正仿宋_GBK" w:hAnsi="方正仿宋_GBK" w:eastAsia="方正仿宋_GBK" w:cs="方正仿宋_GBK"/>
                <w:color w:val="000000"/>
                <w:sz w:val="18"/>
                <w:szCs w:val="18"/>
              </w:rPr>
            </w:pPr>
            <w:r>
              <w:rPr>
                <w:rFonts w:hint="eastAsia" w:ascii="方正仿宋_GBK" w:hAnsi="方正仿宋_GBK" w:eastAsia="方正仿宋_GBK" w:cs="方正仿宋_GBK"/>
                <w:color w:val="000000"/>
                <w:sz w:val="18"/>
                <w:szCs w:val="18"/>
              </w:rPr>
              <w:t>62.58</w:t>
            </w:r>
            <w:r>
              <w:rPr>
                <w:rFonts w:hint="eastAsia" w:ascii="方正仿宋_GBK" w:hAnsi="方正仿宋_GBK" w:eastAsia="方正仿宋_GBK" w:cs="方正仿宋_GBK"/>
                <w:color w:val="000000"/>
                <w:sz w:val="18"/>
                <w:u w:color="auto"/>
              </w:rPr>
              <w:t xml:space="preserve"> </w:t>
            </w:r>
          </w:p>
        </w:tc>
      </w:tr>
    </w:tbl>
    <w:p w14:paraId="0459C5C0">
      <w:pPr>
        <w:spacing w:line="280" w:lineRule="exact"/>
        <w:jc w:val="both"/>
        <w:rPr>
          <w:rFonts w:hint="eastAsia"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备注：1.本表反映部门本年度一般公共预算财政拨款基本支出明细情况。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686"/>
        <w:gridCol w:w="2809"/>
        <w:gridCol w:w="1553"/>
        <w:gridCol w:w="1553"/>
        <w:gridCol w:w="1553"/>
        <w:gridCol w:w="1553"/>
        <w:gridCol w:w="1611"/>
        <w:gridCol w:w="1670"/>
      </w:tblGrid>
      <w:tr w14:paraId="68F40BE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73C7291">
            <w:pPr>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政府性基金预算财政拨款收入支出决算表</w:t>
            </w:r>
          </w:p>
        </w:tc>
      </w:tr>
      <w:tr w14:paraId="6C5909C1">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8DAD0DA">
            <w:pPr>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w:t>
            </w:r>
          </w:p>
        </w:tc>
        <w:tc>
          <w:tcPr>
            <w:tcW w:w="555" w:type="pct"/>
            <w:tcBorders>
              <w:top w:val="nil"/>
              <w:left w:val="nil"/>
              <w:bottom w:val="nil"/>
              <w:right w:val="nil"/>
            </w:tcBorders>
            <w:shd w:val="clear" w:color="auto" w:fill="auto"/>
            <w:noWrap/>
            <w:tcMar>
              <w:top w:w="15" w:type="dxa"/>
              <w:left w:w="15" w:type="dxa"/>
              <w:right w:w="15" w:type="dxa"/>
            </w:tcMar>
            <w:vAlign w:val="bottom"/>
          </w:tcPr>
          <w:p w14:paraId="58DAB829">
            <w:pPr>
              <w:jc w:val="both"/>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DF4AEAE">
            <w:pPr>
              <w:jc w:val="both"/>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9483492">
            <w:pPr>
              <w:jc w:val="both"/>
              <w:rPr>
                <w:rFonts w:hint="eastAsia" w:ascii="方正仿宋_GBK" w:hAnsi="方正仿宋_GBK" w:eastAsia="方正仿宋_GBK" w:cs="方正仿宋_GBK"/>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AD7DAED">
            <w:pPr>
              <w:jc w:val="both"/>
              <w:rPr>
                <w:rFonts w:hint="eastAsia" w:ascii="方正仿宋_GBK" w:hAnsi="方正仿宋_GBK" w:eastAsia="方正仿宋_GBK" w:cs="方正仿宋_GBK"/>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14F24F">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公开07表</w:t>
            </w:r>
          </w:p>
        </w:tc>
      </w:tr>
      <w:tr w14:paraId="02E86999">
        <w:tblPrEx>
          <w:tblCellMar>
            <w:top w:w="0" w:type="dxa"/>
            <w:left w:w="0" w:type="dxa"/>
            <w:bottom w:w="0" w:type="dxa"/>
            <w:right w:w="0" w:type="dxa"/>
          </w:tblCellMar>
        </w:tblPrEx>
        <w:trPr>
          <w:trHeight w:val="329" w:hRule="atLeast"/>
        </w:trPr>
        <w:tc>
          <w:tcPr>
            <w:tcW w:w="2162" w:type="pct"/>
            <w:gridSpan w:val="3"/>
            <w:vMerge w:val="continue"/>
            <w:tcBorders>
              <w:left w:val="nil"/>
              <w:bottom w:val="single" w:color="auto" w:sz="4" w:space="0"/>
              <w:right w:val="nil"/>
            </w:tcBorders>
            <w:shd w:val="clear" w:color="auto" w:fill="auto"/>
            <w:noWrap/>
            <w:tcMar>
              <w:top w:w="15" w:type="dxa"/>
              <w:left w:w="15" w:type="dxa"/>
              <w:right w:w="15" w:type="dxa"/>
            </w:tcMar>
            <w:vAlign w:val="bottom"/>
          </w:tcPr>
          <w:p w14:paraId="24F16AAA">
            <w:pPr>
              <w:jc w:val="both"/>
              <w:rPr>
                <w:rFonts w:hint="eastAsia" w:ascii="方正仿宋_GBK" w:hAnsi="方正仿宋_GBK" w:eastAsia="方正仿宋_GBK" w:cs="方正仿宋_GBK"/>
                <w:color w:val="000000"/>
                <w:sz w:val="20"/>
                <w:szCs w:val="20"/>
              </w:rPr>
            </w:pPr>
          </w:p>
        </w:tc>
        <w:tc>
          <w:tcPr>
            <w:tcW w:w="555" w:type="pct"/>
            <w:tcBorders>
              <w:top w:val="nil"/>
              <w:left w:val="nil"/>
              <w:bottom w:val="single" w:color="auto" w:sz="4" w:space="0"/>
              <w:right w:val="nil"/>
            </w:tcBorders>
            <w:shd w:val="clear" w:color="auto" w:fill="auto"/>
            <w:noWrap/>
            <w:tcMar>
              <w:top w:w="15" w:type="dxa"/>
              <w:left w:w="15" w:type="dxa"/>
              <w:right w:w="15" w:type="dxa"/>
            </w:tcMar>
            <w:vAlign w:val="bottom"/>
          </w:tcPr>
          <w:p w14:paraId="0A80B942">
            <w:pPr>
              <w:jc w:val="both"/>
              <w:rPr>
                <w:rFonts w:hint="eastAsia" w:ascii="方正仿宋_GBK" w:hAnsi="方正仿宋_GBK" w:eastAsia="方正仿宋_GBK" w:cs="方正仿宋_GBK"/>
                <w:color w:val="000000"/>
                <w:sz w:val="20"/>
                <w:szCs w:val="20"/>
              </w:rPr>
            </w:pPr>
          </w:p>
        </w:tc>
        <w:tc>
          <w:tcPr>
            <w:tcW w:w="555" w:type="pct"/>
            <w:tcBorders>
              <w:top w:val="nil"/>
              <w:left w:val="nil"/>
              <w:bottom w:val="single" w:color="auto" w:sz="4" w:space="0"/>
              <w:right w:val="nil"/>
            </w:tcBorders>
            <w:shd w:val="clear" w:color="auto" w:fill="auto"/>
            <w:noWrap/>
            <w:tcMar>
              <w:top w:w="15" w:type="dxa"/>
              <w:left w:w="15" w:type="dxa"/>
              <w:right w:w="15" w:type="dxa"/>
            </w:tcMar>
            <w:vAlign w:val="bottom"/>
          </w:tcPr>
          <w:p w14:paraId="63BE6A65">
            <w:pPr>
              <w:jc w:val="both"/>
              <w:rPr>
                <w:rFonts w:hint="eastAsia" w:ascii="方正仿宋_GBK" w:hAnsi="方正仿宋_GBK" w:eastAsia="方正仿宋_GBK" w:cs="方正仿宋_GBK"/>
                <w:color w:val="000000"/>
                <w:sz w:val="20"/>
                <w:szCs w:val="20"/>
              </w:rPr>
            </w:pPr>
          </w:p>
        </w:tc>
        <w:tc>
          <w:tcPr>
            <w:tcW w:w="555" w:type="pct"/>
            <w:tcBorders>
              <w:top w:val="nil"/>
              <w:left w:val="nil"/>
              <w:bottom w:val="single" w:color="auto" w:sz="4" w:space="0"/>
              <w:right w:val="nil"/>
            </w:tcBorders>
            <w:shd w:val="clear" w:color="auto" w:fill="auto"/>
            <w:noWrap/>
            <w:tcMar>
              <w:top w:w="15" w:type="dxa"/>
              <w:left w:w="15" w:type="dxa"/>
              <w:right w:w="15" w:type="dxa"/>
            </w:tcMar>
            <w:vAlign w:val="bottom"/>
          </w:tcPr>
          <w:p w14:paraId="480F0CC7">
            <w:pPr>
              <w:jc w:val="both"/>
              <w:rPr>
                <w:rFonts w:hint="eastAsia" w:ascii="方正仿宋_GBK" w:hAnsi="方正仿宋_GBK" w:eastAsia="方正仿宋_GBK" w:cs="方正仿宋_GBK"/>
                <w:color w:val="000000"/>
                <w:sz w:val="20"/>
                <w:szCs w:val="20"/>
              </w:rPr>
            </w:pPr>
          </w:p>
        </w:tc>
        <w:tc>
          <w:tcPr>
            <w:tcW w:w="576" w:type="pct"/>
            <w:tcBorders>
              <w:top w:val="nil"/>
              <w:left w:val="nil"/>
              <w:bottom w:val="single" w:color="auto" w:sz="4" w:space="0"/>
              <w:right w:val="nil"/>
            </w:tcBorders>
            <w:shd w:val="clear" w:color="auto" w:fill="auto"/>
            <w:noWrap/>
            <w:tcMar>
              <w:top w:w="15" w:type="dxa"/>
              <w:left w:w="15" w:type="dxa"/>
              <w:right w:w="15" w:type="dxa"/>
            </w:tcMar>
            <w:vAlign w:val="bottom"/>
          </w:tcPr>
          <w:p w14:paraId="27691D1D">
            <w:pPr>
              <w:jc w:val="both"/>
              <w:rPr>
                <w:rFonts w:hint="eastAsia" w:ascii="方正仿宋_GBK" w:hAnsi="方正仿宋_GBK" w:eastAsia="方正仿宋_GBK" w:cs="方正仿宋_GBK"/>
                <w:color w:val="000000"/>
                <w:sz w:val="20"/>
                <w:szCs w:val="20"/>
              </w:rPr>
            </w:pPr>
          </w:p>
        </w:tc>
        <w:tc>
          <w:tcPr>
            <w:tcW w:w="597" w:type="pct"/>
            <w:tcBorders>
              <w:top w:val="nil"/>
              <w:left w:val="nil"/>
              <w:bottom w:val="single" w:color="auto" w:sz="4" w:space="0"/>
              <w:right w:val="nil"/>
            </w:tcBorders>
            <w:shd w:val="clear" w:color="auto" w:fill="auto"/>
            <w:noWrap/>
            <w:tcMar>
              <w:top w:w="15" w:type="dxa"/>
              <w:left w:w="15" w:type="dxa"/>
              <w:right w:w="15" w:type="dxa"/>
            </w:tcMar>
            <w:vAlign w:val="bottom"/>
          </w:tcPr>
          <w:p w14:paraId="1259580A">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035EA76F">
        <w:tblPrEx>
          <w:tblCellMar>
            <w:top w:w="0" w:type="dxa"/>
            <w:left w:w="0" w:type="dxa"/>
            <w:bottom w:w="0" w:type="dxa"/>
            <w:right w:w="0" w:type="dxa"/>
          </w:tblCellMar>
        </w:tblPrEx>
        <w:trPr>
          <w:trHeight w:val="339" w:hRule="atLeast"/>
        </w:trPr>
        <w:tc>
          <w:tcPr>
            <w:tcW w:w="1607"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C349A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55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08E60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年初结转和结余</w:t>
            </w:r>
          </w:p>
        </w:tc>
        <w:tc>
          <w:tcPr>
            <w:tcW w:w="55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1BBB4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w:t>
            </w:r>
          </w:p>
        </w:tc>
        <w:tc>
          <w:tcPr>
            <w:tcW w:w="1686" w:type="pct"/>
            <w:gridSpan w:val="3"/>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02FFC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c>
          <w:tcPr>
            <w:tcW w:w="597"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18DF8C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年末结转和结余</w:t>
            </w:r>
          </w:p>
        </w:tc>
      </w:tr>
      <w:tr w14:paraId="4AAE3228">
        <w:tblPrEx>
          <w:tblCellMar>
            <w:top w:w="0" w:type="dxa"/>
            <w:left w:w="0" w:type="dxa"/>
            <w:bottom w:w="0" w:type="dxa"/>
            <w:right w:w="0" w:type="dxa"/>
          </w:tblCellMar>
        </w:tblPrEx>
        <w:trPr>
          <w:trHeight w:val="335" w:hRule="atLeast"/>
        </w:trPr>
        <w:tc>
          <w:tcPr>
            <w:tcW w:w="60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7B69D8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004"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852D89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B313CCC">
            <w:pPr>
              <w:jc w:val="center"/>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F6DB642">
            <w:pPr>
              <w:jc w:val="center"/>
              <w:rPr>
                <w:rFonts w:hint="eastAsia" w:ascii="方正仿宋_GBK" w:hAnsi="方正仿宋_GBK" w:eastAsia="方正仿宋_GBK" w:cs="方正仿宋_GBK"/>
                <w:b/>
                <w:color w:val="000000"/>
                <w:sz w:val="20"/>
                <w:szCs w:val="20"/>
              </w:rPr>
            </w:pPr>
          </w:p>
        </w:tc>
        <w:tc>
          <w:tcPr>
            <w:tcW w:w="55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5C6902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55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935A48">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576"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47BF58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597"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77000C">
            <w:pPr>
              <w:jc w:val="center"/>
              <w:rPr>
                <w:rFonts w:hint="eastAsia" w:ascii="方正仿宋_GBK" w:hAnsi="方正仿宋_GBK" w:eastAsia="方正仿宋_GBK" w:cs="方正仿宋_GBK"/>
                <w:b/>
                <w:color w:val="000000"/>
                <w:sz w:val="20"/>
                <w:szCs w:val="20"/>
              </w:rPr>
            </w:pPr>
          </w:p>
        </w:tc>
      </w:tr>
      <w:tr w14:paraId="3CD7373F">
        <w:tblPrEx>
          <w:tblCellMar>
            <w:top w:w="0" w:type="dxa"/>
            <w:left w:w="0" w:type="dxa"/>
            <w:bottom w:w="0" w:type="dxa"/>
            <w:right w:w="0" w:type="dxa"/>
          </w:tblCellMar>
        </w:tblPrEx>
        <w:trPr>
          <w:trHeight w:val="335" w:hRule="atLeast"/>
        </w:trPr>
        <w:tc>
          <w:tcPr>
            <w:tcW w:w="60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D56DAB">
            <w:pPr>
              <w:jc w:val="both"/>
              <w:rPr>
                <w:rFonts w:hint="eastAsia" w:ascii="方正仿宋_GBK" w:hAnsi="方正仿宋_GBK" w:eastAsia="方正仿宋_GBK" w:cs="方正仿宋_GBK"/>
                <w:b/>
                <w:color w:val="000000"/>
                <w:sz w:val="20"/>
                <w:szCs w:val="20"/>
              </w:rPr>
            </w:pPr>
          </w:p>
        </w:tc>
        <w:tc>
          <w:tcPr>
            <w:tcW w:w="100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5EF1CA">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985585F">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13FB2D">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517D89">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BB1BF4">
            <w:pPr>
              <w:jc w:val="both"/>
              <w:rPr>
                <w:rFonts w:hint="eastAsia" w:ascii="方正仿宋_GBK" w:hAnsi="方正仿宋_GBK" w:eastAsia="方正仿宋_GBK" w:cs="方正仿宋_GBK"/>
                <w:b/>
                <w:color w:val="000000"/>
                <w:sz w:val="20"/>
                <w:szCs w:val="20"/>
              </w:rPr>
            </w:pPr>
          </w:p>
        </w:tc>
        <w:tc>
          <w:tcPr>
            <w:tcW w:w="57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757FED">
            <w:pPr>
              <w:jc w:val="both"/>
              <w:rPr>
                <w:rFonts w:hint="eastAsia" w:ascii="方正仿宋_GBK" w:hAnsi="方正仿宋_GBK" w:eastAsia="方正仿宋_GBK" w:cs="方正仿宋_GBK"/>
                <w:b/>
                <w:color w:val="000000"/>
                <w:sz w:val="20"/>
                <w:szCs w:val="20"/>
              </w:rPr>
            </w:pPr>
          </w:p>
        </w:tc>
        <w:tc>
          <w:tcPr>
            <w:tcW w:w="597"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EBF3D63">
            <w:pPr>
              <w:jc w:val="both"/>
              <w:rPr>
                <w:rFonts w:hint="eastAsia" w:ascii="方正仿宋_GBK" w:hAnsi="方正仿宋_GBK" w:eastAsia="方正仿宋_GBK" w:cs="方正仿宋_GBK"/>
                <w:b/>
                <w:color w:val="000000"/>
                <w:sz w:val="20"/>
                <w:szCs w:val="20"/>
              </w:rPr>
            </w:pPr>
          </w:p>
        </w:tc>
      </w:tr>
      <w:tr w14:paraId="55ED10C9">
        <w:tblPrEx>
          <w:tblCellMar>
            <w:top w:w="0" w:type="dxa"/>
            <w:left w:w="0" w:type="dxa"/>
            <w:bottom w:w="0" w:type="dxa"/>
            <w:right w:w="0" w:type="dxa"/>
          </w:tblCellMar>
        </w:tblPrEx>
        <w:trPr>
          <w:trHeight w:val="645" w:hRule="atLeast"/>
        </w:trPr>
        <w:tc>
          <w:tcPr>
            <w:tcW w:w="60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3792FD1">
            <w:pPr>
              <w:jc w:val="both"/>
              <w:rPr>
                <w:rFonts w:hint="eastAsia" w:ascii="方正仿宋_GBK" w:hAnsi="方正仿宋_GBK" w:eastAsia="方正仿宋_GBK" w:cs="方正仿宋_GBK"/>
                <w:b/>
                <w:color w:val="000000"/>
                <w:sz w:val="20"/>
                <w:szCs w:val="20"/>
              </w:rPr>
            </w:pPr>
          </w:p>
        </w:tc>
        <w:tc>
          <w:tcPr>
            <w:tcW w:w="1004"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4140D0">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A55012E">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F2D11D">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E593D66">
            <w:pPr>
              <w:jc w:val="both"/>
              <w:rPr>
                <w:rFonts w:hint="eastAsia" w:ascii="方正仿宋_GBK" w:hAnsi="方正仿宋_GBK" w:eastAsia="方正仿宋_GBK" w:cs="方正仿宋_GBK"/>
                <w:b/>
                <w:color w:val="000000"/>
                <w:sz w:val="20"/>
                <w:szCs w:val="20"/>
              </w:rPr>
            </w:pPr>
          </w:p>
        </w:tc>
        <w:tc>
          <w:tcPr>
            <w:tcW w:w="55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AEAA4CA">
            <w:pPr>
              <w:jc w:val="both"/>
              <w:rPr>
                <w:rFonts w:hint="eastAsia" w:ascii="方正仿宋_GBK" w:hAnsi="方正仿宋_GBK" w:eastAsia="方正仿宋_GBK" w:cs="方正仿宋_GBK"/>
                <w:b/>
                <w:color w:val="000000"/>
                <w:sz w:val="20"/>
                <w:szCs w:val="20"/>
              </w:rPr>
            </w:pPr>
          </w:p>
        </w:tc>
        <w:tc>
          <w:tcPr>
            <w:tcW w:w="57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E86A18">
            <w:pPr>
              <w:jc w:val="both"/>
              <w:rPr>
                <w:rFonts w:hint="eastAsia" w:ascii="方正仿宋_GBK" w:hAnsi="方正仿宋_GBK" w:eastAsia="方正仿宋_GBK" w:cs="方正仿宋_GBK"/>
                <w:b/>
                <w:color w:val="000000"/>
                <w:sz w:val="20"/>
                <w:szCs w:val="20"/>
              </w:rPr>
            </w:pPr>
          </w:p>
        </w:tc>
        <w:tc>
          <w:tcPr>
            <w:tcW w:w="597"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1148B88">
            <w:pPr>
              <w:jc w:val="both"/>
              <w:rPr>
                <w:rFonts w:hint="eastAsia" w:ascii="方正仿宋_GBK" w:hAnsi="方正仿宋_GBK" w:eastAsia="方正仿宋_GBK" w:cs="方正仿宋_GBK"/>
                <w:b/>
                <w:color w:val="000000"/>
                <w:sz w:val="20"/>
                <w:szCs w:val="20"/>
              </w:rPr>
            </w:pPr>
          </w:p>
        </w:tc>
      </w:tr>
      <w:tr w14:paraId="46EB66D6">
        <w:tblPrEx>
          <w:tblCellMar>
            <w:top w:w="0" w:type="dxa"/>
            <w:left w:w="0" w:type="dxa"/>
            <w:bottom w:w="0" w:type="dxa"/>
            <w:right w:w="0" w:type="dxa"/>
          </w:tblCellMar>
        </w:tblPrEx>
        <w:trPr>
          <w:trHeight w:val="339" w:hRule="atLeast"/>
        </w:trPr>
        <w:tc>
          <w:tcPr>
            <w:tcW w:w="1607"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73858F">
            <w:pPr>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5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28B09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E4D87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AD151F">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5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74C339">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28C650">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9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4AA6D">
            <w:pPr>
              <w:wordWrap/>
              <w:jc w:val="both"/>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bl>
    <w:p w14:paraId="174601D9">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备注：本表反映部门本年度政府性基金预算财政拨款收入支出及结转和结余情况。本部门无政府性基金收支，故本表无数据。</w:t>
      </w:r>
    </w:p>
    <w:tbl>
      <w:tblPr>
        <w:tblStyle w:val="7"/>
        <w:tblW w:w="5000" w:type="pct"/>
        <w:tblInd w:w="0" w:type="dxa"/>
        <w:tblLayout w:type="autofit"/>
        <w:tblCellMar>
          <w:top w:w="0" w:type="dxa"/>
          <w:left w:w="0" w:type="dxa"/>
          <w:bottom w:w="0" w:type="dxa"/>
          <w:right w:w="0" w:type="dxa"/>
        </w:tblCellMar>
      </w:tblPr>
      <w:tblGrid>
        <w:gridCol w:w="1695"/>
        <w:gridCol w:w="2786"/>
        <w:gridCol w:w="2977"/>
        <w:gridCol w:w="182"/>
        <w:gridCol w:w="3156"/>
        <w:gridCol w:w="70"/>
        <w:gridCol w:w="3122"/>
      </w:tblGrid>
      <w:tr w14:paraId="67ACCD6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AC7A54">
            <w:pPr>
              <w:jc w:val="center"/>
              <w:textAlignment w:val="bottom"/>
              <w:rPr>
                <w:rFonts w:hint="eastAsia" w:ascii="方正仿宋_GBK" w:hAnsi="方正仿宋_GBK" w:eastAsia="方正仿宋_GBK" w:cs="方正仿宋_GBK"/>
                <w:b/>
                <w:color w:val="000000"/>
                <w:sz w:val="32"/>
                <w:szCs w:val="32"/>
              </w:rPr>
            </w:pPr>
            <w:r>
              <w:rPr>
                <w:rFonts w:hint="eastAsia" w:ascii="方正小标宋_GBK" w:hAnsi="方正小标宋_GBK" w:eastAsia="方正小标宋_GBK" w:cs="方正小标宋_GBK"/>
                <w:b w:val="0"/>
                <w:bCs/>
                <w:color w:val="000000"/>
                <w:sz w:val="32"/>
                <w:szCs w:val="32"/>
              </w:rPr>
              <w:t>国有资本经营预算财政拨款支出决算表</w:t>
            </w:r>
          </w:p>
        </w:tc>
      </w:tr>
      <w:tr w14:paraId="16FCF8B3">
        <w:tblPrEx>
          <w:tblCellMar>
            <w:top w:w="0" w:type="dxa"/>
            <w:left w:w="0" w:type="dxa"/>
            <w:bottom w:w="0" w:type="dxa"/>
            <w:right w:w="0" w:type="dxa"/>
          </w:tblCellMar>
        </w:tblPrEx>
        <w:trPr>
          <w:trHeight w:val="332" w:hRule="atLeast"/>
        </w:trPr>
        <w:tc>
          <w:tcPr>
            <w:tcW w:w="2666" w:type="pct"/>
            <w:gridSpan w:val="3"/>
            <w:vMerge w:val="restart"/>
            <w:tcBorders>
              <w:top w:val="nil"/>
              <w:left w:val="nil"/>
              <w:right w:val="nil"/>
            </w:tcBorders>
            <w:shd w:val="clear" w:color="auto" w:fill="auto"/>
            <w:noWrap/>
            <w:tcMar>
              <w:top w:w="15" w:type="dxa"/>
              <w:left w:w="15" w:type="dxa"/>
              <w:right w:w="15" w:type="dxa"/>
            </w:tcMar>
            <w:vAlign w:val="bottom"/>
          </w:tcPr>
          <w:p w14:paraId="0AFDF7A4">
            <w:pPr>
              <w:jc w:val="both"/>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公开部门</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w:t>
            </w:r>
          </w:p>
        </w:tc>
        <w:tc>
          <w:tcPr>
            <w:tcW w:w="1218" w:type="pct"/>
            <w:gridSpan w:val="3"/>
            <w:tcBorders>
              <w:top w:val="nil"/>
              <w:left w:val="nil"/>
              <w:bottom w:val="nil"/>
              <w:right w:val="nil"/>
            </w:tcBorders>
            <w:shd w:val="clear" w:color="auto" w:fill="auto"/>
            <w:noWrap/>
            <w:tcMar>
              <w:top w:w="15" w:type="dxa"/>
              <w:left w:w="15" w:type="dxa"/>
              <w:right w:w="15" w:type="dxa"/>
            </w:tcMar>
            <w:vAlign w:val="bottom"/>
          </w:tcPr>
          <w:p w14:paraId="3D54CD1A">
            <w:pPr>
              <w:jc w:val="both"/>
              <w:rPr>
                <w:rFonts w:hint="eastAsia" w:ascii="方正仿宋_GBK" w:hAnsi="方正仿宋_GBK" w:eastAsia="方正仿宋_GBK" w:cs="方正仿宋_GBK"/>
                <w:color w:val="000000"/>
                <w:sz w:val="20"/>
                <w:szCs w:val="20"/>
              </w:rPr>
            </w:pPr>
          </w:p>
        </w:tc>
        <w:tc>
          <w:tcPr>
            <w:tcW w:w="1114" w:type="pct"/>
            <w:tcBorders>
              <w:top w:val="nil"/>
              <w:left w:val="nil"/>
              <w:bottom w:val="nil"/>
              <w:right w:val="nil"/>
            </w:tcBorders>
            <w:shd w:val="clear" w:color="auto" w:fill="auto"/>
            <w:noWrap/>
            <w:tcMar>
              <w:top w:w="15" w:type="dxa"/>
              <w:left w:w="15" w:type="dxa"/>
              <w:right w:w="15" w:type="dxa"/>
            </w:tcMar>
            <w:vAlign w:val="bottom"/>
          </w:tcPr>
          <w:p w14:paraId="593FFA9F">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公开08表</w:t>
            </w:r>
          </w:p>
        </w:tc>
      </w:tr>
      <w:tr w14:paraId="7CFAA2C5">
        <w:tblPrEx>
          <w:tblCellMar>
            <w:top w:w="0" w:type="dxa"/>
            <w:left w:w="0" w:type="dxa"/>
            <w:bottom w:w="0" w:type="dxa"/>
            <w:right w:w="0" w:type="dxa"/>
          </w:tblCellMar>
        </w:tblPrEx>
        <w:trPr>
          <w:trHeight w:val="332" w:hRule="atLeast"/>
        </w:trPr>
        <w:tc>
          <w:tcPr>
            <w:tcW w:w="2666" w:type="pct"/>
            <w:gridSpan w:val="3"/>
            <w:vMerge w:val="continue"/>
            <w:tcBorders>
              <w:left w:val="nil"/>
              <w:bottom w:val="single" w:color="auto" w:sz="4" w:space="0"/>
              <w:right w:val="nil"/>
            </w:tcBorders>
            <w:shd w:val="clear" w:color="auto" w:fill="auto"/>
            <w:noWrap/>
            <w:tcMar>
              <w:top w:w="15" w:type="dxa"/>
              <w:left w:w="15" w:type="dxa"/>
              <w:right w:w="15" w:type="dxa"/>
            </w:tcMar>
            <w:vAlign w:val="bottom"/>
          </w:tcPr>
          <w:p w14:paraId="2216451D">
            <w:pPr>
              <w:jc w:val="both"/>
              <w:rPr>
                <w:rFonts w:hint="eastAsia" w:ascii="方正仿宋_GBK" w:hAnsi="方正仿宋_GBK" w:eastAsia="方正仿宋_GBK" w:cs="方正仿宋_GBK"/>
                <w:color w:val="000000"/>
                <w:sz w:val="20"/>
                <w:szCs w:val="20"/>
              </w:rPr>
            </w:pPr>
          </w:p>
        </w:tc>
        <w:tc>
          <w:tcPr>
            <w:tcW w:w="1218" w:type="pct"/>
            <w:gridSpan w:val="3"/>
            <w:tcBorders>
              <w:top w:val="nil"/>
              <w:left w:val="nil"/>
              <w:bottom w:val="single" w:color="auto" w:sz="4" w:space="0"/>
              <w:right w:val="nil"/>
            </w:tcBorders>
            <w:shd w:val="clear" w:color="auto" w:fill="auto"/>
            <w:noWrap/>
            <w:tcMar>
              <w:top w:w="15" w:type="dxa"/>
              <w:left w:w="15" w:type="dxa"/>
              <w:right w:w="15" w:type="dxa"/>
            </w:tcMar>
            <w:vAlign w:val="bottom"/>
          </w:tcPr>
          <w:p w14:paraId="3AB5F807">
            <w:pPr>
              <w:jc w:val="both"/>
              <w:rPr>
                <w:rFonts w:hint="eastAsia" w:ascii="方正仿宋_GBK" w:hAnsi="方正仿宋_GBK" w:eastAsia="方正仿宋_GBK" w:cs="方正仿宋_GBK"/>
                <w:color w:val="000000"/>
                <w:sz w:val="20"/>
                <w:szCs w:val="20"/>
              </w:rPr>
            </w:pPr>
          </w:p>
        </w:tc>
        <w:tc>
          <w:tcPr>
            <w:tcW w:w="1114" w:type="pct"/>
            <w:tcBorders>
              <w:top w:val="nil"/>
              <w:left w:val="nil"/>
              <w:bottom w:val="single" w:color="auto" w:sz="4" w:space="0"/>
              <w:right w:val="nil"/>
            </w:tcBorders>
            <w:shd w:val="clear" w:color="auto" w:fill="auto"/>
            <w:noWrap/>
            <w:tcMar>
              <w:top w:w="15" w:type="dxa"/>
              <w:left w:w="15" w:type="dxa"/>
              <w:right w:w="15" w:type="dxa"/>
            </w:tcMar>
            <w:vAlign w:val="bottom"/>
          </w:tcPr>
          <w:p w14:paraId="1BAA76D9">
            <w:pPr>
              <w:jc w:val="both"/>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492E3354">
        <w:tblPrEx>
          <w:tblCellMar>
            <w:top w:w="0" w:type="dxa"/>
            <w:left w:w="0" w:type="dxa"/>
            <w:bottom w:w="0" w:type="dxa"/>
            <w:right w:w="0" w:type="dxa"/>
          </w:tblCellMar>
        </w:tblPrEx>
        <w:trPr>
          <w:trHeight w:val="422" w:hRule="atLeast"/>
        </w:trPr>
        <w:tc>
          <w:tcPr>
            <w:tcW w:w="1602" w:type="pct"/>
            <w:gridSpan w:val="2"/>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bottom"/>
          </w:tcPr>
          <w:p w14:paraId="501F01A1">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3397" w:type="pct"/>
            <w:gridSpan w:val="5"/>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bottom"/>
          </w:tcPr>
          <w:p w14:paraId="531440D3">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435DEE54">
        <w:tblPrEx>
          <w:tblCellMar>
            <w:top w:w="0" w:type="dxa"/>
            <w:left w:w="0" w:type="dxa"/>
            <w:bottom w:w="0" w:type="dxa"/>
            <w:right w:w="0" w:type="dxa"/>
          </w:tblCellMar>
        </w:tblPrEx>
        <w:trPr>
          <w:trHeight w:val="339" w:hRule="atLeast"/>
        </w:trPr>
        <w:tc>
          <w:tcPr>
            <w:tcW w:w="606"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9589CF7">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995"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5023B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科目名称</w:t>
            </w:r>
          </w:p>
        </w:tc>
        <w:tc>
          <w:tcPr>
            <w:tcW w:w="1129"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A960C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128" w:type="pc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C7BC25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139"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748678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5E3760EB">
        <w:tblPrEx>
          <w:tblCellMar>
            <w:top w:w="0" w:type="dxa"/>
            <w:left w:w="0" w:type="dxa"/>
            <w:bottom w:w="0" w:type="dxa"/>
            <w:right w:w="0" w:type="dxa"/>
          </w:tblCellMar>
        </w:tblPrEx>
        <w:trPr>
          <w:trHeight w:val="90" w:hRule="atLeast"/>
        </w:trPr>
        <w:tc>
          <w:tcPr>
            <w:tcW w:w="1602"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B50CB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129"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73DEE5">
            <w:pPr>
              <w:wordWrap/>
              <w:jc w:val="center"/>
              <w:textAlignment w:val="center"/>
              <w:rPr>
                <w:rFonts w:hint="eastAsia" w:ascii="方正仿宋_GBK" w:hAnsi="方正仿宋_GBK" w:eastAsia="方正仿宋_GBK" w:cs="方正仿宋_GBK"/>
                <w:b/>
                <w:color w:val="000000"/>
                <w:sz w:val="20"/>
                <w:szCs w:val="20"/>
              </w:rPr>
            </w:pPr>
          </w:p>
        </w:tc>
        <w:tc>
          <w:tcPr>
            <w:tcW w:w="11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B3FE26">
            <w:pPr>
              <w:jc w:val="center"/>
              <w:rPr>
                <w:rFonts w:hint="eastAsia" w:ascii="方正仿宋_GBK" w:hAnsi="方正仿宋_GBK" w:eastAsia="方正仿宋_GBK" w:cs="方正仿宋_GBK"/>
                <w:b/>
                <w:color w:val="000000"/>
                <w:sz w:val="20"/>
                <w:szCs w:val="20"/>
              </w:rPr>
            </w:pPr>
          </w:p>
        </w:tc>
        <w:tc>
          <w:tcPr>
            <w:tcW w:w="1139"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4BD32D">
            <w:pPr>
              <w:wordWrap/>
              <w:jc w:val="center"/>
              <w:textAlignment w:val="center"/>
              <w:rPr>
                <w:rFonts w:hint="eastAsia" w:ascii="方正仿宋_GBK" w:hAnsi="方正仿宋_GBK" w:eastAsia="方正仿宋_GBK" w:cs="方正仿宋_GBK"/>
                <w:b/>
                <w:color w:val="000000"/>
                <w:sz w:val="20"/>
                <w:szCs w:val="20"/>
              </w:rPr>
            </w:pPr>
          </w:p>
        </w:tc>
      </w:tr>
    </w:tbl>
    <w:p w14:paraId="3843FC7A">
      <w:pPr>
        <w:jc w:val="both"/>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0"/>
          <w:szCs w:val="20"/>
        </w:rPr>
        <w:t>备注：本表反映部门本年度国有资本经营预算财政拨款支出情况。本部门无国有资本经营收支，故本表无数据。</w:t>
      </w:r>
    </w:p>
    <w:tbl>
      <w:tblPr>
        <w:tblStyle w:val="7"/>
        <w:tblW w:w="4850" w:type="pct"/>
        <w:tblInd w:w="0" w:type="dxa"/>
        <w:tblLayout w:type="fixed"/>
        <w:tblCellMar>
          <w:top w:w="0" w:type="dxa"/>
          <w:left w:w="170" w:type="dxa"/>
          <w:bottom w:w="0" w:type="dxa"/>
          <w:right w:w="170" w:type="dxa"/>
        </w:tblCellMar>
      </w:tblPr>
      <w:tblGrid>
        <w:gridCol w:w="3655"/>
        <w:gridCol w:w="1959"/>
        <w:gridCol w:w="1911"/>
        <w:gridCol w:w="4092"/>
        <w:gridCol w:w="1951"/>
      </w:tblGrid>
      <w:tr w14:paraId="4F5CAF2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2A21E58">
            <w:pPr>
              <w:spacing w:line="400" w:lineRule="exact"/>
              <w:jc w:val="center"/>
              <w:textAlignment w:val="bottom"/>
              <w:rPr>
                <w:rFonts w:hint="eastAsia" w:ascii="方正仿宋_GBK" w:hAnsi="方正仿宋_GBK" w:eastAsia="方正仿宋_GBK" w:cs="方正仿宋_GBK"/>
                <w:b/>
                <w:color w:val="000000"/>
                <w:kern w:val="2"/>
                <w:sz w:val="32"/>
                <w:szCs w:val="32"/>
              </w:rPr>
            </w:pPr>
            <w:r>
              <w:rPr>
                <w:rFonts w:hint="eastAsia" w:ascii="方正小标宋_GBK" w:hAnsi="方正小标宋_GBK" w:eastAsia="方正小标宋_GBK" w:cs="方正小标宋_GBK"/>
                <w:b w:val="0"/>
                <w:bCs/>
                <w:color w:val="000000"/>
                <w:kern w:val="2"/>
                <w:sz w:val="32"/>
                <w:szCs w:val="32"/>
              </w:rPr>
              <w:t>机构运行信息表</w:t>
            </w:r>
          </w:p>
        </w:tc>
      </w:tr>
      <w:tr w14:paraId="6145EF02">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14:paraId="5A922494">
            <w:pPr>
              <w:spacing w:line="280" w:lineRule="exact"/>
              <w:jc w:val="both"/>
              <w:rPr>
                <w:rFonts w:hint="eastAsia" w:ascii="方正仿宋_GBK" w:hAnsi="方正仿宋_GBK" w:eastAsia="方正仿宋_GBK" w:cs="方正仿宋_GBK"/>
                <w:color w:val="000000"/>
                <w:kern w:val="2"/>
                <w:sz w:val="20"/>
                <w:szCs w:val="20"/>
              </w:rPr>
            </w:pPr>
          </w:p>
        </w:tc>
        <w:tc>
          <w:tcPr>
            <w:tcW w:w="722" w:type="pct"/>
            <w:shd w:val="clear" w:color="auto" w:fill="auto"/>
            <w:noWrap/>
            <w:tcMar>
              <w:top w:w="15" w:type="dxa"/>
              <w:left w:w="15" w:type="dxa"/>
              <w:right w:w="15" w:type="dxa"/>
            </w:tcMar>
            <w:vAlign w:val="bottom"/>
          </w:tcPr>
          <w:p w14:paraId="493A02AB">
            <w:pPr>
              <w:spacing w:line="280" w:lineRule="exact"/>
              <w:jc w:val="both"/>
              <w:rPr>
                <w:rFonts w:hint="eastAsia" w:ascii="方正仿宋_GBK" w:hAnsi="方正仿宋_GBK" w:eastAsia="方正仿宋_GBK" w:cs="方正仿宋_GBK"/>
                <w:color w:val="000000"/>
                <w:kern w:val="2"/>
                <w:sz w:val="20"/>
                <w:szCs w:val="20"/>
              </w:rPr>
            </w:pPr>
          </w:p>
        </w:tc>
        <w:tc>
          <w:tcPr>
            <w:tcW w:w="704" w:type="pct"/>
            <w:shd w:val="clear" w:color="auto" w:fill="auto"/>
            <w:noWrap/>
            <w:tcMar>
              <w:top w:w="15" w:type="dxa"/>
              <w:left w:w="15" w:type="dxa"/>
              <w:right w:w="15" w:type="dxa"/>
            </w:tcMar>
            <w:vAlign w:val="bottom"/>
          </w:tcPr>
          <w:p w14:paraId="03F683C5">
            <w:pPr>
              <w:spacing w:line="280" w:lineRule="exact"/>
              <w:jc w:val="both"/>
              <w:rPr>
                <w:rFonts w:hint="eastAsia" w:ascii="方正仿宋_GBK" w:hAnsi="方正仿宋_GBK" w:eastAsia="方正仿宋_GBK" w:cs="方正仿宋_GBK"/>
                <w:color w:val="000000"/>
                <w:kern w:val="2"/>
                <w:sz w:val="20"/>
                <w:szCs w:val="20"/>
              </w:rPr>
            </w:pPr>
          </w:p>
        </w:tc>
        <w:tc>
          <w:tcPr>
            <w:tcW w:w="1508" w:type="pct"/>
            <w:shd w:val="clear" w:color="auto" w:fill="auto"/>
            <w:noWrap/>
            <w:tcMar>
              <w:top w:w="15" w:type="dxa"/>
              <w:left w:w="15" w:type="dxa"/>
              <w:right w:w="15" w:type="dxa"/>
            </w:tcMar>
            <w:vAlign w:val="bottom"/>
          </w:tcPr>
          <w:p w14:paraId="14C7E5D2">
            <w:pPr>
              <w:spacing w:line="280" w:lineRule="exact"/>
              <w:jc w:val="both"/>
              <w:rPr>
                <w:rFonts w:hint="eastAsia" w:ascii="方正仿宋_GBK" w:hAnsi="方正仿宋_GBK" w:eastAsia="方正仿宋_GBK" w:cs="方正仿宋_GBK"/>
                <w:color w:val="000000"/>
                <w:kern w:val="2"/>
                <w:sz w:val="20"/>
                <w:szCs w:val="20"/>
              </w:rPr>
            </w:pPr>
          </w:p>
        </w:tc>
        <w:tc>
          <w:tcPr>
            <w:tcW w:w="719" w:type="pct"/>
            <w:shd w:val="clear" w:color="auto" w:fill="auto"/>
            <w:noWrap/>
            <w:tcMar>
              <w:top w:w="15" w:type="dxa"/>
              <w:left w:w="15" w:type="dxa"/>
              <w:right w:w="15" w:type="dxa"/>
            </w:tcMar>
            <w:vAlign w:val="bottom"/>
          </w:tcPr>
          <w:p w14:paraId="67CB7F9D">
            <w:pPr>
              <w:spacing w:line="280" w:lineRule="exact"/>
              <w:jc w:val="both"/>
              <w:textAlignment w:val="bottom"/>
              <w:rPr>
                <w:rFonts w:hint="eastAsia" w:ascii="方正仿宋_GBK" w:hAnsi="方正仿宋_GBK" w:eastAsia="方正仿宋_GBK" w:cs="方正仿宋_GBK"/>
                <w:color w:val="000000"/>
                <w:kern w:val="2"/>
                <w:sz w:val="20"/>
                <w:szCs w:val="20"/>
              </w:rPr>
            </w:pPr>
            <w:r>
              <w:rPr>
                <w:rFonts w:hint="eastAsia" w:ascii="方正仿宋_GBK" w:hAnsi="方正仿宋_GBK" w:eastAsia="方正仿宋_GBK" w:cs="方正仿宋_GBK"/>
                <w:color w:val="000000"/>
                <w:kern w:val="2"/>
                <w:sz w:val="20"/>
                <w:szCs w:val="20"/>
              </w:rPr>
              <w:t>公开09表</w:t>
            </w:r>
          </w:p>
        </w:tc>
      </w:tr>
      <w:tr w14:paraId="7EB726F2">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3902C10">
            <w:pPr>
              <w:spacing w:line="280" w:lineRule="exact"/>
              <w:jc w:val="both"/>
              <w:rPr>
                <w:rFonts w:hint="eastAsia" w:ascii="方正仿宋_GBK" w:hAnsi="方正仿宋_GBK" w:eastAsia="方正仿宋_GBK" w:cs="方正仿宋_GBK"/>
                <w:color w:val="000000"/>
                <w:kern w:val="2"/>
                <w:sz w:val="20"/>
                <w:szCs w:val="20"/>
              </w:rPr>
            </w:pPr>
            <w:r>
              <w:rPr>
                <w:rFonts w:hint="eastAsia" w:ascii="方正仿宋_GBK" w:hAnsi="方正仿宋_GBK" w:eastAsia="方正仿宋_GBK" w:cs="方正仿宋_GBK"/>
                <w:kern w:val="2"/>
                <w:sz w:val="20"/>
                <w:szCs w:val="20"/>
              </w:rPr>
              <w:t>公开部门</w:t>
            </w:r>
            <w:r>
              <w:rPr>
                <w:rFonts w:hint="eastAsia" w:ascii="方正仿宋_GBK" w:hAnsi="方正仿宋_GBK" w:eastAsia="方正仿宋_GBK" w:cs="方正仿宋_GBK"/>
                <w:color w:val="000000"/>
                <w:kern w:val="2"/>
                <w:sz w:val="20"/>
                <w:szCs w:val="20"/>
              </w:rPr>
              <w:t xml:space="preserve">： </w:t>
            </w:r>
            <w:r>
              <w:rPr>
                <w:rFonts w:hint="eastAsia" w:ascii="方正仿宋_GBK" w:hAnsi="方正仿宋_GBK" w:eastAsia="方正仿宋_GBK" w:cs="方正仿宋_GBK"/>
                <w:color w:val="000000"/>
                <w:sz w:val="20"/>
                <w:u w:color="auto"/>
              </w:rPr>
              <w:t>重庆市大足区政务服务管理办公室</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14:paraId="149DD555">
            <w:pPr>
              <w:spacing w:line="280" w:lineRule="exact"/>
              <w:jc w:val="both"/>
              <w:rPr>
                <w:rFonts w:hint="eastAsia" w:ascii="方正仿宋_GBK" w:hAnsi="方正仿宋_GBK" w:eastAsia="方正仿宋_GBK" w:cs="方正仿宋_GBK"/>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1A1879C4">
            <w:pPr>
              <w:spacing w:line="280" w:lineRule="exact"/>
              <w:jc w:val="both"/>
              <w:rPr>
                <w:rFonts w:hint="eastAsia" w:ascii="方正仿宋_GBK" w:hAnsi="方正仿宋_GBK" w:eastAsia="方正仿宋_GBK" w:cs="方正仿宋_GBK"/>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14:paraId="6F74A194">
            <w:pPr>
              <w:spacing w:line="280" w:lineRule="exact"/>
              <w:jc w:val="both"/>
              <w:textAlignment w:val="bottom"/>
              <w:rPr>
                <w:rFonts w:hint="eastAsia" w:ascii="方正仿宋_GBK" w:hAnsi="方正仿宋_GBK" w:eastAsia="方正仿宋_GBK" w:cs="方正仿宋_GBK"/>
                <w:color w:val="000000"/>
                <w:kern w:val="2"/>
                <w:sz w:val="20"/>
                <w:szCs w:val="20"/>
              </w:rPr>
            </w:pPr>
            <w:r>
              <w:rPr>
                <w:rFonts w:hint="eastAsia" w:ascii="方正仿宋_GBK" w:hAnsi="方正仿宋_GBK" w:eastAsia="方正仿宋_GBK" w:cs="方正仿宋_GBK"/>
                <w:color w:val="000000"/>
                <w:kern w:val="2"/>
                <w:sz w:val="20"/>
                <w:szCs w:val="20"/>
              </w:rPr>
              <w:t>单位：</w:t>
            </w:r>
            <w:r>
              <w:rPr>
                <w:rFonts w:hint="eastAsia" w:ascii="方正仿宋_GBK" w:hAnsi="方正仿宋_GBK" w:eastAsia="方正仿宋_GBK" w:cs="方正仿宋_GBK"/>
                <w:kern w:val="2"/>
                <w:sz w:val="20"/>
                <w:szCs w:val="20"/>
              </w:rPr>
              <w:t>万元</w:t>
            </w:r>
          </w:p>
        </w:tc>
      </w:tr>
      <w:tr w14:paraId="23BF78A5">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B18502C">
            <w:pPr>
              <w:spacing w:line="20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3E2BB6">
            <w:pPr>
              <w:spacing w:line="20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59B93C3">
            <w:pPr>
              <w:spacing w:line="20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34D601E">
            <w:pPr>
              <w:spacing w:line="20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B9CBA5">
            <w:pPr>
              <w:spacing w:line="200" w:lineRule="exact"/>
              <w:jc w:val="center"/>
              <w:textAlignment w:val="center"/>
              <w:rPr>
                <w:rFonts w:hint="eastAsia" w:ascii="方正仿宋_GBK" w:hAnsi="方正仿宋_GBK" w:eastAsia="方正仿宋_GBK" w:cs="方正仿宋_GBK"/>
                <w:b/>
                <w:color w:val="000000"/>
                <w:kern w:val="2"/>
                <w:sz w:val="16"/>
                <w:szCs w:val="16"/>
              </w:rPr>
            </w:pPr>
            <w:r>
              <w:rPr>
                <w:rFonts w:hint="eastAsia" w:ascii="方正仿宋_GBK" w:hAnsi="方正仿宋_GBK" w:eastAsia="方正仿宋_GBK" w:cs="方正仿宋_GBK"/>
                <w:b/>
                <w:color w:val="000000"/>
                <w:kern w:val="2"/>
                <w:sz w:val="16"/>
                <w:szCs w:val="16"/>
              </w:rPr>
              <w:t>决算数</w:t>
            </w:r>
          </w:p>
        </w:tc>
      </w:tr>
      <w:tr w14:paraId="7CE81AEE">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965133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4250D8">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2E49C6">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520FFB">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14D8C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48.16</w:t>
            </w:r>
            <w:r>
              <w:rPr>
                <w:rFonts w:hint="eastAsia" w:ascii="方正仿宋_GBK" w:hAnsi="方正仿宋_GBK" w:eastAsia="方正仿宋_GBK" w:cs="方正仿宋_GBK"/>
                <w:color w:val="000000"/>
                <w:sz w:val="16"/>
                <w:u w:color="auto"/>
              </w:rPr>
              <w:t xml:space="preserve"> </w:t>
            </w:r>
          </w:p>
        </w:tc>
      </w:tr>
      <w:tr w14:paraId="0DE0DC1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6FC3F7A">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D1EB3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4.54</w:t>
            </w:r>
            <w:r>
              <w:rPr>
                <w:rFonts w:hint="eastAsia" w:ascii="方正仿宋_GBK" w:hAnsi="方正仿宋_GBK" w:eastAsia="方正仿宋_GBK" w:cs="方正仿宋_GBK"/>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09F2BF">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4.54</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4003681">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AB6C0E">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48.16</w:t>
            </w:r>
            <w:r>
              <w:rPr>
                <w:rFonts w:hint="eastAsia" w:ascii="方正仿宋_GBK" w:hAnsi="方正仿宋_GBK" w:eastAsia="方正仿宋_GBK" w:cs="方正仿宋_GBK"/>
                <w:color w:val="000000"/>
                <w:sz w:val="16"/>
                <w:u w:color="auto"/>
              </w:rPr>
              <w:t xml:space="preserve"> </w:t>
            </w:r>
          </w:p>
        </w:tc>
      </w:tr>
      <w:tr w14:paraId="1A8E490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DD4DD8">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95345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BF1FC">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31F369F">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0BEB8F1">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5D1026F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BCC8A9">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4EF4E5">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2.97</w:t>
            </w:r>
            <w:r>
              <w:rPr>
                <w:rFonts w:hint="eastAsia" w:ascii="方正仿宋_GBK" w:hAnsi="方正仿宋_GBK" w:eastAsia="方正仿宋_GBK" w:cs="方正仿宋_GBK"/>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59A0A1">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2.97</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DC65BEC">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C85454">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r>
      <w:tr w14:paraId="4631B84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A521BC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AB993">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25B505">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69B534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D30FE">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1</w:t>
            </w:r>
            <w:r>
              <w:rPr>
                <w:rFonts w:hint="eastAsia" w:ascii="方正仿宋_GBK" w:hAnsi="方正仿宋_GBK" w:eastAsia="方正仿宋_GBK" w:cs="方正仿宋_GBK"/>
                <w:color w:val="000000"/>
                <w:sz w:val="16"/>
                <w:u w:color="auto"/>
              </w:rPr>
              <w:t xml:space="preserve">   </w:t>
            </w:r>
          </w:p>
        </w:tc>
      </w:tr>
      <w:tr w14:paraId="6A83F4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8787FA3">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2FB90">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2.97</w:t>
            </w:r>
            <w:r>
              <w:rPr>
                <w:rFonts w:hint="eastAsia" w:ascii="方正仿宋_GBK" w:hAnsi="方正仿宋_GBK" w:eastAsia="方正仿宋_GBK" w:cs="方正仿宋_GBK"/>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622947">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2.97</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F95A66">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ABD012">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3D4EE98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50CA8CD">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49EF76">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1.57</w:t>
            </w:r>
            <w:r>
              <w:rPr>
                <w:rFonts w:hint="eastAsia" w:ascii="方正仿宋_GBK" w:hAnsi="方正仿宋_GBK" w:eastAsia="方正仿宋_GBK" w:cs="方正仿宋_GBK"/>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EBFB3C">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1.57</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0E8AA3">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36A006">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799523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FD3A905">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88716">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F8F8F5">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1.57</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A2D211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91A834">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787F25D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E511F1">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6DD4DB">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487B3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B96F17B">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DFB269">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1</w:t>
            </w:r>
            <w:r>
              <w:rPr>
                <w:rFonts w:hint="eastAsia" w:ascii="方正仿宋_GBK" w:hAnsi="方正仿宋_GBK" w:eastAsia="方正仿宋_GBK" w:cs="方正仿宋_GBK"/>
                <w:color w:val="000000"/>
                <w:sz w:val="16"/>
                <w:u w:color="auto"/>
              </w:rPr>
              <w:t xml:space="preserve"> </w:t>
            </w:r>
          </w:p>
        </w:tc>
      </w:tr>
      <w:tr w14:paraId="24529E4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8D5EAF">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0644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1351F0D">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3FD1185">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A6072">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656426F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61DC65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99C185">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A9C2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8D6212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87830">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5B54498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04A488C">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D5843">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93184B">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7FBA313">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EB75F2">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501253C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A48F56B">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8832D">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2EF6D1F">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8506068">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916CE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27FAC01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8EC87D9">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A185CE">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E6FC474">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6DC6E3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BC59B9">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454463B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057C8B7">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6149C7">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3C5FDF0">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1</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E8323CE">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B78D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r>
      <w:tr w14:paraId="1384873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FD3153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F8AFC9">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6549D78">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40</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5C4696B">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CFBEC3">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83.78</w:t>
            </w:r>
            <w:r>
              <w:rPr>
                <w:rFonts w:hint="eastAsia" w:ascii="方正仿宋_GBK" w:hAnsi="方正仿宋_GBK" w:eastAsia="方正仿宋_GBK" w:cs="方正仿宋_GBK"/>
                <w:color w:val="000000"/>
                <w:sz w:val="16"/>
                <w:u w:color="auto"/>
              </w:rPr>
              <w:t xml:space="preserve"> </w:t>
            </w:r>
          </w:p>
        </w:tc>
      </w:tr>
      <w:tr w14:paraId="097F9C3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4441CE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0A4088">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0645976">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B2254C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8D5D89">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83.78</w:t>
            </w:r>
            <w:r>
              <w:rPr>
                <w:rFonts w:hint="eastAsia" w:ascii="方正仿宋_GBK" w:hAnsi="方正仿宋_GBK" w:eastAsia="方正仿宋_GBK" w:cs="方正仿宋_GBK"/>
                <w:color w:val="000000"/>
                <w:sz w:val="16"/>
                <w:u w:color="auto"/>
              </w:rPr>
              <w:t xml:space="preserve"> </w:t>
            </w:r>
          </w:p>
        </w:tc>
      </w:tr>
      <w:tr w14:paraId="7E1DB2E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574F840">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ED09D5">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AAF79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320</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89022F">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D5020E">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09673C1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9A481A7">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2F0AD8">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21E397">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C547A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1BA941">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r>
      <w:tr w14:paraId="0D6142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76FD87E">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262E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BEBB54E">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2D77089">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364F5D">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83.78</w:t>
            </w:r>
            <w:r>
              <w:rPr>
                <w:rFonts w:hint="eastAsia" w:ascii="方正仿宋_GBK" w:hAnsi="方正仿宋_GBK" w:eastAsia="方正仿宋_GBK" w:cs="方正仿宋_GBK"/>
                <w:color w:val="000000"/>
                <w:sz w:val="16"/>
                <w:u w:color="auto"/>
              </w:rPr>
              <w:t xml:space="preserve"> </w:t>
            </w:r>
          </w:p>
        </w:tc>
      </w:tr>
      <w:tr w14:paraId="54CD8C7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7677AC">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B79C7">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8531B0">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F87CBAD">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0B709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83.78</w:t>
            </w:r>
            <w:r>
              <w:rPr>
                <w:rFonts w:hint="eastAsia" w:ascii="方正仿宋_GBK" w:hAnsi="方正仿宋_GBK" w:eastAsia="方正仿宋_GBK" w:cs="方正仿宋_GBK"/>
                <w:color w:val="000000"/>
                <w:sz w:val="16"/>
                <w:u w:color="auto"/>
              </w:rPr>
              <w:t xml:space="preserve"> </w:t>
            </w:r>
          </w:p>
        </w:tc>
      </w:tr>
      <w:tr w14:paraId="6EE92443">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DD264C">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F8825">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E76F1F">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0.27</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E42AF39">
            <w:pPr>
              <w:spacing w:line="200" w:lineRule="exact"/>
              <w:jc w:val="both"/>
              <w:rPr>
                <w:rFonts w:hint="eastAsia" w:ascii="方正仿宋_GBK" w:hAnsi="方正仿宋_GBK" w:eastAsia="方正仿宋_GBK" w:cs="方正仿宋_GBK"/>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FBB6F">
            <w:pPr>
              <w:spacing w:line="200" w:lineRule="exact"/>
              <w:jc w:val="both"/>
              <w:rPr>
                <w:rFonts w:hint="eastAsia" w:ascii="方正仿宋_GBK" w:hAnsi="方正仿宋_GBK" w:eastAsia="方正仿宋_GBK" w:cs="方正仿宋_GBK"/>
                <w:color w:val="000000"/>
                <w:kern w:val="2"/>
                <w:sz w:val="16"/>
                <w:szCs w:val="16"/>
              </w:rPr>
            </w:pPr>
          </w:p>
        </w:tc>
      </w:tr>
      <w:tr w14:paraId="4F8D6955">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73A9E0B">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E18BA2">
            <w:pPr>
              <w:spacing w:line="200" w:lineRule="exact"/>
              <w:jc w:val="both"/>
              <w:textAlignment w:val="center"/>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16FD9A">
            <w:pPr>
              <w:spacing w:line="200" w:lineRule="exact"/>
              <w:jc w:val="both"/>
              <w:textAlignment w:val="bottom"/>
              <w:rPr>
                <w:rFonts w:hint="eastAsia" w:ascii="方正仿宋_GBK" w:hAnsi="方正仿宋_GBK" w:eastAsia="方正仿宋_GBK" w:cs="方正仿宋_GBK"/>
                <w:color w:val="000000"/>
                <w:kern w:val="2"/>
                <w:sz w:val="16"/>
                <w:szCs w:val="16"/>
              </w:rPr>
            </w:pPr>
            <w:r>
              <w:rPr>
                <w:rFonts w:hint="eastAsia" w:ascii="方正仿宋_GBK" w:hAnsi="方正仿宋_GBK" w:eastAsia="方正仿宋_GBK" w:cs="方正仿宋_GBK"/>
                <w:color w:val="000000"/>
                <w:kern w:val="2"/>
                <w:sz w:val="16"/>
                <w:szCs w:val="16"/>
              </w:rPr>
              <w:t>2.92</w:t>
            </w:r>
            <w:r>
              <w:rPr>
                <w:rFonts w:hint="eastAsia" w:ascii="方正仿宋_GBK" w:hAnsi="方正仿宋_GBK" w:eastAsia="方正仿宋_GBK" w:cs="方正仿宋_GBK"/>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BCF703B">
            <w:pPr>
              <w:spacing w:line="200" w:lineRule="exact"/>
              <w:jc w:val="both"/>
              <w:rPr>
                <w:rFonts w:hint="eastAsia" w:ascii="方正仿宋_GBK" w:hAnsi="方正仿宋_GBK" w:eastAsia="方正仿宋_GBK" w:cs="方正仿宋_GBK"/>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B0EA8">
            <w:pPr>
              <w:spacing w:line="200" w:lineRule="exact"/>
              <w:jc w:val="both"/>
              <w:rPr>
                <w:rFonts w:hint="eastAsia" w:ascii="方正仿宋_GBK" w:hAnsi="方正仿宋_GBK" w:eastAsia="方正仿宋_GBK" w:cs="方正仿宋_GBK"/>
                <w:color w:val="000000"/>
                <w:kern w:val="2"/>
                <w:sz w:val="16"/>
                <w:szCs w:val="16"/>
              </w:rPr>
            </w:pPr>
          </w:p>
        </w:tc>
      </w:tr>
    </w:tbl>
    <w:p w14:paraId="24BA17D0">
      <w:pPr>
        <w:jc w:val="both"/>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sectPr>
      <w:headerReference r:id="rId4" w:type="default"/>
      <w:footerReference r:id="rId5" w:type="default"/>
      <w:pgSz w:w="16838" w:h="11917" w:orient="landscape"/>
      <w:pgMar w:top="1803" w:right="1440" w:bottom="1803" w:left="1440" w:header="850" w:footer="992" w:gutter="0"/>
      <w:pgNumType w:fmt="decimal"/>
      <w:cols w:space="0" w:num="1"/>
      <w:rtlGutter w:val="0"/>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C2B8B">
    <w:pPr>
      <w:pStyle w:val="3"/>
      <w:rPr>
        <w:rFonts w:hint="default"/>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22947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229472">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A0E5B">
    <w:pPr>
      <w:pStyle w:val="3"/>
      <w:jc w:val="both"/>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75ED7">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BA75ED7">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03B70A95">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03B70A95">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BA0E">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20"/>
  <w:drawingGridVerticalSpacing w:val="16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2RkOGI3NjRkZDliYzRlYzBiZDQwNDNmMjViNzkifQ=="/>
  </w:docVars>
  <w:rsids>
    <w:rsidRoot w:val="00172A27"/>
    <w:rsid w:val="0009075B"/>
    <w:rsid w:val="000C01CC"/>
    <w:rsid w:val="000D7702"/>
    <w:rsid w:val="002D0E5A"/>
    <w:rsid w:val="002E5443"/>
    <w:rsid w:val="004C12FF"/>
    <w:rsid w:val="00550ABE"/>
    <w:rsid w:val="005B023C"/>
    <w:rsid w:val="006137D7"/>
    <w:rsid w:val="00634FA8"/>
    <w:rsid w:val="0063613A"/>
    <w:rsid w:val="006A6273"/>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313877"/>
    <w:rsid w:val="01474EBF"/>
    <w:rsid w:val="01560E39"/>
    <w:rsid w:val="01F3521E"/>
    <w:rsid w:val="02021905"/>
    <w:rsid w:val="02EA04F8"/>
    <w:rsid w:val="031038E3"/>
    <w:rsid w:val="03280EF8"/>
    <w:rsid w:val="03B87EA0"/>
    <w:rsid w:val="03E3214F"/>
    <w:rsid w:val="044C50BA"/>
    <w:rsid w:val="05BC6D49"/>
    <w:rsid w:val="06194FF1"/>
    <w:rsid w:val="06A2550B"/>
    <w:rsid w:val="06F80EE2"/>
    <w:rsid w:val="06FD535B"/>
    <w:rsid w:val="07001CCA"/>
    <w:rsid w:val="075678DB"/>
    <w:rsid w:val="079D7CC7"/>
    <w:rsid w:val="08051BCA"/>
    <w:rsid w:val="086C12F4"/>
    <w:rsid w:val="08A16908"/>
    <w:rsid w:val="08BA052C"/>
    <w:rsid w:val="08DB07BA"/>
    <w:rsid w:val="092F6E09"/>
    <w:rsid w:val="0969353F"/>
    <w:rsid w:val="098305D0"/>
    <w:rsid w:val="098A0877"/>
    <w:rsid w:val="09DE2F9A"/>
    <w:rsid w:val="0A5C4B69"/>
    <w:rsid w:val="0A86124A"/>
    <w:rsid w:val="0AB54CC0"/>
    <w:rsid w:val="0B6F68E9"/>
    <w:rsid w:val="0B9335CE"/>
    <w:rsid w:val="0B9F1F73"/>
    <w:rsid w:val="0C063DA0"/>
    <w:rsid w:val="0C3952B8"/>
    <w:rsid w:val="0C7358DA"/>
    <w:rsid w:val="0C7927C4"/>
    <w:rsid w:val="0C8A3A8B"/>
    <w:rsid w:val="0C9B098C"/>
    <w:rsid w:val="0CBE467B"/>
    <w:rsid w:val="0D673E11"/>
    <w:rsid w:val="0D8878FE"/>
    <w:rsid w:val="0DDA54E4"/>
    <w:rsid w:val="0E3A5F83"/>
    <w:rsid w:val="0E74421A"/>
    <w:rsid w:val="0EC95C12"/>
    <w:rsid w:val="0EE628AF"/>
    <w:rsid w:val="0F836721"/>
    <w:rsid w:val="0FA25D96"/>
    <w:rsid w:val="107B59E5"/>
    <w:rsid w:val="10B44742"/>
    <w:rsid w:val="10B959E3"/>
    <w:rsid w:val="10EC0126"/>
    <w:rsid w:val="10F70B9A"/>
    <w:rsid w:val="111445C7"/>
    <w:rsid w:val="114278C6"/>
    <w:rsid w:val="1158083A"/>
    <w:rsid w:val="11643A4B"/>
    <w:rsid w:val="11BB73DB"/>
    <w:rsid w:val="11ED0F98"/>
    <w:rsid w:val="11F03528"/>
    <w:rsid w:val="1216272A"/>
    <w:rsid w:val="12C921C4"/>
    <w:rsid w:val="12EB074C"/>
    <w:rsid w:val="134358DA"/>
    <w:rsid w:val="13871C70"/>
    <w:rsid w:val="13A71CB4"/>
    <w:rsid w:val="13AF1D43"/>
    <w:rsid w:val="13CE1647"/>
    <w:rsid w:val="13E9022F"/>
    <w:rsid w:val="13FD55AB"/>
    <w:rsid w:val="14200702"/>
    <w:rsid w:val="15007F26"/>
    <w:rsid w:val="163A6CEE"/>
    <w:rsid w:val="166167A3"/>
    <w:rsid w:val="173708E3"/>
    <w:rsid w:val="17C374FC"/>
    <w:rsid w:val="18077161"/>
    <w:rsid w:val="189079DC"/>
    <w:rsid w:val="189B0D0B"/>
    <w:rsid w:val="18B43F7C"/>
    <w:rsid w:val="18D30F86"/>
    <w:rsid w:val="194916C8"/>
    <w:rsid w:val="194A1770"/>
    <w:rsid w:val="19B906A4"/>
    <w:rsid w:val="19D454DE"/>
    <w:rsid w:val="1A824F3A"/>
    <w:rsid w:val="1B522B5E"/>
    <w:rsid w:val="1B6F15B6"/>
    <w:rsid w:val="1BAA2EDC"/>
    <w:rsid w:val="1C5C0973"/>
    <w:rsid w:val="1CA55E64"/>
    <w:rsid w:val="1CE67A02"/>
    <w:rsid w:val="1CE95678"/>
    <w:rsid w:val="1D014A01"/>
    <w:rsid w:val="1D022362"/>
    <w:rsid w:val="1D1B04B0"/>
    <w:rsid w:val="1DBD6767"/>
    <w:rsid w:val="1DC52125"/>
    <w:rsid w:val="1DD26311"/>
    <w:rsid w:val="1E374ACB"/>
    <w:rsid w:val="1E5E27E3"/>
    <w:rsid w:val="1EB311F8"/>
    <w:rsid w:val="1ECF0A66"/>
    <w:rsid w:val="1EF67CA4"/>
    <w:rsid w:val="1F020D3A"/>
    <w:rsid w:val="1F2C5189"/>
    <w:rsid w:val="1F4B0B02"/>
    <w:rsid w:val="1FBB35CD"/>
    <w:rsid w:val="1FCD26AF"/>
    <w:rsid w:val="1FD62287"/>
    <w:rsid w:val="2020322B"/>
    <w:rsid w:val="20642787"/>
    <w:rsid w:val="206A4A32"/>
    <w:rsid w:val="21171601"/>
    <w:rsid w:val="21556F04"/>
    <w:rsid w:val="22403BD3"/>
    <w:rsid w:val="23702384"/>
    <w:rsid w:val="23DA37D9"/>
    <w:rsid w:val="23EA427B"/>
    <w:rsid w:val="23F956E8"/>
    <w:rsid w:val="24007D0E"/>
    <w:rsid w:val="247252A1"/>
    <w:rsid w:val="24B92327"/>
    <w:rsid w:val="24C14514"/>
    <w:rsid w:val="24DC6BA4"/>
    <w:rsid w:val="2533755C"/>
    <w:rsid w:val="25791755"/>
    <w:rsid w:val="26396DF4"/>
    <w:rsid w:val="27167136"/>
    <w:rsid w:val="273F1FD9"/>
    <w:rsid w:val="27B23302"/>
    <w:rsid w:val="289447B6"/>
    <w:rsid w:val="29310A5F"/>
    <w:rsid w:val="297E0FC2"/>
    <w:rsid w:val="29C37A35"/>
    <w:rsid w:val="2A076083"/>
    <w:rsid w:val="2A73162E"/>
    <w:rsid w:val="2AF67119"/>
    <w:rsid w:val="2B167953"/>
    <w:rsid w:val="2B200583"/>
    <w:rsid w:val="2B8209DE"/>
    <w:rsid w:val="2BDC5269"/>
    <w:rsid w:val="2BFB4B4C"/>
    <w:rsid w:val="2C6762A3"/>
    <w:rsid w:val="2CBD0053"/>
    <w:rsid w:val="2CDD4252"/>
    <w:rsid w:val="2DC55875"/>
    <w:rsid w:val="2DCD4F31"/>
    <w:rsid w:val="2EBF7B3E"/>
    <w:rsid w:val="2EDE1934"/>
    <w:rsid w:val="2FCA4B37"/>
    <w:rsid w:val="2FE029D7"/>
    <w:rsid w:val="2FF06E00"/>
    <w:rsid w:val="30562E26"/>
    <w:rsid w:val="30586FEC"/>
    <w:rsid w:val="30A5056A"/>
    <w:rsid w:val="30BB36A6"/>
    <w:rsid w:val="30EC7046"/>
    <w:rsid w:val="315F0B22"/>
    <w:rsid w:val="319D022C"/>
    <w:rsid w:val="31C90022"/>
    <w:rsid w:val="31D84415"/>
    <w:rsid w:val="32285F6F"/>
    <w:rsid w:val="32770556"/>
    <w:rsid w:val="329C0913"/>
    <w:rsid w:val="32AA0460"/>
    <w:rsid w:val="3337290D"/>
    <w:rsid w:val="33D72290"/>
    <w:rsid w:val="33E31118"/>
    <w:rsid w:val="33EF7674"/>
    <w:rsid w:val="34145474"/>
    <w:rsid w:val="342D7BC6"/>
    <w:rsid w:val="34524986"/>
    <w:rsid w:val="34D128EE"/>
    <w:rsid w:val="34E95E89"/>
    <w:rsid w:val="352930DB"/>
    <w:rsid w:val="35573069"/>
    <w:rsid w:val="355F6038"/>
    <w:rsid w:val="358C217E"/>
    <w:rsid w:val="35937598"/>
    <w:rsid w:val="35A32FD6"/>
    <w:rsid w:val="36C9128A"/>
    <w:rsid w:val="372E3953"/>
    <w:rsid w:val="37375C91"/>
    <w:rsid w:val="37841E99"/>
    <w:rsid w:val="37BF1123"/>
    <w:rsid w:val="383C3F15"/>
    <w:rsid w:val="389B56ED"/>
    <w:rsid w:val="38BE4696"/>
    <w:rsid w:val="3939115E"/>
    <w:rsid w:val="39AD58C4"/>
    <w:rsid w:val="39B82A39"/>
    <w:rsid w:val="39C42CA8"/>
    <w:rsid w:val="39DC4FD6"/>
    <w:rsid w:val="39F03D7A"/>
    <w:rsid w:val="39F33306"/>
    <w:rsid w:val="3A2C1C67"/>
    <w:rsid w:val="3AA0633C"/>
    <w:rsid w:val="3AC4360F"/>
    <w:rsid w:val="3B1705E5"/>
    <w:rsid w:val="3B18334B"/>
    <w:rsid w:val="3B36794F"/>
    <w:rsid w:val="3B8D45DF"/>
    <w:rsid w:val="3BDE26A5"/>
    <w:rsid w:val="3C021EA5"/>
    <w:rsid w:val="3C371BD0"/>
    <w:rsid w:val="3C566AD6"/>
    <w:rsid w:val="3C6A5B02"/>
    <w:rsid w:val="3CDF69AF"/>
    <w:rsid w:val="3D2757A1"/>
    <w:rsid w:val="3D3D4FC4"/>
    <w:rsid w:val="3DDF3AB1"/>
    <w:rsid w:val="3DEC63E4"/>
    <w:rsid w:val="3E1D0952"/>
    <w:rsid w:val="3E42660A"/>
    <w:rsid w:val="3E594080"/>
    <w:rsid w:val="3E7555B1"/>
    <w:rsid w:val="3E787ED9"/>
    <w:rsid w:val="3EEC37F3"/>
    <w:rsid w:val="3F032E93"/>
    <w:rsid w:val="3F0527E5"/>
    <w:rsid w:val="3F694D83"/>
    <w:rsid w:val="3F885DCC"/>
    <w:rsid w:val="3FCD675E"/>
    <w:rsid w:val="3FE61943"/>
    <w:rsid w:val="4004000C"/>
    <w:rsid w:val="411B6CE5"/>
    <w:rsid w:val="412070D7"/>
    <w:rsid w:val="41314E40"/>
    <w:rsid w:val="41466412"/>
    <w:rsid w:val="41E0734B"/>
    <w:rsid w:val="426554D0"/>
    <w:rsid w:val="426C1EA8"/>
    <w:rsid w:val="42736402"/>
    <w:rsid w:val="42E86A87"/>
    <w:rsid w:val="43307B09"/>
    <w:rsid w:val="438D0E97"/>
    <w:rsid w:val="43BB152F"/>
    <w:rsid w:val="44C37687"/>
    <w:rsid w:val="45CB699A"/>
    <w:rsid w:val="465B470D"/>
    <w:rsid w:val="46790B9E"/>
    <w:rsid w:val="469D6AD4"/>
    <w:rsid w:val="471E6C84"/>
    <w:rsid w:val="4748792B"/>
    <w:rsid w:val="475D719D"/>
    <w:rsid w:val="47674801"/>
    <w:rsid w:val="48225EF7"/>
    <w:rsid w:val="488F422B"/>
    <w:rsid w:val="48E32D5D"/>
    <w:rsid w:val="48E36915"/>
    <w:rsid w:val="495C4A24"/>
    <w:rsid w:val="497135DF"/>
    <w:rsid w:val="4A263DF2"/>
    <w:rsid w:val="4A2F3EE7"/>
    <w:rsid w:val="4A6F6675"/>
    <w:rsid w:val="4A855D62"/>
    <w:rsid w:val="4B044DDA"/>
    <w:rsid w:val="4B0502DF"/>
    <w:rsid w:val="4B135857"/>
    <w:rsid w:val="4B7951CB"/>
    <w:rsid w:val="4B7C315C"/>
    <w:rsid w:val="4DAC4ACA"/>
    <w:rsid w:val="4DBE01D2"/>
    <w:rsid w:val="4E593845"/>
    <w:rsid w:val="4EFC6D10"/>
    <w:rsid w:val="4F0C6BA3"/>
    <w:rsid w:val="4F10477D"/>
    <w:rsid w:val="4F186D58"/>
    <w:rsid w:val="4FEA65B7"/>
    <w:rsid w:val="50F06B6E"/>
    <w:rsid w:val="51FD1443"/>
    <w:rsid w:val="52234D33"/>
    <w:rsid w:val="522F6E0C"/>
    <w:rsid w:val="52463BA1"/>
    <w:rsid w:val="528F5E6A"/>
    <w:rsid w:val="52A60954"/>
    <w:rsid w:val="52F163D4"/>
    <w:rsid w:val="5310681A"/>
    <w:rsid w:val="531A2DB4"/>
    <w:rsid w:val="533B173C"/>
    <w:rsid w:val="53C0244D"/>
    <w:rsid w:val="53DD4D4E"/>
    <w:rsid w:val="53E578CE"/>
    <w:rsid w:val="541330F0"/>
    <w:rsid w:val="54272666"/>
    <w:rsid w:val="543B029D"/>
    <w:rsid w:val="54861779"/>
    <w:rsid w:val="54CD30CC"/>
    <w:rsid w:val="552256E1"/>
    <w:rsid w:val="554E5773"/>
    <w:rsid w:val="555A3CBC"/>
    <w:rsid w:val="5582012B"/>
    <w:rsid w:val="558E4E05"/>
    <w:rsid w:val="55B6370E"/>
    <w:rsid w:val="55BE2E85"/>
    <w:rsid w:val="56530F5D"/>
    <w:rsid w:val="567700D3"/>
    <w:rsid w:val="56FF7E9E"/>
    <w:rsid w:val="578867FC"/>
    <w:rsid w:val="5842572D"/>
    <w:rsid w:val="59DB3E62"/>
    <w:rsid w:val="5A3B59D6"/>
    <w:rsid w:val="5AD134D8"/>
    <w:rsid w:val="5B3E7D97"/>
    <w:rsid w:val="5B6503B1"/>
    <w:rsid w:val="5BD870D5"/>
    <w:rsid w:val="5C263CE4"/>
    <w:rsid w:val="5C5D2777"/>
    <w:rsid w:val="5CC73353"/>
    <w:rsid w:val="5CDD2479"/>
    <w:rsid w:val="5CF66BF3"/>
    <w:rsid w:val="5D290C69"/>
    <w:rsid w:val="5DEB5F1F"/>
    <w:rsid w:val="5E9250F5"/>
    <w:rsid w:val="5EF44521"/>
    <w:rsid w:val="5F2D4A41"/>
    <w:rsid w:val="60A725D1"/>
    <w:rsid w:val="60BA58A8"/>
    <w:rsid w:val="60C74F6C"/>
    <w:rsid w:val="61025A59"/>
    <w:rsid w:val="613D5BBC"/>
    <w:rsid w:val="61536C39"/>
    <w:rsid w:val="623B58AB"/>
    <w:rsid w:val="62944DD7"/>
    <w:rsid w:val="629D5E7E"/>
    <w:rsid w:val="6319381F"/>
    <w:rsid w:val="63236436"/>
    <w:rsid w:val="63C25DC5"/>
    <w:rsid w:val="63C62057"/>
    <w:rsid w:val="644A1BF1"/>
    <w:rsid w:val="64571EF5"/>
    <w:rsid w:val="64FB113D"/>
    <w:rsid w:val="655C6080"/>
    <w:rsid w:val="656152C6"/>
    <w:rsid w:val="6587477F"/>
    <w:rsid w:val="658C3A08"/>
    <w:rsid w:val="65C031CA"/>
    <w:rsid w:val="65C92FEA"/>
    <w:rsid w:val="65CE6852"/>
    <w:rsid w:val="66267C04"/>
    <w:rsid w:val="663F505A"/>
    <w:rsid w:val="66967186"/>
    <w:rsid w:val="66EE5541"/>
    <w:rsid w:val="66F67E0E"/>
    <w:rsid w:val="67924660"/>
    <w:rsid w:val="67B657F0"/>
    <w:rsid w:val="68407834"/>
    <w:rsid w:val="6883293E"/>
    <w:rsid w:val="688412AD"/>
    <w:rsid w:val="688D352F"/>
    <w:rsid w:val="68EB1B71"/>
    <w:rsid w:val="69475C96"/>
    <w:rsid w:val="6AAD2300"/>
    <w:rsid w:val="6B474EF5"/>
    <w:rsid w:val="6BBF53FD"/>
    <w:rsid w:val="6C560CAE"/>
    <w:rsid w:val="6C576495"/>
    <w:rsid w:val="6CE64481"/>
    <w:rsid w:val="6D3671B7"/>
    <w:rsid w:val="6D903FF5"/>
    <w:rsid w:val="6DA955B8"/>
    <w:rsid w:val="6DD4077E"/>
    <w:rsid w:val="6DE346AB"/>
    <w:rsid w:val="6DE5391A"/>
    <w:rsid w:val="6E7A1325"/>
    <w:rsid w:val="6EFD1324"/>
    <w:rsid w:val="6F01171D"/>
    <w:rsid w:val="6F5A53AC"/>
    <w:rsid w:val="6FAC003D"/>
    <w:rsid w:val="6FC54822"/>
    <w:rsid w:val="6FE55E12"/>
    <w:rsid w:val="6FFB2E76"/>
    <w:rsid w:val="708F6F7F"/>
    <w:rsid w:val="7090457F"/>
    <w:rsid w:val="70D94BD3"/>
    <w:rsid w:val="718E5036"/>
    <w:rsid w:val="71C34D91"/>
    <w:rsid w:val="720936D5"/>
    <w:rsid w:val="72DB435C"/>
    <w:rsid w:val="72E2613A"/>
    <w:rsid w:val="72F771F4"/>
    <w:rsid w:val="736650B0"/>
    <w:rsid w:val="73934AD2"/>
    <w:rsid w:val="74AD7B60"/>
    <w:rsid w:val="750837F0"/>
    <w:rsid w:val="754758CF"/>
    <w:rsid w:val="763206B8"/>
    <w:rsid w:val="764F62AB"/>
    <w:rsid w:val="765C45EC"/>
    <w:rsid w:val="767064F2"/>
    <w:rsid w:val="768A7619"/>
    <w:rsid w:val="76E74F60"/>
    <w:rsid w:val="772E1EBA"/>
    <w:rsid w:val="77EB79F7"/>
    <w:rsid w:val="796D60A4"/>
    <w:rsid w:val="79A031D5"/>
    <w:rsid w:val="7A1525F7"/>
    <w:rsid w:val="7A993117"/>
    <w:rsid w:val="7B2B1D58"/>
    <w:rsid w:val="7B420052"/>
    <w:rsid w:val="7B641393"/>
    <w:rsid w:val="7B861484"/>
    <w:rsid w:val="7BD06A28"/>
    <w:rsid w:val="7C3A7C0B"/>
    <w:rsid w:val="7C5248E4"/>
    <w:rsid w:val="7C566698"/>
    <w:rsid w:val="7C5866A3"/>
    <w:rsid w:val="7C934A24"/>
    <w:rsid w:val="7D7406BB"/>
    <w:rsid w:val="7D92659D"/>
    <w:rsid w:val="7DA41F1A"/>
    <w:rsid w:val="7DCE4366"/>
    <w:rsid w:val="7DE94331"/>
    <w:rsid w:val="7E5D031B"/>
    <w:rsid w:val="7E914F98"/>
    <w:rsid w:val="7F446A19"/>
    <w:rsid w:val="7F7452B9"/>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10263</Words>
  <Characters>12467</Characters>
  <Lines>194</Lines>
  <Paragraphs>54</Paragraphs>
  <TotalTime>8</TotalTime>
  <ScaleCrop>false</ScaleCrop>
  <LinksUpToDate>false</LinksUpToDate>
  <CharactersWithSpaces>13614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于快</cp:lastModifiedBy>
  <cp:lastPrinted>2024-10-23T01:58:14Z</cp:lastPrinted>
  <dcterms:modified xsi:type="dcterms:W3CDTF">2024-10-23T01:59:45Z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