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C06C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重庆市大足区人民政府办公室</w:t>
      </w:r>
    </w:p>
    <w:p w14:paraId="55B39D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2023年度决算公开说明</w:t>
      </w:r>
    </w:p>
    <w:p w14:paraId="5D585D6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51C35B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一、部门基本情况</w:t>
      </w:r>
    </w:p>
    <w:p w14:paraId="35F827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（一）职能职责</w:t>
      </w:r>
    </w:p>
    <w:p w14:paraId="18E3C9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1.负责区政府政务值班工作；指导全区政务值班标准化建设工作；负责突发事件和重大事项信息收集、研判和上报工作。</w:t>
      </w:r>
    </w:p>
    <w:p w14:paraId="7BB4B31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2.组织起草并协助区政府领导审核以区政府、区政府办公室名义发布的文件。</w:t>
      </w:r>
    </w:p>
    <w:p w14:paraId="09A5883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3.研究区政府各部门、各镇街人民政府（办事处）向区政府请示的问题，提出审核处理意见，报区政府领导审批。</w:t>
      </w:r>
    </w:p>
    <w:p w14:paraId="1E00E77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负责编辑信息刊物，向市政府办公厅和区政府报送政务信息；归口管理全区政务信息工作；组织调查研究，及时向区政府领导反映政府工作及全区经济社会发展中的重要情况及建议，为区政府领导科学决策提供服务。</w:t>
      </w:r>
    </w:p>
    <w:p w14:paraId="126438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5.负责区政府会议的筹备工作，协助区政府领导组织会议决定事项的实施。</w:t>
      </w:r>
    </w:p>
    <w:p w14:paraId="7EA8A7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负责承担区政府与区人大常委会、区政协的联络服务工作，承办区政府向区人大常委会汇报、向区政协通报区政府工作有关事项；负责督办落实市人大代表、政协委员和区人大代表、政协委员提出的涉及区政府工作的建议和提案。</w:t>
      </w:r>
    </w:p>
    <w:p w14:paraId="4ADFAD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7.研究制订公务接待的范围和标准，组织、协调和管理区政府系统的全区性大型活动；搞好政务接待工作；研究制订组织实施区直机关后勤体制改革的政策。</w:t>
      </w:r>
    </w:p>
    <w:p w14:paraId="318DC7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8.负责全区公共机构节能工作。</w:t>
      </w:r>
    </w:p>
    <w:p w14:paraId="28359D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9.负责区政府与双桥经济技术开发区管理委员会的联络协调工作。</w:t>
      </w:r>
    </w:p>
    <w:p w14:paraId="656CF0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10.按照区政府领导安排，协调区政府各部门、各镇街人民政府（办事处）有关工作。</w:t>
      </w:r>
    </w:p>
    <w:p w14:paraId="2A6046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11.负责区政府办公室政务（政府信息）公开日常工作；指导协调全区政务（政府信息）公开工作。</w:t>
      </w:r>
    </w:p>
    <w:p w14:paraId="3F4A65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12.负责督办落实上级重大决策部署；督办落实上级领导同志和区委、区政府领导同志批示指示；对区政府各部门、各镇街人民政府（办事处）开展目标绩效考评和专项工作督查。</w:t>
      </w:r>
    </w:p>
    <w:p w14:paraId="24C3500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13.完成区委、区政府交办的其他任务。</w:t>
      </w:r>
    </w:p>
    <w:p w14:paraId="24DFDC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（二）机构设置</w:t>
      </w:r>
    </w:p>
    <w:p w14:paraId="2A2C03B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重庆市大足区人民政府办公室是区政府工作部门，为正处级，内设科室17个。重庆市大足区政府信息网络中心，为正处级事业单位，内设科室7个。在职行政人员35人，在职事业编19人，退休人员21人。</w:t>
      </w:r>
    </w:p>
    <w:p w14:paraId="6A925DC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二、部门决算情况说明</w:t>
      </w:r>
    </w:p>
    <w:p w14:paraId="5D99BD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（一）收入支出决算总体情况说明。</w:t>
      </w:r>
    </w:p>
    <w:p w14:paraId="16AD02D4">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1.总体情况。</w:t>
      </w:r>
      <w:r>
        <w:rPr>
          <w:rFonts w:hint="default" w:ascii="Times New Roman" w:hAnsi="Times New Roman" w:eastAsia="方正仿宋_GBK" w:cs="Times New Roman"/>
          <w:sz w:val="32"/>
          <w:szCs w:val="32"/>
          <w:lang w:val="en-US" w:eastAsia="zh-CN"/>
        </w:rPr>
        <w:t>2023年度收入总计1667.79万元，支出总计1667.79万元。收支较上年决算数减少727.00万元，下降30.36%，主要原因是本单位厉行节约，严格控制开支；本部门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p>
    <w:p w14:paraId="35E25DB2">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2.收入情况</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023年度收入合计1667.79万元，较上年决算数减少727.00万元，下降30.36%，主要原因是本单位厉行节约，严格控制开支；本部门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其中：财政拨款收入1667.79万元，占100.00%；事业收入0.00万元，占0.00%；经营收入0.00万元，占0.00%；其他收入0.00万元，占0.00%。此外，使用非财政拨款结余和专用结余0.00万元，年初结转和结余0.00万元。</w:t>
      </w:r>
    </w:p>
    <w:p w14:paraId="4F40FA6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3.支出情况</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val="en-US" w:eastAsia="zh-CN"/>
        </w:rPr>
        <w:t>2023年度支出合计1667.79万元，较上年决算数减少727.00万元，下降30.36%，主要原因是本单位厉行节约，严格控制开支。其中：基本支出1473.19万元，占88.33%；项目支出194.60万元，占11.67%；经营支出0.00万元，占0.00%。此外，结余分配0.00万元。</w:t>
      </w:r>
    </w:p>
    <w:p w14:paraId="249D15F9">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4.结转结余情况。</w:t>
      </w:r>
      <w:r>
        <w:rPr>
          <w:rFonts w:hint="default" w:ascii="Times New Roman" w:hAnsi="Times New Roman" w:eastAsia="方正仿宋_GBK" w:cs="Times New Roman"/>
          <w:sz w:val="32"/>
          <w:szCs w:val="32"/>
        </w:rPr>
        <w:t>2023年度年末结转和结余0.00万元，主要原因是</w:t>
      </w:r>
      <w:r>
        <w:rPr>
          <w:rFonts w:hint="default" w:ascii="Times New Roman" w:hAnsi="Times New Roman" w:eastAsia="方正仿宋_GBK" w:cs="Times New Roman"/>
          <w:sz w:val="32"/>
          <w:szCs w:val="32"/>
          <w:lang w:val="en-US" w:eastAsia="zh-CN"/>
        </w:rPr>
        <w:t>本单位无结转和结余。</w:t>
      </w:r>
    </w:p>
    <w:p w14:paraId="4000B9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（二）财政拨款收入支出决算总体情况说明</w:t>
      </w:r>
      <w:r>
        <w:rPr>
          <w:rFonts w:hint="default" w:ascii="Times New Roman" w:hAnsi="Times New Roman" w:eastAsia="方正楷体_GBK" w:cs="Times New Roman"/>
          <w:sz w:val="32"/>
          <w:szCs w:val="32"/>
          <w:lang w:eastAsia="zh-CN"/>
        </w:rPr>
        <w:t>。</w:t>
      </w:r>
    </w:p>
    <w:p w14:paraId="5E3AB6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2023年度财政拨款收、支总计1667.79万元。与2022年相比，财政拨款收、支总计各减少727.00万元，下降30.36%。主要原因是</w:t>
      </w:r>
      <w:r>
        <w:rPr>
          <w:rFonts w:hint="default" w:ascii="Times New Roman" w:hAnsi="Times New Roman" w:eastAsia="方正仿宋_GBK" w:cs="Times New Roman"/>
          <w:sz w:val="32"/>
          <w:szCs w:val="32"/>
          <w:lang w:val="en-US" w:eastAsia="zh-CN"/>
        </w:rPr>
        <w:t>本单位厉行节约，严格控制开支；本部门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p>
    <w:p w14:paraId="0458C4D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（三）一般公共预算财政拨款收入支出决算情况说明</w:t>
      </w:r>
      <w:r>
        <w:rPr>
          <w:rFonts w:hint="default" w:ascii="Times New Roman" w:hAnsi="Times New Roman" w:eastAsia="方正楷体_GBK" w:cs="Times New Roman"/>
          <w:sz w:val="32"/>
          <w:szCs w:val="32"/>
          <w:lang w:eastAsia="zh-CN"/>
        </w:rPr>
        <w:t>。</w:t>
      </w:r>
    </w:p>
    <w:p w14:paraId="2A9DB98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1.收入情况。</w:t>
      </w:r>
      <w:r>
        <w:rPr>
          <w:rFonts w:hint="default" w:ascii="Times New Roman" w:hAnsi="Times New Roman" w:eastAsia="方正仿宋_GBK" w:cs="Times New Roman"/>
          <w:sz w:val="32"/>
          <w:szCs w:val="32"/>
        </w:rPr>
        <w:t>2023年度一般公共预算财政拨款收入1667.79万元，较上年决算数减少727.00万元，下降30.36%。主要原因是</w:t>
      </w:r>
      <w:r>
        <w:rPr>
          <w:rFonts w:hint="default" w:ascii="Times New Roman" w:hAnsi="Times New Roman" w:eastAsia="方正仿宋_GBK" w:cs="Times New Roman"/>
          <w:sz w:val="32"/>
          <w:szCs w:val="32"/>
          <w:lang w:val="en-US" w:eastAsia="zh-CN"/>
        </w:rPr>
        <w:t>本单位厉行节约，严格控制开支。</w:t>
      </w:r>
      <w:r>
        <w:rPr>
          <w:rFonts w:hint="default" w:ascii="Times New Roman" w:hAnsi="Times New Roman" w:eastAsia="方正仿宋_GBK" w:cs="Times New Roman"/>
          <w:sz w:val="32"/>
          <w:szCs w:val="32"/>
        </w:rPr>
        <w:t>较年初预算数减少8.03万元，下降0.48%。主要原因是</w:t>
      </w:r>
      <w:r>
        <w:rPr>
          <w:rFonts w:hint="default" w:ascii="Times New Roman" w:hAnsi="Times New Roman" w:eastAsia="方正仿宋_GBK" w:cs="Times New Roman"/>
          <w:sz w:val="32"/>
          <w:szCs w:val="32"/>
          <w:lang w:val="en-US" w:eastAsia="zh-CN"/>
        </w:rPr>
        <w:t>本单位厉行节约，严格控制开支；本部门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r>
        <w:rPr>
          <w:rFonts w:hint="default" w:ascii="Times New Roman" w:hAnsi="Times New Roman" w:eastAsia="方正仿宋_GBK" w:cs="Times New Roman"/>
          <w:sz w:val="32"/>
          <w:szCs w:val="32"/>
        </w:rPr>
        <w:t>此外，年初财政拨款结转和结余0.00万元。</w:t>
      </w:r>
    </w:p>
    <w:p w14:paraId="23B7EAE1">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2.支出情况。</w:t>
      </w:r>
      <w:r>
        <w:rPr>
          <w:rFonts w:hint="default" w:ascii="Times New Roman" w:hAnsi="Times New Roman" w:eastAsia="方正仿宋_GBK" w:cs="Times New Roman"/>
          <w:sz w:val="32"/>
          <w:szCs w:val="32"/>
        </w:rPr>
        <w:t>2023年度一般公共预算财政拨款支出1667.79万元，较上年决算数减少727.00万元，下降30.36%。主要原因是</w:t>
      </w:r>
      <w:r>
        <w:rPr>
          <w:rFonts w:hint="default" w:ascii="Times New Roman" w:hAnsi="Times New Roman" w:eastAsia="方正仿宋_GBK" w:cs="Times New Roman"/>
          <w:sz w:val="32"/>
          <w:szCs w:val="32"/>
          <w:lang w:val="en-US" w:eastAsia="zh-CN"/>
        </w:rPr>
        <w:t>本单位厉行节约，严格控制开支。</w:t>
      </w:r>
      <w:r>
        <w:rPr>
          <w:rFonts w:hint="default" w:ascii="Times New Roman" w:hAnsi="Times New Roman" w:eastAsia="方正仿宋_GBK" w:cs="Times New Roman"/>
          <w:sz w:val="32"/>
          <w:szCs w:val="32"/>
        </w:rPr>
        <w:t>较年初预算数减少8.03万元，下降0.48%。主要原因是</w:t>
      </w:r>
      <w:r>
        <w:rPr>
          <w:rFonts w:hint="default" w:ascii="Times New Roman" w:hAnsi="Times New Roman" w:eastAsia="方正仿宋_GBK" w:cs="Times New Roman"/>
          <w:sz w:val="32"/>
          <w:szCs w:val="32"/>
          <w:lang w:val="en-US" w:eastAsia="zh-CN"/>
        </w:rPr>
        <w:t>本单位厉行节约，严格控制开支；本部门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网络运行维护及线路租用</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项目未纳入2023年年终决算。</w:t>
      </w:r>
    </w:p>
    <w:p w14:paraId="68A00515">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rPr>
        <w:t>3.结转结余情况。</w:t>
      </w:r>
      <w:r>
        <w:rPr>
          <w:rFonts w:hint="default" w:ascii="Times New Roman" w:hAnsi="Times New Roman" w:eastAsia="方正仿宋_GBK" w:cs="Times New Roman"/>
          <w:sz w:val="32"/>
          <w:szCs w:val="32"/>
        </w:rPr>
        <w:t>2023年度年末一般公共预算财政拨款结转和结余0.00万元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本单位无结转和结余。</w:t>
      </w:r>
    </w:p>
    <w:p w14:paraId="4DACE2F3">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4.比较情况。</w:t>
      </w:r>
      <w:r>
        <w:rPr>
          <w:rFonts w:hint="default" w:ascii="Times New Roman" w:hAnsi="Times New Roman" w:eastAsia="方正仿宋_GBK" w:cs="Times New Roman"/>
          <w:sz w:val="32"/>
          <w:szCs w:val="32"/>
        </w:rPr>
        <w:t>本部门2023年度一般公共预算财政拨款支出主要用于以下几个方面：</w:t>
      </w:r>
    </w:p>
    <w:p w14:paraId="01CB21B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（1）一般公共服务支出1299.00万元，占77.89%，较年初预算数增加45.68万元，增长3.64%，主要原因是</w:t>
      </w:r>
      <w:r>
        <w:rPr>
          <w:rFonts w:hint="default" w:ascii="Times New Roman" w:hAnsi="Times New Roman" w:eastAsia="方正仿宋_GBK" w:cs="Times New Roman"/>
          <w:sz w:val="32"/>
          <w:szCs w:val="32"/>
          <w:lang w:val="en-US" w:eastAsia="zh-CN"/>
        </w:rPr>
        <w:t>本单位行政运行经费和其他政府办公厅（室）及相关机构事务支出增加。</w:t>
      </w:r>
    </w:p>
    <w:p w14:paraId="74B928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）社会保障与就业支出209.72万元，占12.57%，较年初预算数减少28.77万元，下降12.06%，主要原因是</w:t>
      </w:r>
      <w:r>
        <w:rPr>
          <w:rFonts w:hint="default" w:ascii="Times New Roman" w:hAnsi="Times New Roman" w:eastAsia="方正仿宋_GBK" w:cs="Times New Roman"/>
          <w:sz w:val="32"/>
          <w:szCs w:val="32"/>
          <w:lang w:val="en-US" w:eastAsia="zh-CN"/>
        </w:rPr>
        <w:t>本单位厉行节约，严格控制机关事业单位基本养老保险和机关事业单位职业年金开支。</w:t>
      </w:r>
    </w:p>
    <w:p w14:paraId="7E6CBF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）卫生健康支出70.14万元，占4.21%，较年初预算数减少14.44万元，下降17.07%，主要原因是</w:t>
      </w:r>
      <w:r>
        <w:rPr>
          <w:rFonts w:hint="default" w:ascii="Times New Roman" w:hAnsi="Times New Roman" w:eastAsia="方正仿宋_GBK" w:cs="Times New Roman"/>
          <w:sz w:val="32"/>
          <w:szCs w:val="32"/>
          <w:lang w:val="en-US" w:eastAsia="zh-CN"/>
        </w:rPr>
        <w:t>本单位厉行节约，严格控制行政单位医疗和公务员医疗补助开支。</w:t>
      </w:r>
    </w:p>
    <w:p w14:paraId="7FBA35A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）住房保障支出88.93万元，占5.33%，较年初预算数减少10.50万元，下降10.56%，主要原因是</w:t>
      </w:r>
      <w:r>
        <w:rPr>
          <w:rFonts w:hint="default" w:ascii="Times New Roman" w:hAnsi="Times New Roman" w:eastAsia="方正仿宋_GBK" w:cs="Times New Roman"/>
          <w:sz w:val="32"/>
          <w:szCs w:val="32"/>
          <w:lang w:val="en-US" w:eastAsia="zh-CN"/>
        </w:rPr>
        <w:t>本单位厉行节约，严格控制单位公积金支出。</w:t>
      </w:r>
    </w:p>
    <w:p w14:paraId="26E5AE5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（四）一般公共预算财政拨款基本支出决算情况说明</w:t>
      </w:r>
      <w:r>
        <w:rPr>
          <w:rFonts w:hint="default" w:ascii="Times New Roman" w:hAnsi="Times New Roman" w:eastAsia="方正楷体_GBK" w:cs="Times New Roman"/>
          <w:sz w:val="32"/>
          <w:szCs w:val="32"/>
          <w:lang w:eastAsia="zh-CN"/>
        </w:rPr>
        <w:t>。</w:t>
      </w:r>
    </w:p>
    <w:p w14:paraId="78590B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2023年度一般公共财政拨款基本支出1473.19万元。其中：人员经费1167.38万元，较上年决算数增加80.23万元，增长7.38%，主要原因是</w:t>
      </w:r>
      <w:r>
        <w:rPr>
          <w:rFonts w:hint="default" w:ascii="Times New Roman" w:hAnsi="Times New Roman" w:eastAsia="方正仿宋_GBK" w:cs="Times New Roman"/>
          <w:sz w:val="32"/>
          <w:szCs w:val="32"/>
          <w:lang w:val="en-US" w:eastAsia="zh-CN"/>
        </w:rPr>
        <w:t>本单位用公用经费支付职工伙食费计入了人员经费</w:t>
      </w:r>
      <w:r>
        <w:rPr>
          <w:rFonts w:hint="default" w:ascii="Times New Roman" w:hAnsi="Times New Roman" w:eastAsia="方正仿宋_GBK" w:cs="Times New Roman"/>
          <w:sz w:val="32"/>
          <w:szCs w:val="32"/>
        </w:rPr>
        <w:t>。人员经费用途主要包括</w:t>
      </w:r>
      <w:r>
        <w:rPr>
          <w:rFonts w:hint="default" w:ascii="Times New Roman" w:hAnsi="Times New Roman" w:eastAsia="方正仿宋_GBK" w:cs="Times New Roman"/>
          <w:sz w:val="32"/>
          <w:szCs w:val="32"/>
          <w:lang w:val="en-US" w:eastAsia="zh-CN"/>
        </w:rPr>
        <w:t>基本工资、津贴补贴、奖金、伙食补助、绩效工资、机关事业养老保险费、职业年金、职工基本医疗保险费、公务员医疗保险、其他社会保障缴费、住房公积金、医疗费、对个人和家庭的补助、生活补助、医疗费补助等。</w:t>
      </w:r>
      <w:r>
        <w:rPr>
          <w:rFonts w:hint="default" w:ascii="Times New Roman" w:hAnsi="Times New Roman" w:eastAsia="方正仿宋_GBK" w:cs="Times New Roman"/>
          <w:sz w:val="32"/>
          <w:szCs w:val="32"/>
        </w:rPr>
        <w:t>公用经费305.80万元，较上年决算数增加11.43万元，增长3.88%，主要原因</w:t>
      </w:r>
      <w:r>
        <w:rPr>
          <w:rFonts w:hint="default" w:ascii="Times New Roman" w:hAnsi="Times New Roman" w:eastAsia="方正仿宋_GBK" w:cs="Times New Roman"/>
          <w:sz w:val="32"/>
          <w:szCs w:val="32"/>
          <w:lang w:val="en-US" w:eastAsia="zh-CN"/>
        </w:rPr>
        <w:t>是本单位办公费、邮电费、租赁会议费、工会经费、公务车运行维护费、其他商品和服务支出增加。</w:t>
      </w:r>
      <w:r>
        <w:rPr>
          <w:rFonts w:hint="default" w:ascii="Times New Roman" w:hAnsi="Times New Roman" w:eastAsia="方正仿宋_GBK" w:cs="Times New Roman"/>
          <w:sz w:val="32"/>
          <w:szCs w:val="32"/>
        </w:rPr>
        <w:t>公用经费用途主要包括</w:t>
      </w:r>
      <w:r>
        <w:rPr>
          <w:rFonts w:hint="default" w:ascii="Times New Roman" w:hAnsi="Times New Roman" w:eastAsia="方正仿宋_GBK" w:cs="Times New Roman"/>
          <w:sz w:val="32"/>
          <w:szCs w:val="32"/>
          <w:lang w:val="en-US" w:eastAsia="zh-CN"/>
        </w:rPr>
        <w:t>办公费、邮电费、差旅费、培训费、公务接待费、劳务费、工会经费、福利费、公务用车运行维护费、其他交通费、其他商品服务支出等。</w:t>
      </w:r>
    </w:p>
    <w:p w14:paraId="700CA5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（五）政府性基金预算收支决算情况说明</w:t>
      </w:r>
      <w:r>
        <w:rPr>
          <w:rFonts w:hint="default" w:ascii="Times New Roman" w:hAnsi="Times New Roman" w:eastAsia="方正楷体_GBK" w:cs="Times New Roman"/>
          <w:sz w:val="32"/>
          <w:szCs w:val="32"/>
          <w:lang w:eastAsia="zh-CN"/>
        </w:rPr>
        <w:t>。</w:t>
      </w:r>
    </w:p>
    <w:p w14:paraId="327F7A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本部门2023年度无政府性基金预算财政拨款收支。</w:t>
      </w:r>
    </w:p>
    <w:p w14:paraId="5E7ED50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（六）国有资本经营预算财政拨款支出决算情况说明</w:t>
      </w:r>
      <w:r>
        <w:rPr>
          <w:rFonts w:hint="default" w:ascii="Times New Roman" w:hAnsi="Times New Roman" w:eastAsia="方正楷体_GBK" w:cs="Times New Roman"/>
          <w:sz w:val="32"/>
          <w:szCs w:val="32"/>
          <w:lang w:eastAsia="zh-CN"/>
        </w:rPr>
        <w:t>。</w:t>
      </w:r>
    </w:p>
    <w:p w14:paraId="4CAB474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本部门2023年度无国有资本经营预算财政拨款支出。</w:t>
      </w:r>
    </w:p>
    <w:p w14:paraId="46549F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三、</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三公</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rPr>
        <w:t>经费</w:t>
      </w:r>
      <w:r>
        <w:rPr>
          <w:rFonts w:hint="default" w:ascii="Times New Roman" w:hAnsi="Times New Roman" w:eastAsia="方正黑体_GBK" w:cs="Times New Roman"/>
          <w:sz w:val="32"/>
          <w:szCs w:val="32"/>
        </w:rPr>
        <w:t>情况说明</w:t>
      </w:r>
    </w:p>
    <w:p w14:paraId="4A1345C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w:t>
      </w:r>
      <w:r>
        <w:rPr>
          <w:rFonts w:hint="eastAsia" w:ascii="方正楷体_GBK" w:hAnsi="方正楷体_GBK" w:eastAsia="方正楷体_GBK" w:cs="方正楷体_GBK"/>
          <w:sz w:val="32"/>
          <w:szCs w:val="32"/>
          <w:lang w:val="en-US" w:eastAsia="zh-CN"/>
        </w:rPr>
        <w:t>）“三公”经费</w:t>
      </w:r>
      <w:r>
        <w:rPr>
          <w:rFonts w:hint="default" w:ascii="Times New Roman" w:hAnsi="Times New Roman" w:eastAsia="方正楷体_GBK" w:cs="Times New Roman"/>
          <w:sz w:val="32"/>
          <w:szCs w:val="32"/>
          <w:lang w:val="en-US" w:eastAsia="zh-CN"/>
        </w:rPr>
        <w:t>支出总体情况说明。</w:t>
      </w:r>
    </w:p>
    <w:p w14:paraId="08B761E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三公</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经费支出共计39.31万元，较年初预算数减少26.99万元，下降40.71%，主要原因是</w:t>
      </w:r>
      <w:r>
        <w:rPr>
          <w:rFonts w:hint="default" w:ascii="Times New Roman" w:hAnsi="Times New Roman" w:eastAsia="方正仿宋_GBK" w:cs="Times New Roman"/>
          <w:sz w:val="32"/>
          <w:szCs w:val="32"/>
          <w:lang w:val="en-US" w:eastAsia="zh-CN"/>
        </w:rPr>
        <w:t>本部门</w:t>
      </w:r>
      <w:r>
        <w:rPr>
          <w:rFonts w:hint="default" w:ascii="Times New Roman" w:hAnsi="Times New Roman" w:eastAsia="方正仿宋_GBK" w:cs="Times New Roman"/>
          <w:sz w:val="32"/>
          <w:szCs w:val="32"/>
          <w:lang w:eastAsia="zh-CN"/>
        </w:rPr>
        <w:t>厉行节约，</w:t>
      </w:r>
      <w:r>
        <w:rPr>
          <w:rFonts w:hint="default" w:ascii="Times New Roman" w:hAnsi="Times New Roman" w:eastAsia="方正仿宋_GBK" w:cs="Times New Roman"/>
          <w:sz w:val="32"/>
          <w:szCs w:val="32"/>
          <w:lang w:val="en-US" w:eastAsia="zh-CN"/>
        </w:rPr>
        <w:t>严格控制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经费开支。</w:t>
      </w:r>
      <w:r>
        <w:rPr>
          <w:rFonts w:hint="default" w:ascii="Times New Roman" w:hAnsi="Times New Roman" w:eastAsia="方正仿宋_GBK" w:cs="Times New Roman"/>
          <w:sz w:val="32"/>
          <w:szCs w:val="32"/>
        </w:rPr>
        <w:t>较上年支出数减少30.22万元，下降43.46%，主要原因是</w:t>
      </w:r>
      <w:r>
        <w:rPr>
          <w:rFonts w:hint="default" w:ascii="Times New Roman" w:hAnsi="Times New Roman" w:eastAsia="方正仿宋_GBK" w:cs="Times New Roman"/>
          <w:sz w:val="32"/>
          <w:szCs w:val="32"/>
          <w:lang w:val="en-US" w:eastAsia="zh-CN"/>
        </w:rPr>
        <w:t>本部门</w:t>
      </w:r>
      <w:r>
        <w:rPr>
          <w:rFonts w:hint="default" w:ascii="Times New Roman" w:hAnsi="Times New Roman" w:eastAsia="方正仿宋_GBK" w:cs="Times New Roman"/>
          <w:sz w:val="32"/>
          <w:szCs w:val="32"/>
          <w:lang w:eastAsia="zh-CN"/>
        </w:rPr>
        <w:t>厉行节约，</w:t>
      </w:r>
      <w:r>
        <w:rPr>
          <w:rFonts w:hint="default" w:ascii="Times New Roman" w:hAnsi="Times New Roman" w:eastAsia="方正仿宋_GBK" w:cs="Times New Roman"/>
          <w:sz w:val="32"/>
          <w:szCs w:val="32"/>
          <w:lang w:val="en-US" w:eastAsia="zh-CN"/>
        </w:rPr>
        <w:t>严格控制</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三公</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经费开支。</w:t>
      </w:r>
    </w:p>
    <w:p w14:paraId="26B4D5F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方正楷体_GBK" w:hAnsi="方正楷体_GBK" w:eastAsia="方正楷体_GBK" w:cs="方正楷体_GBK"/>
          <w:sz w:val="32"/>
          <w:szCs w:val="32"/>
          <w:lang w:val="en-US" w:eastAsia="zh-CN"/>
        </w:rPr>
        <w:t>二）“三公”经费</w:t>
      </w:r>
      <w:r>
        <w:rPr>
          <w:rFonts w:hint="default" w:ascii="Times New Roman" w:hAnsi="Times New Roman" w:eastAsia="方正楷体_GBK" w:cs="Times New Roman"/>
          <w:sz w:val="32"/>
          <w:szCs w:val="32"/>
          <w:lang w:val="en-US" w:eastAsia="zh-CN"/>
        </w:rPr>
        <w:t>分项支出情况。</w:t>
      </w:r>
    </w:p>
    <w:p w14:paraId="08E9984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2023年度本部门因公出国（境）费用0.00万元，主要</w:t>
      </w:r>
      <w:r>
        <w:rPr>
          <w:rFonts w:hint="default" w:ascii="Times New Roman" w:hAnsi="Times New Roman" w:eastAsia="方正仿宋_GBK" w:cs="Times New Roman"/>
          <w:sz w:val="32"/>
          <w:szCs w:val="32"/>
          <w:lang w:val="en-US" w:eastAsia="zh-CN"/>
        </w:rPr>
        <w:t>用于机关和参公事业单位公务出国（境）的国际旅费、国外城市间的交通费、住宿费、伙食费、培训费、公务杂支费等支出</w:t>
      </w:r>
      <w:r>
        <w:rPr>
          <w:rFonts w:hint="default" w:ascii="Times New Roman" w:hAnsi="Times New Roman" w:eastAsia="方正仿宋_GBK" w:cs="Times New Roman"/>
          <w:sz w:val="32"/>
          <w:szCs w:val="32"/>
        </w:rPr>
        <w:t>。支出较年初预算数无增减，主要原因是</w:t>
      </w:r>
      <w:r>
        <w:rPr>
          <w:rFonts w:hint="default" w:ascii="Times New Roman" w:hAnsi="Times New Roman" w:eastAsia="方正仿宋_GBK" w:cs="Times New Roman"/>
          <w:sz w:val="32"/>
          <w:szCs w:val="32"/>
          <w:lang w:val="en-US" w:eastAsia="zh-CN"/>
        </w:rPr>
        <w:t>本单位无</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较上年支出数无增减，主要原因是</w:t>
      </w:r>
      <w:r>
        <w:rPr>
          <w:rFonts w:hint="default" w:ascii="Times New Roman" w:hAnsi="Times New Roman" w:eastAsia="方正仿宋_GBK" w:cs="Times New Roman"/>
          <w:sz w:val="32"/>
          <w:szCs w:val="32"/>
          <w:lang w:val="en-US" w:eastAsia="zh-CN"/>
        </w:rPr>
        <w:t>本单位无</w:t>
      </w:r>
      <w:r>
        <w:rPr>
          <w:rFonts w:hint="default" w:ascii="Times New Roman" w:hAnsi="Times New Roman" w:eastAsia="方正仿宋_GBK" w:cs="Times New Roman"/>
          <w:sz w:val="32"/>
          <w:szCs w:val="32"/>
        </w:rPr>
        <w:t>因公出国（境）费用</w:t>
      </w:r>
      <w:r>
        <w:rPr>
          <w:rFonts w:hint="default" w:ascii="Times New Roman" w:hAnsi="Times New Roman" w:eastAsia="方正仿宋_GBK" w:cs="Times New Roman"/>
          <w:sz w:val="32"/>
          <w:szCs w:val="32"/>
          <w:lang w:eastAsia="zh-CN"/>
        </w:rPr>
        <w:t>。</w:t>
      </w:r>
    </w:p>
    <w:p w14:paraId="01F667B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公务车购置费0.00万元，主要</w:t>
      </w:r>
      <w:r>
        <w:rPr>
          <w:rFonts w:hint="default" w:ascii="Times New Roman" w:hAnsi="Times New Roman" w:eastAsia="方正仿宋_GBK" w:cs="Times New Roman"/>
          <w:sz w:val="32"/>
          <w:szCs w:val="32"/>
          <w:lang w:val="en-US" w:eastAsia="zh-CN"/>
        </w:rPr>
        <w:t>原因是本部门2023年度未购置公务车</w:t>
      </w:r>
      <w:r>
        <w:rPr>
          <w:rFonts w:hint="default" w:ascii="Times New Roman" w:hAnsi="Times New Roman" w:eastAsia="方正仿宋_GBK" w:cs="Times New Roman"/>
          <w:sz w:val="32"/>
          <w:szCs w:val="32"/>
        </w:rPr>
        <w:t>。费用支出0</w:t>
      </w:r>
      <w:r>
        <w:rPr>
          <w:rFonts w:hint="eastAsia" w:ascii="Times New Roman" w:hAnsi="Times New Roman" w:eastAsia="方正仿宋_GBK" w:cs="Times New Roman"/>
          <w:sz w:val="32"/>
          <w:szCs w:val="32"/>
          <w:lang w:val="en-US" w:eastAsia="zh-CN"/>
        </w:rPr>
        <w:t>万元</w:t>
      </w:r>
      <w:r>
        <w:rPr>
          <w:rFonts w:hint="default" w:ascii="Times New Roman" w:hAnsi="Times New Roman" w:eastAsia="方正仿宋_GBK" w:cs="Times New Roman"/>
          <w:sz w:val="32"/>
          <w:szCs w:val="32"/>
        </w:rPr>
        <w:t>，主要原因是</w:t>
      </w:r>
      <w:r>
        <w:rPr>
          <w:rFonts w:hint="default" w:ascii="Times New Roman" w:hAnsi="Times New Roman" w:eastAsia="方正仿宋_GBK" w:cs="Times New Roman"/>
          <w:sz w:val="32"/>
          <w:szCs w:val="32"/>
          <w:lang w:val="en-US" w:eastAsia="zh-CN"/>
        </w:rPr>
        <w:t>本部门2023年度未购置公务车</w:t>
      </w:r>
      <w:r>
        <w:rPr>
          <w:rFonts w:hint="default" w:ascii="Times New Roman" w:hAnsi="Times New Roman" w:eastAsia="方正仿宋_GBK" w:cs="Times New Roman"/>
          <w:sz w:val="32"/>
          <w:szCs w:val="32"/>
        </w:rPr>
        <w:t>。较上年支出数减少17.92万元，下降100.00%，主要原因是</w:t>
      </w:r>
      <w:r>
        <w:rPr>
          <w:rFonts w:hint="default" w:ascii="Times New Roman" w:hAnsi="Times New Roman" w:eastAsia="方正仿宋_GBK" w:cs="Times New Roman"/>
          <w:sz w:val="32"/>
          <w:szCs w:val="32"/>
          <w:lang w:val="en-US" w:eastAsia="zh-CN"/>
        </w:rPr>
        <w:t>本部门2023年度未购置公务车</w:t>
      </w:r>
      <w:r>
        <w:rPr>
          <w:rFonts w:hint="default" w:ascii="Times New Roman" w:hAnsi="Times New Roman" w:eastAsia="方正仿宋_GBK" w:cs="Times New Roman"/>
          <w:sz w:val="32"/>
          <w:szCs w:val="32"/>
        </w:rPr>
        <w:t>。</w:t>
      </w:r>
    </w:p>
    <w:p w14:paraId="133EEBA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公务车运行维护费30.31万元，主要用于</w:t>
      </w:r>
      <w:r>
        <w:rPr>
          <w:rFonts w:hint="default" w:ascii="Times New Roman" w:hAnsi="Times New Roman" w:eastAsia="方正仿宋_GBK" w:cs="Times New Roman"/>
          <w:sz w:val="32"/>
          <w:szCs w:val="32"/>
          <w:lang w:val="en-US" w:eastAsia="zh-CN"/>
        </w:rPr>
        <w:t>公务车抛光打蜡、加油、保险、过路过桥、停车等费用</w:t>
      </w:r>
      <w:r>
        <w:rPr>
          <w:rFonts w:hint="default" w:ascii="Times New Roman" w:hAnsi="Times New Roman" w:eastAsia="方正仿宋_GBK" w:cs="Times New Roman"/>
          <w:sz w:val="32"/>
          <w:szCs w:val="32"/>
        </w:rPr>
        <w:t>。费用支出较年初预算数减少26.69万元，下降46.82%，主要原因是</w:t>
      </w:r>
      <w:r>
        <w:rPr>
          <w:rFonts w:hint="default" w:ascii="Times New Roman" w:hAnsi="Times New Roman" w:eastAsia="方正仿宋_GBK" w:cs="Times New Roman"/>
          <w:sz w:val="32"/>
          <w:szCs w:val="32"/>
          <w:lang w:val="en-US" w:eastAsia="zh-CN"/>
        </w:rPr>
        <w:t>本部门厉行节约，严格控制公务用车</w:t>
      </w:r>
      <w:r>
        <w:rPr>
          <w:rFonts w:hint="default" w:ascii="Times New Roman" w:hAnsi="Times New Roman" w:eastAsia="方正仿宋_GBK" w:cs="Times New Roman"/>
          <w:sz w:val="32"/>
          <w:szCs w:val="32"/>
        </w:rPr>
        <w:t>。较上年支出数减少3.17万元，下降9.47%，主要原因是</w:t>
      </w:r>
      <w:r>
        <w:rPr>
          <w:rFonts w:hint="default" w:ascii="Times New Roman" w:hAnsi="Times New Roman" w:eastAsia="方正仿宋_GBK" w:cs="Times New Roman"/>
          <w:sz w:val="32"/>
          <w:szCs w:val="32"/>
          <w:lang w:val="en-US" w:eastAsia="zh-CN"/>
        </w:rPr>
        <w:t>本部门厉行节约，严格控制公务用车</w:t>
      </w:r>
      <w:r>
        <w:rPr>
          <w:rFonts w:hint="default" w:ascii="Times New Roman" w:hAnsi="Times New Roman" w:eastAsia="方正仿宋_GBK" w:cs="Times New Roman"/>
          <w:sz w:val="32"/>
          <w:szCs w:val="32"/>
        </w:rPr>
        <w:t>。</w:t>
      </w:r>
    </w:p>
    <w:p w14:paraId="560D6FA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公务接待费9.00万元，主要用于</w:t>
      </w:r>
      <w:r>
        <w:rPr>
          <w:rFonts w:hint="default" w:ascii="Times New Roman" w:hAnsi="Times New Roman" w:eastAsia="方正仿宋_GBK" w:cs="Times New Roman"/>
          <w:sz w:val="32"/>
          <w:szCs w:val="32"/>
          <w:lang w:val="en-US" w:eastAsia="zh-CN"/>
        </w:rPr>
        <w:t>招商接待。</w:t>
      </w:r>
      <w:r>
        <w:rPr>
          <w:rFonts w:hint="default" w:ascii="Times New Roman" w:hAnsi="Times New Roman" w:eastAsia="方正仿宋_GBK" w:cs="Times New Roman"/>
          <w:sz w:val="32"/>
          <w:szCs w:val="32"/>
        </w:rPr>
        <w:t>费用支出较年初预算数减少0.30万元，下降3.23%，主要原因是</w:t>
      </w:r>
      <w:r>
        <w:rPr>
          <w:rFonts w:hint="default" w:ascii="Times New Roman" w:hAnsi="Times New Roman" w:eastAsia="方正仿宋_GBK" w:cs="Times New Roman"/>
          <w:sz w:val="32"/>
          <w:szCs w:val="32"/>
          <w:lang w:val="en-US" w:eastAsia="zh-CN"/>
        </w:rPr>
        <w:t>本部门厉行节约，严格控制</w:t>
      </w:r>
      <w:r>
        <w:rPr>
          <w:rFonts w:hint="default" w:ascii="Times New Roman" w:hAnsi="Times New Roman" w:eastAsia="方正仿宋_GBK" w:cs="Times New Roman"/>
          <w:sz w:val="32"/>
          <w:szCs w:val="32"/>
        </w:rPr>
        <w:t>公务接待。较上年支出数减少9.13万元，下降50.36%，主要原因是</w:t>
      </w:r>
      <w:r>
        <w:rPr>
          <w:rFonts w:hint="default" w:ascii="Times New Roman" w:hAnsi="Times New Roman" w:eastAsia="方正仿宋_GBK" w:cs="Times New Roman"/>
          <w:sz w:val="32"/>
          <w:szCs w:val="32"/>
          <w:lang w:val="en-US" w:eastAsia="zh-CN"/>
        </w:rPr>
        <w:t>本部门厉行节约，严格控制</w:t>
      </w:r>
      <w:r>
        <w:rPr>
          <w:rFonts w:hint="default" w:ascii="Times New Roman" w:hAnsi="Times New Roman" w:eastAsia="方正仿宋_GBK" w:cs="Times New Roman"/>
          <w:sz w:val="32"/>
          <w:szCs w:val="32"/>
        </w:rPr>
        <w:t>公务接待</w:t>
      </w:r>
      <w:r>
        <w:rPr>
          <w:rFonts w:hint="default" w:ascii="Times New Roman" w:hAnsi="Times New Roman" w:eastAsia="方正仿宋_GBK" w:cs="Times New Roman"/>
          <w:sz w:val="32"/>
          <w:szCs w:val="32"/>
          <w:lang w:eastAsia="zh-CN"/>
        </w:rPr>
        <w:t>。</w:t>
      </w:r>
    </w:p>
    <w:p w14:paraId="09AED29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eastAsia" w:ascii="方正楷体_GBK" w:hAnsi="方正楷体_GBK" w:eastAsia="方正楷体_GBK" w:cs="方正楷体_GBK"/>
          <w:sz w:val="32"/>
          <w:szCs w:val="32"/>
          <w:lang w:val="en-US" w:eastAsia="zh-CN"/>
        </w:rPr>
        <w:t>三）“三公”经</w:t>
      </w:r>
      <w:r>
        <w:rPr>
          <w:rFonts w:hint="default" w:ascii="Times New Roman" w:hAnsi="Times New Roman" w:eastAsia="方正楷体_GBK" w:cs="Times New Roman"/>
          <w:sz w:val="32"/>
          <w:szCs w:val="32"/>
          <w:lang w:val="en-US" w:eastAsia="zh-CN"/>
        </w:rPr>
        <w:t>费实物量情况。</w:t>
      </w:r>
    </w:p>
    <w:p w14:paraId="23CF5E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务用车购置0辆，公务车保有量为21辆；国内公务接待110批次1566人，其中：国内外事接待0批次，0人；国（境）外公务接待0批次，0人。2023年本部门人均接待费57.47元，车均购置费0万元，车均维护费1.44万元。</w:t>
      </w:r>
    </w:p>
    <w:p w14:paraId="7BBB0D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四、其他需要说明的事项</w:t>
      </w:r>
    </w:p>
    <w:p w14:paraId="264044B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（一）财政拨款会议费和培训费情况说明。</w:t>
      </w:r>
    </w:p>
    <w:p w14:paraId="5E5AFC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本年度会议费支出19.55万元，较上年决算数增加9.06万元，增长86.37%，主要</w:t>
      </w:r>
      <w:r>
        <w:rPr>
          <w:rFonts w:hint="default" w:ascii="Times New Roman" w:hAnsi="Times New Roman" w:eastAsia="方正仿宋_GBK" w:cs="Times New Roman"/>
          <w:sz w:val="32"/>
          <w:szCs w:val="32"/>
          <w:lang w:val="en-US" w:eastAsia="zh-CN"/>
        </w:rPr>
        <w:t>用于会议购茶叶、桶装水、纸杯、玻璃杯、笔、笔记本等</w:t>
      </w:r>
      <w:r>
        <w:rPr>
          <w:rFonts w:hint="default" w:ascii="Times New Roman" w:hAnsi="Times New Roman" w:eastAsia="方正仿宋_GBK" w:cs="Times New Roman"/>
          <w:sz w:val="32"/>
          <w:szCs w:val="32"/>
        </w:rPr>
        <w:t>。本年度培训费支出2.90万元，较上年决算数增加1.85万元，增长176.19%，主要</w:t>
      </w:r>
      <w:r>
        <w:rPr>
          <w:rFonts w:hint="default" w:ascii="Times New Roman" w:hAnsi="Times New Roman" w:eastAsia="方正仿宋_GBK" w:cs="Times New Roman"/>
          <w:sz w:val="32"/>
          <w:szCs w:val="32"/>
          <w:lang w:val="en-US" w:eastAsia="zh-CN"/>
        </w:rPr>
        <w:t>用于本部门领导赴浙大、厦门往返机票，市委党校进修培训住宿费，2023年事业在职职工培训服务费，2023年干部能力素质拓展培训费，职工健全现代文化产业体系专题研究培训往返机票，职工技能考试费</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政务公开培训费等</w:t>
      </w:r>
      <w:r>
        <w:rPr>
          <w:rFonts w:hint="default" w:ascii="Times New Roman" w:hAnsi="Times New Roman" w:eastAsia="方正仿宋_GBK" w:cs="Times New Roman"/>
          <w:sz w:val="32"/>
          <w:szCs w:val="32"/>
        </w:rPr>
        <w:t>。</w:t>
      </w:r>
    </w:p>
    <w:p w14:paraId="3865C10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（二）机关运行经费情况说明。</w:t>
      </w:r>
    </w:p>
    <w:p w14:paraId="1EB7B5F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2023年度本部门机关运行经费支出231.06万元，机关运行经费主要用于开支</w:t>
      </w:r>
      <w:r>
        <w:rPr>
          <w:rFonts w:hint="default" w:ascii="Times New Roman" w:hAnsi="Times New Roman" w:eastAsia="方正仿宋_GBK" w:cs="Times New Roman"/>
          <w:sz w:val="32"/>
          <w:szCs w:val="32"/>
          <w:lang w:val="en-US" w:eastAsia="zh-CN"/>
        </w:rPr>
        <w:t>办公费9.60万元、印刷费0.62万元、邮电费10.49万元、差旅费14.13万元、维修（护）费0.61万元、会议费3.18万元、培训费2.46万元、公务接待费1.71万元、劳务费49.33万元、工会经费34.22万元、福利费1.93万元、公务车运行维护费28.49万元、其他交通费34.37万元、其他商品服务支出 39.92万元</w:t>
      </w:r>
      <w:r>
        <w:rPr>
          <w:rFonts w:hint="default" w:ascii="Times New Roman" w:hAnsi="Times New Roman" w:eastAsia="方正仿宋_GBK" w:cs="Times New Roman"/>
          <w:sz w:val="32"/>
          <w:szCs w:val="32"/>
        </w:rPr>
        <w:t>。机关运行经费较上年支出数增加40.97万元，增长21.55%，主要原因是</w:t>
      </w:r>
      <w:r>
        <w:rPr>
          <w:rFonts w:hint="default" w:ascii="Times New Roman" w:hAnsi="Times New Roman" w:eastAsia="方正仿宋_GBK" w:cs="Times New Roman"/>
          <w:sz w:val="32"/>
          <w:szCs w:val="32"/>
          <w:lang w:val="en-US" w:eastAsia="zh-CN"/>
        </w:rPr>
        <w:t>本部门办公费、邮电费、维修（护）</w:t>
      </w:r>
      <w:r>
        <w:rPr>
          <w:rFonts w:hint="eastAsia" w:ascii="Times New Roman" w:hAnsi="Times New Roman" w:eastAsia="方正仿宋_GBK" w:cs="Times New Roman"/>
          <w:sz w:val="32"/>
          <w:szCs w:val="32"/>
          <w:lang w:val="en-US" w:eastAsia="zh-CN"/>
        </w:rPr>
        <w:t>费</w:t>
      </w:r>
      <w:r>
        <w:rPr>
          <w:rFonts w:hint="default" w:ascii="Times New Roman" w:hAnsi="Times New Roman" w:eastAsia="方正仿宋_GBK" w:cs="Times New Roman"/>
          <w:sz w:val="32"/>
          <w:szCs w:val="32"/>
          <w:lang w:val="en-US" w:eastAsia="zh-CN"/>
        </w:rPr>
        <w:t>、会议费、培训费、工会经费、公务用车运行维护费、其他交通费、其他商品服务支出增加。</w:t>
      </w:r>
    </w:p>
    <w:p w14:paraId="332BF7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（三）国有资产占用情况说明。</w:t>
      </w:r>
    </w:p>
    <w:p w14:paraId="0B7F0B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21辆，其中，副部（省）级及以上领导用车0辆、主要负责人用车0辆、机要通信用车0辆、应急保障用车21辆、执法执勤用车0辆，特种专业技术用车0辆，离退休干部用车0辆。单价100万元（含）以上专用设备0台（套）。</w:t>
      </w:r>
    </w:p>
    <w:p w14:paraId="6F67A1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（四）政府采购支出情况说明。</w:t>
      </w:r>
    </w:p>
    <w:p w14:paraId="357CBD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未发生政府采购事项，无相关经费支出。</w:t>
      </w:r>
    </w:p>
    <w:p w14:paraId="399DD9C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五、预算绩效管理情况说明</w:t>
      </w:r>
    </w:p>
    <w:p w14:paraId="2C958A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根据预算绩效管理要求，</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单位组织部门本级及所属单位对部门整体和6个项目开展了绩效自评，其中，以填报自评表形式开展自评34项，涉及财政拨款项目支出194.60万元。以委托第三方形式开展绩效自评0项，涉及资金0万元，从评价情况来看，本单位经过严格审查评价，绩效目标达到计划目标。</w:t>
      </w:r>
    </w:p>
    <w:p w14:paraId="7FDF610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（一）部门自评情况。</w:t>
      </w:r>
    </w:p>
    <w:p w14:paraId="61D3E72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根据预算绩效管理要求，</w:t>
      </w:r>
      <w:r>
        <w:rPr>
          <w:rFonts w:hint="eastAsia" w:ascii="Times New Roman" w:hAnsi="Times New Roman" w:eastAsia="方正仿宋_GBK" w:cs="Times New Roman"/>
          <w:sz w:val="32"/>
          <w:szCs w:val="32"/>
          <w:lang w:eastAsia="zh-CN"/>
        </w:rPr>
        <w:t>本</w:t>
      </w:r>
      <w:r>
        <w:rPr>
          <w:rFonts w:hint="default" w:ascii="Times New Roman" w:hAnsi="Times New Roman" w:eastAsia="方正仿宋_GBK" w:cs="Times New Roman"/>
          <w:sz w:val="32"/>
          <w:szCs w:val="32"/>
        </w:rPr>
        <w:t>部门对部门整体</w:t>
      </w:r>
      <w:r>
        <w:rPr>
          <w:rFonts w:hint="default" w:ascii="Times New Roman" w:hAnsi="Times New Roman" w:eastAsia="方正仿宋_GBK" w:cs="Times New Roman"/>
          <w:sz w:val="32"/>
          <w:szCs w:val="32"/>
          <w:lang w:val="en-US" w:eastAsia="zh-CN"/>
        </w:rPr>
        <w:t>和6</w:t>
      </w:r>
      <w:r>
        <w:rPr>
          <w:rFonts w:hint="default" w:ascii="Times New Roman" w:hAnsi="Times New Roman" w:eastAsia="方正仿宋_GBK" w:cs="Times New Roman"/>
          <w:sz w:val="32"/>
          <w:szCs w:val="32"/>
        </w:rPr>
        <w:t>个二级项目开展了绩效自评，涉及财政拨款项目支出资金</w:t>
      </w:r>
      <w:r>
        <w:rPr>
          <w:rFonts w:hint="default" w:ascii="Times New Roman" w:hAnsi="Times New Roman" w:eastAsia="方正仿宋_GBK" w:cs="Times New Roman"/>
          <w:sz w:val="32"/>
          <w:szCs w:val="32"/>
          <w:lang w:val="en-US" w:eastAsia="zh-CN"/>
        </w:rPr>
        <w:t>194.60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w:t>
      </w:r>
    </w:p>
    <w:p w14:paraId="3A25BF6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部门整体绩效自评表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见附表</w:t>
      </w:r>
      <w:r>
        <w:rPr>
          <w:rFonts w:hint="default" w:ascii="Times New Roman" w:hAnsi="Times New Roman" w:eastAsia="方正仿宋_GBK" w:cs="Times New Roman"/>
          <w:sz w:val="32"/>
          <w:szCs w:val="32"/>
          <w:lang w:eastAsia="zh-CN"/>
        </w:rPr>
        <w:t>）</w:t>
      </w:r>
    </w:p>
    <w:p w14:paraId="0E67B8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（二）部门绩效评价情况。</w:t>
      </w:r>
    </w:p>
    <w:p w14:paraId="061181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val="en-US" w:eastAsia="zh-CN"/>
        </w:rPr>
        <w:t>本</w:t>
      </w:r>
      <w:bookmarkStart w:id="0" w:name="_GoBack"/>
      <w:bookmarkEnd w:id="0"/>
      <w:r>
        <w:rPr>
          <w:rFonts w:hint="default" w:ascii="Times New Roman" w:hAnsi="Times New Roman" w:eastAsia="方正仿宋_GBK" w:cs="Times New Roman"/>
          <w:sz w:val="32"/>
          <w:szCs w:val="32"/>
        </w:rPr>
        <w:t>部门对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公共机构节能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课题调研工作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政府工作会议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招商及考察工作</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文件及档案制作管理</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电子政务外网标准化改造</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网络运行维护及线路租用</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等7个项目</w:t>
      </w:r>
      <w:r>
        <w:rPr>
          <w:rFonts w:hint="default" w:ascii="Times New Roman" w:hAnsi="Times New Roman" w:eastAsia="方正仿宋_GBK" w:cs="Times New Roman"/>
          <w:sz w:val="32"/>
          <w:szCs w:val="32"/>
        </w:rPr>
        <w:t>开展了绩效评价，涉及财政拨款项目资金</w:t>
      </w:r>
      <w:r>
        <w:rPr>
          <w:rFonts w:hint="default" w:ascii="Times New Roman" w:hAnsi="Times New Roman" w:eastAsia="方正仿宋_GBK" w:cs="Times New Roman"/>
          <w:sz w:val="32"/>
          <w:szCs w:val="32"/>
          <w:lang w:val="en-US" w:eastAsia="zh-CN"/>
        </w:rPr>
        <w:t>352.41</w:t>
      </w:r>
      <w:r>
        <w:rPr>
          <w:rFonts w:hint="default" w:ascii="Times New Roman" w:hAnsi="Times New Roman" w:eastAsia="方正仿宋_GBK" w:cs="Times New Roman"/>
          <w:sz w:val="32"/>
          <w:szCs w:val="32"/>
        </w:rPr>
        <w:t>万元，评价</w:t>
      </w:r>
      <w:r>
        <w:rPr>
          <w:rFonts w:hint="default" w:ascii="Times New Roman" w:hAnsi="Times New Roman" w:eastAsia="方正仿宋_GBK" w:cs="Times New Roman"/>
          <w:sz w:val="32"/>
          <w:szCs w:val="32"/>
          <w:lang w:val="en-US" w:eastAsia="zh-CN"/>
        </w:rPr>
        <w:t>均</w:t>
      </w:r>
      <w:r>
        <w:rPr>
          <w:rFonts w:hint="default" w:ascii="Times New Roman" w:hAnsi="Times New Roman" w:eastAsia="方正仿宋_GBK" w:cs="Times New Roman"/>
          <w:sz w:val="32"/>
          <w:szCs w:val="32"/>
        </w:rPr>
        <w:t>得分</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分，绩效评价</w:t>
      </w:r>
      <w:r>
        <w:rPr>
          <w:rFonts w:hint="default" w:ascii="Times New Roman" w:hAnsi="Times New Roman" w:eastAsia="方正仿宋_GBK" w:cs="Times New Roman"/>
          <w:sz w:val="32"/>
          <w:szCs w:val="32"/>
          <w:lang w:val="en-US" w:eastAsia="zh-CN"/>
        </w:rPr>
        <w:t>未</w:t>
      </w:r>
      <w:r>
        <w:rPr>
          <w:rFonts w:hint="default" w:ascii="Times New Roman" w:hAnsi="Times New Roman" w:eastAsia="方正仿宋_GBK" w:cs="Times New Roman"/>
          <w:sz w:val="32"/>
          <w:szCs w:val="32"/>
        </w:rPr>
        <w:t>发现问题</w:t>
      </w:r>
      <w:r>
        <w:rPr>
          <w:rFonts w:hint="default" w:ascii="Times New Roman" w:hAnsi="Times New Roman" w:eastAsia="方正仿宋_GBK" w:cs="Times New Roman"/>
          <w:sz w:val="32"/>
          <w:szCs w:val="32"/>
          <w:lang w:eastAsia="zh-CN"/>
        </w:rPr>
        <w:t>。</w:t>
      </w:r>
    </w:p>
    <w:p w14:paraId="436780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（三）财政绩效评价情况。</w:t>
      </w:r>
    </w:p>
    <w:p w14:paraId="6823EE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区财政局未委托第三方对</w:t>
      </w:r>
      <w:r>
        <w:rPr>
          <w:rFonts w:hint="eastAsia" w:ascii="Times New Roman" w:hAnsi="Times New Roman" w:eastAsia="方正仿宋_GBK" w:cs="Times New Roman"/>
          <w:sz w:val="32"/>
          <w:szCs w:val="32"/>
          <w:lang w:val="en-US" w:eastAsia="zh-CN"/>
        </w:rPr>
        <w:t>本</w:t>
      </w:r>
      <w:r>
        <w:rPr>
          <w:rFonts w:hint="default" w:ascii="Times New Roman" w:hAnsi="Times New Roman" w:eastAsia="方正仿宋_GBK" w:cs="Times New Roman"/>
          <w:sz w:val="32"/>
          <w:szCs w:val="32"/>
          <w:lang w:val="en-US" w:eastAsia="zh-CN"/>
        </w:rPr>
        <w:t>部门开展绩效评价。</w:t>
      </w:r>
    </w:p>
    <w:p w14:paraId="65955E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六、专业名词解释</w:t>
      </w:r>
    </w:p>
    <w:p w14:paraId="0F82166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指本年度从本级财政部门取得的财政拨款，包括一般公共预算财政拨款和政府性基金预算财政拨款。</w:t>
      </w:r>
    </w:p>
    <w:p w14:paraId="4A120E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（二）事业收入：</w:t>
      </w:r>
      <w:r>
        <w:rPr>
          <w:rFonts w:hint="default"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14:paraId="30E2F38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（三）经营收入：</w:t>
      </w:r>
      <w:r>
        <w:rPr>
          <w:rFonts w:hint="default" w:ascii="Times New Roman" w:hAnsi="Times New Roman" w:eastAsia="方正仿宋_GBK" w:cs="Times New Roman"/>
          <w:sz w:val="32"/>
          <w:szCs w:val="32"/>
        </w:rPr>
        <w:t>指事业单位在专业业务活动及其辅助活动之外开展非独立核算经营活动取得的现金流入。</w:t>
      </w:r>
    </w:p>
    <w:p w14:paraId="3F1BC7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（四）其他收入：</w:t>
      </w:r>
      <w:r>
        <w:rPr>
          <w:rFonts w:hint="default" w:ascii="Times New Roman" w:hAnsi="Times New Roman" w:eastAsia="方正仿宋_GBK" w:cs="Times New Roman"/>
          <w:sz w:val="32"/>
          <w:szCs w:val="32"/>
        </w:rPr>
        <w:t>指单位取得的除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3B8EC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（五）使用非财政拨款结余：</w:t>
      </w:r>
      <w:r>
        <w:rPr>
          <w:rFonts w:hint="default" w:ascii="Times New Roman" w:hAnsi="Times New Roman" w:eastAsia="方正仿宋_GBK" w:cs="Times New Roman"/>
          <w:sz w:val="32"/>
          <w:szCs w:val="32"/>
        </w:rPr>
        <w:t>指单位在当年的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财政拨款收入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事业收入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经营收入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其他收入</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等不足以安排当年支出的情况下，使用以前年度积累的非财政拨款结余弥补本年度收支缺口的资金。</w:t>
      </w:r>
    </w:p>
    <w:p w14:paraId="2C0308E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（六）年初结转和结余：</w:t>
      </w:r>
      <w:r>
        <w:rPr>
          <w:rFonts w:hint="default" w:ascii="Times New Roman" w:hAnsi="Times New Roman" w:eastAsia="方正仿宋_GBK" w:cs="Times New Roman"/>
          <w:sz w:val="32"/>
          <w:szCs w:val="32"/>
        </w:rPr>
        <w:t>指单位上年结转本年使用的基本支出结转、项目支出结转和结余、经营结余。</w:t>
      </w:r>
    </w:p>
    <w:p w14:paraId="556B97C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（七）结余分配：</w:t>
      </w:r>
      <w:r>
        <w:rPr>
          <w:rFonts w:hint="default" w:ascii="Times New Roman" w:hAnsi="Times New Roman" w:eastAsia="方正仿宋_GBK" w:cs="Times New Roman"/>
          <w:sz w:val="32"/>
          <w:szCs w:val="32"/>
        </w:rPr>
        <w:t>指单位按照国家有关规定，缴纳所得税、提取专用基金、转入非财政拨款结余等当年结余的分配情况。</w:t>
      </w:r>
    </w:p>
    <w:p w14:paraId="09F176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（八）年末结转和结余：</w:t>
      </w:r>
      <w:r>
        <w:rPr>
          <w:rFonts w:hint="default" w:ascii="Times New Roman" w:hAnsi="Times New Roman" w:eastAsia="方正仿宋_GBK" w:cs="Times New Roman"/>
          <w:sz w:val="32"/>
          <w:szCs w:val="32"/>
        </w:rPr>
        <w:t>指单位结转下年的基本支出结转、项目支出结转和结余、经营结余。</w:t>
      </w:r>
    </w:p>
    <w:p w14:paraId="17ABEF7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（九）基本支出：</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；公用经费指政府收支分类经济科目中除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工资福利支出</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对个人和家庭的补助</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外的其他支出。</w:t>
      </w:r>
    </w:p>
    <w:p w14:paraId="13A6BA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（十）项目支出：</w:t>
      </w:r>
      <w:r>
        <w:rPr>
          <w:rFonts w:hint="default" w:ascii="Times New Roman" w:hAnsi="Times New Roman" w:eastAsia="方正仿宋_GBK" w:cs="Times New Roman"/>
          <w:sz w:val="32"/>
          <w:szCs w:val="32"/>
        </w:rPr>
        <w:t>指在基本支出之外为完成特定行政任务和事业发展目标所发生的支出。</w:t>
      </w:r>
    </w:p>
    <w:p w14:paraId="037297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（十一）经营支出：</w:t>
      </w:r>
      <w:r>
        <w:rPr>
          <w:rFonts w:hint="default" w:ascii="Times New Roman" w:hAnsi="Times New Roman" w:eastAsia="方正仿宋_GBK" w:cs="Times New Roman"/>
          <w:sz w:val="32"/>
          <w:szCs w:val="32"/>
        </w:rPr>
        <w:t>指事业单位在专业业务活动及其辅助活动之外开展非独立核算经营活动发生的支出。</w:t>
      </w:r>
    </w:p>
    <w:p w14:paraId="7082E0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（十二</w:t>
      </w:r>
      <w:r>
        <w:rPr>
          <w:rFonts w:hint="eastAsia" w:ascii="方正楷体_GBK" w:hAnsi="方正楷体_GBK" w:eastAsia="方正楷体_GBK" w:cs="方正楷体_GBK"/>
          <w:sz w:val="32"/>
          <w:szCs w:val="32"/>
          <w:lang w:val="en-US" w:eastAsia="zh-CN"/>
        </w:rPr>
        <w:t>）“三公”</w:t>
      </w:r>
      <w:r>
        <w:rPr>
          <w:rFonts w:hint="default" w:ascii="Times New Roman" w:hAnsi="Times New Roman" w:eastAsia="方正楷体_GBK" w:cs="Times New Roman"/>
          <w:sz w:val="32"/>
          <w:szCs w:val="32"/>
          <w:lang w:val="en-US" w:eastAsia="zh-CN"/>
        </w:rPr>
        <w:t>经费：</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CD845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（十三）机关运行经费：</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8BF07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（十四）工资福利支出（支出经济分类科目类级）：</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4056BF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（十五）商品和服务支出（支出经济分类科目类级）：</w:t>
      </w:r>
      <w:r>
        <w:rPr>
          <w:rFonts w:hint="default" w:ascii="Times New Roman" w:hAnsi="Times New Roman" w:eastAsia="方正仿宋_GBK" w:cs="Times New Roman"/>
          <w:sz w:val="32"/>
          <w:szCs w:val="32"/>
        </w:rPr>
        <w:t>反映单位购买商品和服务的支出（不包括用于购置固定资产的支出、战略性和应急储备支出）。</w:t>
      </w:r>
    </w:p>
    <w:p w14:paraId="3C99D6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（十六）对个人和家庭的补助（支出经济分类科目类级）：</w:t>
      </w:r>
      <w:r>
        <w:rPr>
          <w:rFonts w:hint="default" w:ascii="Times New Roman" w:hAnsi="Times New Roman" w:eastAsia="方正仿宋_GBK" w:cs="Times New Roman"/>
          <w:sz w:val="32"/>
          <w:szCs w:val="32"/>
        </w:rPr>
        <w:t>反映用于对个人和家庭的补助支出。</w:t>
      </w:r>
    </w:p>
    <w:p w14:paraId="7C2F4F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7A41CB6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七、决算公开联系方式及信息反馈渠道</w:t>
      </w:r>
    </w:p>
    <w:p w14:paraId="7B8E35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lang w:val="en-US" w:eastAsia="zh-CN"/>
        </w:rPr>
        <w:t>023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43762520</w:t>
      </w:r>
      <w:r>
        <w:rPr>
          <w:rFonts w:hint="eastAsia" w:ascii="Times New Roman" w:hAnsi="Times New Roman" w:eastAsia="方正仿宋_GBK" w:cs="Times New Roman"/>
          <w:sz w:val="32"/>
          <w:szCs w:val="32"/>
          <w:lang w:val="en-US" w:eastAsia="zh-CN"/>
        </w:rPr>
        <w:t>。</w:t>
      </w:r>
    </w:p>
    <w:tbl>
      <w:tblPr>
        <w:tblStyle w:val="4"/>
        <w:tblW w:w="5465" w:type="pct"/>
        <w:tblInd w:w="-293" w:type="dxa"/>
        <w:tblLayout w:type="autofit"/>
        <w:tblCellMar>
          <w:top w:w="0" w:type="dxa"/>
          <w:left w:w="0" w:type="dxa"/>
          <w:bottom w:w="0" w:type="dxa"/>
          <w:right w:w="0" w:type="dxa"/>
        </w:tblCellMar>
      </w:tblPr>
      <w:tblGrid>
        <w:gridCol w:w="4155"/>
        <w:gridCol w:w="870"/>
        <w:gridCol w:w="3630"/>
        <w:gridCol w:w="1230"/>
      </w:tblGrid>
      <w:tr w14:paraId="1A4CF202">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B940999">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收入支出决算总表</w:t>
            </w:r>
          </w:p>
        </w:tc>
      </w:tr>
      <w:tr w14:paraId="51483A9E">
        <w:tblPrEx>
          <w:tblCellMar>
            <w:top w:w="0" w:type="dxa"/>
            <w:left w:w="0" w:type="dxa"/>
            <w:bottom w:w="0" w:type="dxa"/>
            <w:right w:w="0" w:type="dxa"/>
          </w:tblCellMar>
        </w:tblPrEx>
        <w:trPr>
          <w:trHeight w:val="232" w:hRule="atLeast"/>
        </w:trPr>
        <w:tc>
          <w:tcPr>
            <w:tcW w:w="2105" w:type="pct"/>
            <w:tcBorders>
              <w:top w:val="nil"/>
              <w:left w:val="nil"/>
              <w:bottom w:val="nil"/>
              <w:right w:val="nil"/>
            </w:tcBorders>
            <w:shd w:val="clear" w:color="auto" w:fill="auto"/>
            <w:noWrap/>
            <w:tcMar>
              <w:top w:w="15" w:type="dxa"/>
              <w:left w:w="15" w:type="dxa"/>
              <w:right w:w="15" w:type="dxa"/>
            </w:tcMar>
            <w:vAlign w:val="bottom"/>
          </w:tcPr>
          <w:p w14:paraId="09FBC77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nil"/>
              <w:left w:val="nil"/>
              <w:bottom w:val="nil"/>
              <w:right w:val="nil"/>
            </w:tcBorders>
            <w:shd w:val="clear" w:color="auto" w:fill="auto"/>
            <w:noWrap/>
            <w:tcMar>
              <w:top w:w="15" w:type="dxa"/>
              <w:left w:w="15" w:type="dxa"/>
              <w:right w:w="15" w:type="dxa"/>
            </w:tcMar>
            <w:vAlign w:val="bottom"/>
          </w:tcPr>
          <w:p w14:paraId="3E33C32F">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nil"/>
              <w:right w:val="nil"/>
            </w:tcBorders>
            <w:shd w:val="clear" w:color="auto" w:fill="auto"/>
            <w:noWrap/>
            <w:tcMar>
              <w:top w:w="15" w:type="dxa"/>
              <w:left w:w="15" w:type="dxa"/>
              <w:right w:w="15" w:type="dxa"/>
            </w:tcMar>
            <w:vAlign w:val="bottom"/>
          </w:tcPr>
          <w:p w14:paraId="404487D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76AF1057">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公开01表</w:t>
            </w:r>
          </w:p>
        </w:tc>
      </w:tr>
      <w:tr w14:paraId="3E42E5F5">
        <w:tblPrEx>
          <w:tblCellMar>
            <w:top w:w="0" w:type="dxa"/>
            <w:left w:w="0" w:type="dxa"/>
            <w:bottom w:w="0" w:type="dxa"/>
            <w:right w:w="0" w:type="dxa"/>
          </w:tblCellMar>
        </w:tblPrEx>
        <w:trPr>
          <w:trHeight w:val="232" w:hRule="atLeast"/>
        </w:trPr>
        <w:tc>
          <w:tcPr>
            <w:tcW w:w="2541" w:type="pct"/>
            <w:gridSpan w:val="2"/>
            <w:tcBorders>
              <w:top w:val="nil"/>
              <w:left w:val="nil"/>
              <w:bottom w:val="nil"/>
              <w:right w:val="nil"/>
            </w:tcBorders>
            <w:shd w:val="clear" w:color="auto" w:fill="auto"/>
            <w:noWrap/>
            <w:tcMar>
              <w:top w:w="15" w:type="dxa"/>
              <w:left w:w="15" w:type="dxa"/>
              <w:right w:w="15" w:type="dxa"/>
            </w:tcMar>
            <w:vAlign w:val="bottom"/>
          </w:tcPr>
          <w:p w14:paraId="57D8FCE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公开部门：</w:t>
            </w:r>
            <w:r>
              <w:rPr>
                <w:rFonts w:hint="default" w:ascii="Times New Roman" w:hAnsi="Times New Roman" w:eastAsia="方正仿宋_GBK" w:cs="Times New Roman"/>
                <w:sz w:val="24"/>
                <w:szCs w:val="24"/>
                <w:u w:color="auto"/>
              </w:rPr>
              <w:t>重庆市大足区人民政府办公室</w:t>
            </w:r>
          </w:p>
        </w:tc>
        <w:tc>
          <w:tcPr>
            <w:tcW w:w="1835" w:type="pct"/>
            <w:tcBorders>
              <w:top w:val="nil"/>
              <w:left w:val="nil"/>
              <w:bottom w:val="nil"/>
              <w:right w:val="nil"/>
            </w:tcBorders>
            <w:shd w:val="clear" w:color="auto" w:fill="auto"/>
            <w:noWrap/>
            <w:tcMar>
              <w:top w:w="15" w:type="dxa"/>
              <w:left w:w="15" w:type="dxa"/>
              <w:right w:w="15" w:type="dxa"/>
            </w:tcMar>
            <w:vAlign w:val="bottom"/>
          </w:tcPr>
          <w:p w14:paraId="7C48BAD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22" w:type="pct"/>
            <w:tcBorders>
              <w:top w:val="nil"/>
              <w:left w:val="nil"/>
              <w:bottom w:val="nil"/>
              <w:right w:val="nil"/>
            </w:tcBorders>
            <w:shd w:val="clear" w:color="auto" w:fill="auto"/>
            <w:noWrap/>
            <w:tcMar>
              <w:top w:w="15" w:type="dxa"/>
              <w:left w:w="15" w:type="dxa"/>
              <w:right w:w="15" w:type="dxa"/>
            </w:tcMar>
            <w:vAlign w:val="bottom"/>
          </w:tcPr>
          <w:p w14:paraId="1BE9B763">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435F013C">
        <w:tblPrEx>
          <w:tblCellMar>
            <w:top w:w="0" w:type="dxa"/>
            <w:left w:w="0" w:type="dxa"/>
            <w:bottom w:w="0" w:type="dxa"/>
            <w:right w:w="0" w:type="dxa"/>
          </w:tblCellMar>
        </w:tblPrEx>
        <w:trPr>
          <w:trHeight w:val="243" w:hRule="atLeast"/>
        </w:trPr>
        <w:tc>
          <w:tcPr>
            <w:tcW w:w="2541"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4597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收入</w:t>
            </w:r>
          </w:p>
        </w:tc>
        <w:tc>
          <w:tcPr>
            <w:tcW w:w="2458"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4AFA7A5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支出</w:t>
            </w:r>
          </w:p>
        </w:tc>
      </w:tr>
      <w:tr w14:paraId="5AA1BD6E">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1A3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43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517E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153A5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w:t>
            </w:r>
          </w:p>
        </w:tc>
        <w:tc>
          <w:tcPr>
            <w:tcW w:w="62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DFA9D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r>
      <w:tr w14:paraId="09F3CB90">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078F6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一、一般公共预算财政拨款收入</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D756">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86478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一、一般公共服务支出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DA10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1,299.00</w:t>
            </w:r>
            <w:r>
              <w:rPr>
                <w:rFonts w:hint="default" w:ascii="Times New Roman" w:hAnsi="Times New Roman" w:eastAsia="方正仿宋_GBK" w:cs="Times New Roman"/>
                <w:color w:val="000000"/>
                <w:sz w:val="24"/>
                <w:szCs w:val="24"/>
                <w:u w:color="auto"/>
              </w:rPr>
              <w:t xml:space="preserve"> </w:t>
            </w:r>
          </w:p>
        </w:tc>
      </w:tr>
      <w:tr w14:paraId="51BA9252">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FAF1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二、政府性基金预算财政拨款收入</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D35A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50B5D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二、外交支出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287F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1CA9B8B">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1906B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三、国有资本经营预算财政拨款收入</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54096">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A4564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三、国防支出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2E39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120D481">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6D487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四、上级补助收入</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6F550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91BB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四、公共安全支出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C16E8">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73A7237">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238B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五、事业收入</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8DD9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2DC024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五、教育支出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6385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A738E32">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8FD0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六、经营收入</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7F36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3CB76B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六、科学技术支出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3E6D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CA7A501">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1F874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七、附属单位上缴收入</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58E6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71CB3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七、文化旅游体育与传媒支出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BF0B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CB6043B">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FEF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八、其他收入</w:t>
            </w:r>
          </w:p>
        </w:tc>
        <w:tc>
          <w:tcPr>
            <w:tcW w:w="436" w:type="pct"/>
            <w:tcBorders>
              <w:top w:val="nil"/>
              <w:left w:val="nil"/>
              <w:bottom w:val="nil"/>
              <w:right w:val="single" w:color="000000" w:sz="4" w:space="0"/>
            </w:tcBorders>
            <w:shd w:val="clear" w:color="auto" w:fill="auto"/>
            <w:noWrap/>
            <w:tcMar>
              <w:top w:w="15" w:type="dxa"/>
              <w:left w:w="15" w:type="dxa"/>
              <w:right w:w="15" w:type="dxa"/>
            </w:tcMar>
            <w:vAlign w:val="center"/>
          </w:tcPr>
          <w:p w14:paraId="45DE79E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1A82AF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八、社会保障和就业支出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68AFB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209.72</w:t>
            </w:r>
            <w:r>
              <w:rPr>
                <w:rFonts w:hint="default" w:ascii="Times New Roman" w:hAnsi="Times New Roman" w:eastAsia="方正仿宋_GBK" w:cs="Times New Roman"/>
                <w:color w:val="000000"/>
                <w:sz w:val="24"/>
                <w:szCs w:val="24"/>
                <w:u w:color="auto"/>
              </w:rPr>
              <w:t xml:space="preserve"> </w:t>
            </w:r>
          </w:p>
        </w:tc>
      </w:tr>
      <w:tr w14:paraId="021D7F6A">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D9500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66789F">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B3EB86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九、卫生健康支出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23121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70.14</w:t>
            </w:r>
            <w:r>
              <w:rPr>
                <w:rFonts w:hint="default" w:ascii="Times New Roman" w:hAnsi="Times New Roman" w:eastAsia="方正仿宋_GBK" w:cs="Times New Roman"/>
                <w:color w:val="000000"/>
                <w:sz w:val="24"/>
                <w:szCs w:val="24"/>
                <w:u w:color="auto"/>
              </w:rPr>
              <w:t xml:space="preserve"> </w:t>
            </w:r>
          </w:p>
        </w:tc>
      </w:tr>
      <w:tr w14:paraId="6F80D744">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auto" w:sz="4" w:space="0"/>
              <w:right w:val="single" w:color="000000" w:sz="4" w:space="0"/>
            </w:tcBorders>
            <w:shd w:val="clear" w:color="FFFFFF" w:fill="C0C0C0"/>
            <w:noWrap/>
            <w:tcMar>
              <w:top w:w="15" w:type="dxa"/>
              <w:left w:w="15" w:type="dxa"/>
              <w:right w:w="15" w:type="dxa"/>
            </w:tcMar>
            <w:vAlign w:val="center"/>
          </w:tcPr>
          <w:p w14:paraId="0B56312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bottom"/>
          </w:tcPr>
          <w:p w14:paraId="4020627A">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single" w:color="auto" w:sz="4" w:space="0"/>
              <w:right w:val="single" w:color="000000" w:sz="4" w:space="0"/>
            </w:tcBorders>
            <w:shd w:val="clear" w:color="FFFFFF" w:fill="C0C0C0"/>
            <w:noWrap/>
            <w:tcMar>
              <w:top w:w="15" w:type="dxa"/>
              <w:left w:w="15" w:type="dxa"/>
              <w:right w:w="15" w:type="dxa"/>
            </w:tcMar>
            <w:vAlign w:val="center"/>
          </w:tcPr>
          <w:p w14:paraId="563FD42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十、节能环保支出</w:t>
            </w:r>
          </w:p>
        </w:tc>
        <w:tc>
          <w:tcPr>
            <w:tcW w:w="62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125008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F37164D">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7F2318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8853E3">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703FC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十一、城乡社区支出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93799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0AAD921">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57F478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924F7B">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E9CA35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十二、农林水支出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8C95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6E48857">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554F90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D4439">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2F3D5C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十三、交通运输支出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6885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649E764">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B79F2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DC931">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67AB95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十四、资源勘探工业信息等支出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B9AC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487055B">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6B5E2A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863041">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D9E2AA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十五、商业服务业等支出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B63E5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0257256">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1E87C5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CFDDF4">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B8144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十六、金融支出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B14DB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27E03A5">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A4406D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2B1D70">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8C306D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十七、援助其他地区支出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508FF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732B6FD">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A6CE49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3C5754">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6569F5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十八、自然资源海洋气象等支出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47505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9EC98CB">
        <w:tblPrEx>
          <w:tblCellMar>
            <w:top w:w="0" w:type="dxa"/>
            <w:left w:w="0" w:type="dxa"/>
            <w:bottom w:w="0" w:type="dxa"/>
            <w:right w:w="0" w:type="dxa"/>
          </w:tblCellMar>
        </w:tblPrEx>
        <w:trPr>
          <w:trHeight w:val="243" w:hRule="atLeast"/>
        </w:trPr>
        <w:tc>
          <w:tcPr>
            <w:tcW w:w="21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D2DAF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E572A">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1B575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十九、住房保障支出</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E52A95">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88.93</w:t>
            </w:r>
            <w:r>
              <w:rPr>
                <w:rFonts w:hint="default" w:ascii="Times New Roman" w:hAnsi="Times New Roman" w:eastAsia="方正仿宋_GBK" w:cs="Times New Roman"/>
                <w:color w:val="000000"/>
                <w:sz w:val="24"/>
                <w:szCs w:val="24"/>
                <w:u w:color="auto"/>
              </w:rPr>
              <w:t xml:space="preserve"> </w:t>
            </w:r>
          </w:p>
        </w:tc>
      </w:tr>
      <w:tr w14:paraId="09DD36CE">
        <w:tblPrEx>
          <w:tblCellMar>
            <w:top w:w="0" w:type="dxa"/>
            <w:left w:w="0" w:type="dxa"/>
            <w:bottom w:w="0" w:type="dxa"/>
            <w:right w:w="0" w:type="dxa"/>
          </w:tblCellMar>
        </w:tblPrEx>
        <w:trPr>
          <w:trHeight w:val="243" w:hRule="atLeast"/>
        </w:trPr>
        <w:tc>
          <w:tcPr>
            <w:tcW w:w="2105" w:type="pct"/>
            <w:tcBorders>
              <w:top w:val="single" w:color="auto"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8C02E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8CE3B8F">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single" w:color="auto"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2D7DA43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二十、粮油物资储备支出</w:t>
            </w:r>
          </w:p>
        </w:tc>
        <w:tc>
          <w:tcPr>
            <w:tcW w:w="622"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4D2E811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1471641">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753D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55122">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D1768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二十一、国有资本经营预算支出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3A4B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42D7D65">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0E52A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79C1E">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ACF23F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二十二、灾害防治及应急管理支出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8EF4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4698EB7">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505FD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56A01">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614E2E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二十三、其他支出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77EE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4A80FBE">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A6B62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1C7E4">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9317BE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二十四、债务还本支出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7F227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5664F0E">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10D62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9992B">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C3068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二十五、债务付息支出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AB857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A88F912">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DDB90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A1FBE">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6D1311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二十六、抗疫特别国债安排的支出</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6708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97C2E37">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6BAC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44FB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764CAA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4558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r>
              <w:rPr>
                <w:rFonts w:hint="default" w:ascii="Times New Roman" w:hAnsi="Times New Roman" w:eastAsia="方正仿宋_GBK" w:cs="Times New Roman"/>
                <w:color w:val="000000"/>
                <w:sz w:val="24"/>
                <w:szCs w:val="24"/>
                <w:u w:color="auto"/>
              </w:rPr>
              <w:t xml:space="preserve"> </w:t>
            </w:r>
          </w:p>
        </w:tc>
      </w:tr>
      <w:tr w14:paraId="6103EB55">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A4EEF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使用非财政拨款结余和专用结余</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CB0C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682C0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结余分配</w:t>
            </w:r>
          </w:p>
        </w:tc>
        <w:tc>
          <w:tcPr>
            <w:tcW w:w="62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0F52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3BED870">
        <w:tblPrEx>
          <w:tblCellMar>
            <w:top w:w="0" w:type="dxa"/>
            <w:left w:w="0" w:type="dxa"/>
            <w:bottom w:w="0" w:type="dxa"/>
            <w:right w:w="0" w:type="dxa"/>
          </w:tblCellMar>
        </w:tblPrEx>
        <w:trPr>
          <w:trHeight w:val="24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CA7FB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年初结转和结余</w:t>
            </w: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D63F9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709E5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年末结转和结余</w:t>
            </w:r>
          </w:p>
        </w:tc>
        <w:tc>
          <w:tcPr>
            <w:tcW w:w="622"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3E486E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3B6D296">
        <w:tblPrEx>
          <w:tblCellMar>
            <w:top w:w="0" w:type="dxa"/>
            <w:left w:w="0" w:type="dxa"/>
            <w:bottom w:w="0" w:type="dxa"/>
            <w:right w:w="0" w:type="dxa"/>
          </w:tblCellMar>
        </w:tblPrEx>
        <w:trPr>
          <w:trHeight w:val="253" w:hRule="atLeast"/>
        </w:trPr>
        <w:tc>
          <w:tcPr>
            <w:tcW w:w="2105"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2E1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DC5A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r>
              <w:rPr>
                <w:rFonts w:hint="default" w:ascii="Times New Roman" w:hAnsi="Times New Roman" w:eastAsia="方正仿宋_GBK" w:cs="Times New Roman"/>
                <w:color w:val="000000"/>
                <w:sz w:val="24"/>
                <w:szCs w:val="24"/>
                <w:u w:color="auto"/>
              </w:rPr>
              <w:t xml:space="preserve"> </w:t>
            </w:r>
          </w:p>
        </w:tc>
        <w:tc>
          <w:tcPr>
            <w:tcW w:w="1835"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4D51C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6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27B58A">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r>
              <w:rPr>
                <w:rFonts w:hint="default" w:ascii="Times New Roman" w:hAnsi="Times New Roman" w:eastAsia="方正仿宋_GBK" w:cs="Times New Roman"/>
                <w:color w:val="000000"/>
                <w:sz w:val="24"/>
                <w:szCs w:val="24"/>
                <w:u w:color="auto"/>
              </w:rPr>
              <w:t xml:space="preserve"> </w:t>
            </w:r>
          </w:p>
        </w:tc>
      </w:tr>
    </w:tbl>
    <w:p w14:paraId="76C87B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备注：1.本表反映部门本年度的总收支和年末结转结余情况。</w:t>
      </w:r>
    </w:p>
    <w:p w14:paraId="0D9F0CE8">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2.本套报表金额单位转换时可能存在尾数误差。</w:t>
      </w:r>
    </w:p>
    <w:p w14:paraId="1FC8CDA9">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eastAsia="方正仿宋_GBK" w:cs="Times New Roman"/>
          <w:sz w:val="24"/>
          <w:szCs w:val="24"/>
          <w:lang w:val="en-US" w:eastAsia="zh-CN"/>
        </w:rPr>
      </w:pPr>
    </w:p>
    <w:tbl>
      <w:tblPr>
        <w:tblStyle w:val="4"/>
        <w:tblW w:w="5473" w:type="pct"/>
        <w:tblInd w:w="-293" w:type="dxa"/>
        <w:tblLayout w:type="fixed"/>
        <w:tblCellMar>
          <w:top w:w="0" w:type="dxa"/>
          <w:left w:w="0" w:type="dxa"/>
          <w:bottom w:w="0" w:type="dxa"/>
          <w:right w:w="0" w:type="dxa"/>
        </w:tblCellMar>
      </w:tblPr>
      <w:tblGrid>
        <w:gridCol w:w="1005"/>
        <w:gridCol w:w="2152"/>
        <w:gridCol w:w="1358"/>
        <w:gridCol w:w="1245"/>
        <w:gridCol w:w="765"/>
        <w:gridCol w:w="525"/>
        <w:gridCol w:w="720"/>
        <w:gridCol w:w="525"/>
        <w:gridCol w:w="855"/>
        <w:gridCol w:w="750"/>
      </w:tblGrid>
      <w:tr w14:paraId="0D096DC0">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366FF02">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收入决算表</w:t>
            </w:r>
          </w:p>
        </w:tc>
      </w:tr>
      <w:tr w14:paraId="50C14853">
        <w:tblPrEx>
          <w:tblCellMar>
            <w:top w:w="0" w:type="dxa"/>
            <w:left w:w="0" w:type="dxa"/>
            <w:bottom w:w="0" w:type="dxa"/>
            <w:right w:w="0" w:type="dxa"/>
          </w:tblCellMar>
        </w:tblPrEx>
        <w:trPr>
          <w:trHeight w:val="328" w:hRule="atLeast"/>
        </w:trPr>
        <w:tc>
          <w:tcPr>
            <w:tcW w:w="3295" w:type="pct"/>
            <w:gridSpan w:val="5"/>
            <w:vMerge w:val="restart"/>
            <w:tcBorders>
              <w:top w:val="nil"/>
              <w:left w:val="nil"/>
              <w:right w:val="nil"/>
            </w:tcBorders>
            <w:shd w:val="clear" w:color="auto" w:fill="auto"/>
            <w:noWrap/>
            <w:tcMar>
              <w:top w:w="15" w:type="dxa"/>
              <w:left w:w="15" w:type="dxa"/>
              <w:right w:w="15" w:type="dxa"/>
            </w:tcMar>
            <w:vAlign w:val="bottom"/>
          </w:tcPr>
          <w:p w14:paraId="6AD3B5A9">
            <w:pPr>
              <w:keepNext w:val="0"/>
              <w:keepLines w:val="0"/>
              <w:pageBreakBefore w:val="0"/>
              <w:widowControl w:val="0"/>
              <w:kinsoku/>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公开部门：</w:t>
            </w:r>
            <w:r>
              <w:rPr>
                <w:rFonts w:hint="default" w:ascii="Times New Roman" w:hAnsi="Times New Roman" w:eastAsia="方正仿宋_GBK" w:cs="Times New Roman"/>
                <w:sz w:val="24"/>
                <w:szCs w:val="24"/>
                <w:u w:color="auto"/>
              </w:rPr>
              <w:t>重庆市大足区人民政府办公室</w:t>
            </w:r>
          </w:p>
        </w:tc>
        <w:tc>
          <w:tcPr>
            <w:tcW w:w="265" w:type="pct"/>
            <w:tcBorders>
              <w:top w:val="nil"/>
              <w:left w:val="nil"/>
              <w:bottom w:val="nil"/>
              <w:right w:val="nil"/>
            </w:tcBorders>
            <w:shd w:val="clear" w:color="auto" w:fill="auto"/>
            <w:noWrap/>
            <w:tcMar>
              <w:top w:w="15" w:type="dxa"/>
              <w:left w:w="15" w:type="dxa"/>
              <w:right w:w="15" w:type="dxa"/>
            </w:tcMar>
            <w:vAlign w:val="bottom"/>
          </w:tcPr>
          <w:p w14:paraId="5BBCF502">
            <w:pPr>
              <w:keepNext w:val="0"/>
              <w:keepLines w:val="0"/>
              <w:pageBreakBefore w:val="0"/>
              <w:widowControl w:val="0"/>
              <w:kinsoku/>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63" w:type="pct"/>
            <w:tcBorders>
              <w:top w:val="nil"/>
              <w:left w:val="nil"/>
              <w:bottom w:val="nil"/>
              <w:right w:val="nil"/>
            </w:tcBorders>
            <w:shd w:val="clear" w:color="auto" w:fill="auto"/>
            <w:noWrap/>
            <w:tcMar>
              <w:top w:w="15" w:type="dxa"/>
              <w:left w:w="15" w:type="dxa"/>
              <w:right w:w="15" w:type="dxa"/>
            </w:tcMar>
            <w:vAlign w:val="bottom"/>
          </w:tcPr>
          <w:p w14:paraId="5AFA9BE5">
            <w:pPr>
              <w:keepNext w:val="0"/>
              <w:keepLines w:val="0"/>
              <w:pageBreakBefore w:val="0"/>
              <w:widowControl w:val="0"/>
              <w:kinsoku/>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265" w:type="pct"/>
            <w:tcBorders>
              <w:top w:val="nil"/>
              <w:left w:val="nil"/>
              <w:bottom w:val="nil"/>
              <w:right w:val="nil"/>
            </w:tcBorders>
            <w:shd w:val="clear" w:color="auto" w:fill="auto"/>
            <w:noWrap/>
            <w:tcMar>
              <w:top w:w="15" w:type="dxa"/>
              <w:left w:w="15" w:type="dxa"/>
              <w:right w:w="15" w:type="dxa"/>
            </w:tcMar>
            <w:vAlign w:val="bottom"/>
          </w:tcPr>
          <w:p w14:paraId="543F44FF">
            <w:pPr>
              <w:keepNext w:val="0"/>
              <w:keepLines w:val="0"/>
              <w:pageBreakBefore w:val="0"/>
              <w:widowControl w:val="0"/>
              <w:kinsoku/>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10" w:type="pct"/>
            <w:gridSpan w:val="2"/>
            <w:tcBorders>
              <w:top w:val="nil"/>
              <w:left w:val="nil"/>
              <w:bottom w:val="nil"/>
              <w:right w:val="nil"/>
            </w:tcBorders>
            <w:shd w:val="clear" w:color="auto" w:fill="auto"/>
            <w:noWrap/>
            <w:tcMar>
              <w:top w:w="15" w:type="dxa"/>
              <w:left w:w="15" w:type="dxa"/>
              <w:right w:w="15" w:type="dxa"/>
            </w:tcMar>
            <w:vAlign w:val="bottom"/>
          </w:tcPr>
          <w:p w14:paraId="463AE472">
            <w:pPr>
              <w:keepNext w:val="0"/>
              <w:keepLines w:val="0"/>
              <w:pageBreakBefore w:val="0"/>
              <w:widowControl w:val="0"/>
              <w:kinsoku/>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公开02表</w:t>
            </w:r>
          </w:p>
        </w:tc>
      </w:tr>
      <w:tr w14:paraId="11C980E8">
        <w:tblPrEx>
          <w:tblCellMar>
            <w:top w:w="0" w:type="dxa"/>
            <w:left w:w="0" w:type="dxa"/>
            <w:bottom w:w="0" w:type="dxa"/>
            <w:right w:w="0" w:type="dxa"/>
          </w:tblCellMar>
        </w:tblPrEx>
        <w:trPr>
          <w:trHeight w:val="328" w:hRule="atLeast"/>
        </w:trPr>
        <w:tc>
          <w:tcPr>
            <w:tcW w:w="3295" w:type="pct"/>
            <w:gridSpan w:val="5"/>
            <w:vMerge w:val="continue"/>
            <w:tcBorders>
              <w:left w:val="nil"/>
              <w:bottom w:val="nil"/>
              <w:right w:val="nil"/>
            </w:tcBorders>
            <w:shd w:val="clear" w:color="auto" w:fill="auto"/>
            <w:noWrap/>
            <w:tcMar>
              <w:top w:w="15" w:type="dxa"/>
              <w:left w:w="15" w:type="dxa"/>
              <w:right w:w="15" w:type="dxa"/>
            </w:tcMar>
            <w:vAlign w:val="bottom"/>
          </w:tcPr>
          <w:p w14:paraId="71485667">
            <w:pPr>
              <w:keepNext w:val="0"/>
              <w:keepLines w:val="0"/>
              <w:pageBreakBefore w:val="0"/>
              <w:widowControl w:val="0"/>
              <w:kinsoku/>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265" w:type="pct"/>
            <w:tcBorders>
              <w:top w:val="nil"/>
              <w:left w:val="nil"/>
              <w:bottom w:val="nil"/>
              <w:right w:val="nil"/>
            </w:tcBorders>
            <w:shd w:val="clear" w:color="auto" w:fill="auto"/>
            <w:noWrap/>
            <w:tcMar>
              <w:top w:w="15" w:type="dxa"/>
              <w:left w:w="15" w:type="dxa"/>
              <w:right w:w="15" w:type="dxa"/>
            </w:tcMar>
            <w:vAlign w:val="bottom"/>
          </w:tcPr>
          <w:p w14:paraId="2991481C">
            <w:pPr>
              <w:keepNext w:val="0"/>
              <w:keepLines w:val="0"/>
              <w:pageBreakBefore w:val="0"/>
              <w:widowControl w:val="0"/>
              <w:kinsoku/>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63" w:type="pct"/>
            <w:tcBorders>
              <w:top w:val="nil"/>
              <w:left w:val="nil"/>
              <w:bottom w:val="nil"/>
              <w:right w:val="nil"/>
            </w:tcBorders>
            <w:shd w:val="clear" w:color="auto" w:fill="auto"/>
            <w:noWrap/>
            <w:tcMar>
              <w:top w:w="15" w:type="dxa"/>
              <w:left w:w="15" w:type="dxa"/>
              <w:right w:w="15" w:type="dxa"/>
            </w:tcMar>
            <w:vAlign w:val="bottom"/>
          </w:tcPr>
          <w:p w14:paraId="0E517C84">
            <w:pPr>
              <w:keepNext w:val="0"/>
              <w:keepLines w:val="0"/>
              <w:pageBreakBefore w:val="0"/>
              <w:widowControl w:val="0"/>
              <w:kinsoku/>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265" w:type="pct"/>
            <w:tcBorders>
              <w:top w:val="nil"/>
              <w:left w:val="nil"/>
              <w:bottom w:val="nil"/>
              <w:right w:val="nil"/>
            </w:tcBorders>
            <w:shd w:val="clear" w:color="auto" w:fill="auto"/>
            <w:noWrap/>
            <w:tcMar>
              <w:top w:w="15" w:type="dxa"/>
              <w:left w:w="15" w:type="dxa"/>
              <w:right w:w="15" w:type="dxa"/>
            </w:tcMar>
            <w:vAlign w:val="bottom"/>
          </w:tcPr>
          <w:p w14:paraId="3F0D27D2">
            <w:pPr>
              <w:keepNext w:val="0"/>
              <w:keepLines w:val="0"/>
              <w:pageBreakBefore w:val="0"/>
              <w:widowControl w:val="0"/>
              <w:kinsoku/>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10" w:type="pct"/>
            <w:gridSpan w:val="2"/>
            <w:tcBorders>
              <w:top w:val="nil"/>
              <w:left w:val="nil"/>
              <w:bottom w:val="nil"/>
              <w:right w:val="nil"/>
            </w:tcBorders>
            <w:shd w:val="clear" w:color="auto" w:fill="auto"/>
            <w:noWrap/>
            <w:tcMar>
              <w:top w:w="15" w:type="dxa"/>
              <w:left w:w="15" w:type="dxa"/>
              <w:right w:w="15" w:type="dxa"/>
            </w:tcMar>
            <w:vAlign w:val="bottom"/>
          </w:tcPr>
          <w:p w14:paraId="072ADB9E">
            <w:pPr>
              <w:keepNext w:val="0"/>
              <w:keepLines w:val="0"/>
              <w:pageBreakBefore w:val="0"/>
              <w:widowControl w:val="0"/>
              <w:kinsoku/>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62FF8AC8">
        <w:tblPrEx>
          <w:tblCellMar>
            <w:top w:w="0" w:type="dxa"/>
            <w:left w:w="0" w:type="dxa"/>
            <w:bottom w:w="0" w:type="dxa"/>
            <w:right w:w="0" w:type="dxa"/>
          </w:tblCellMar>
        </w:tblPrEx>
        <w:trPr>
          <w:trHeight w:val="431" w:hRule="atLeast"/>
        </w:trPr>
        <w:tc>
          <w:tcPr>
            <w:tcW w:w="1594" w:type="pct"/>
            <w:gridSpan w:val="2"/>
            <w:tcBorders>
              <w:top w:val="single" w:color="000000" w:sz="4" w:space="0"/>
              <w:left w:val="single" w:color="000000" w:sz="4" w:space="0"/>
              <w:bottom w:val="single" w:color="auto" w:sz="4" w:space="0"/>
              <w:right w:val="nil"/>
            </w:tcBorders>
            <w:shd w:val="clear" w:color="auto" w:fill="D0CECE"/>
            <w:noWrap/>
            <w:tcMar>
              <w:top w:w="15" w:type="dxa"/>
              <w:left w:w="15" w:type="dxa"/>
              <w:right w:w="15" w:type="dxa"/>
            </w:tcMar>
            <w:vAlign w:val="bottom"/>
          </w:tcPr>
          <w:p w14:paraId="0E889943">
            <w:pPr>
              <w:keepNext w:val="0"/>
              <w:keepLines w:val="0"/>
              <w:pageBreakBefore w:val="0"/>
              <w:widowControl w:val="0"/>
              <w:kinsoku/>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685" w:type="pct"/>
            <w:vMerge w:val="restart"/>
            <w:tcBorders>
              <w:top w:val="single" w:color="000000" w:sz="4" w:space="0"/>
              <w:left w:val="single" w:color="000000" w:sz="4" w:space="0"/>
              <w:bottom w:val="single" w:color="auto" w:sz="4" w:space="0"/>
              <w:right w:val="single" w:color="000000" w:sz="4" w:space="0"/>
            </w:tcBorders>
            <w:shd w:val="clear" w:color="FFFFFF" w:fill="C0C0C0"/>
            <w:tcMar>
              <w:top w:w="15" w:type="dxa"/>
              <w:left w:w="15" w:type="dxa"/>
              <w:right w:w="15" w:type="dxa"/>
            </w:tcMar>
            <w:vAlign w:val="center"/>
          </w:tcPr>
          <w:p w14:paraId="38627695">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628" w:type="pct"/>
            <w:vMerge w:val="restart"/>
            <w:tcBorders>
              <w:top w:val="single" w:color="000000" w:sz="4" w:space="0"/>
              <w:left w:val="single" w:color="000000" w:sz="4" w:space="0"/>
              <w:bottom w:val="single" w:color="auto" w:sz="4" w:space="0"/>
              <w:right w:val="single" w:color="000000" w:sz="4" w:space="0"/>
            </w:tcBorders>
            <w:shd w:val="clear" w:color="FFFFFF" w:fill="C0C0C0"/>
            <w:tcMar>
              <w:top w:w="15" w:type="dxa"/>
              <w:left w:w="15" w:type="dxa"/>
              <w:right w:w="15" w:type="dxa"/>
            </w:tcMar>
            <w:vAlign w:val="center"/>
          </w:tcPr>
          <w:p w14:paraId="7C1CF363">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财政拨款收入</w:t>
            </w:r>
          </w:p>
        </w:tc>
        <w:tc>
          <w:tcPr>
            <w:tcW w:w="386" w:type="pct"/>
            <w:vMerge w:val="restart"/>
            <w:tcBorders>
              <w:top w:val="single" w:color="000000" w:sz="4" w:space="0"/>
              <w:left w:val="single" w:color="000000" w:sz="4" w:space="0"/>
              <w:bottom w:val="single" w:color="auto" w:sz="4" w:space="0"/>
              <w:right w:val="single" w:color="000000" w:sz="4" w:space="0"/>
            </w:tcBorders>
            <w:shd w:val="clear" w:color="FFFFFF" w:fill="C0C0C0"/>
            <w:tcMar>
              <w:top w:w="15" w:type="dxa"/>
              <w:left w:w="15" w:type="dxa"/>
              <w:right w:w="15" w:type="dxa"/>
            </w:tcMar>
            <w:vAlign w:val="center"/>
          </w:tcPr>
          <w:p w14:paraId="09F80D42">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上级补助收入</w:t>
            </w:r>
          </w:p>
        </w:tc>
        <w:tc>
          <w:tcPr>
            <w:tcW w:w="628" w:type="pct"/>
            <w:gridSpan w:val="2"/>
            <w:tcBorders>
              <w:top w:val="single" w:color="000000" w:sz="4" w:space="0"/>
              <w:left w:val="single" w:color="000000" w:sz="4" w:space="0"/>
              <w:bottom w:val="single" w:color="auto" w:sz="4" w:space="0"/>
              <w:right w:val="single" w:color="000000" w:sz="4" w:space="0"/>
            </w:tcBorders>
            <w:shd w:val="clear" w:color="auto" w:fill="C0C0C0"/>
            <w:noWrap/>
            <w:tcMar>
              <w:top w:w="15" w:type="dxa"/>
              <w:left w:w="15" w:type="dxa"/>
              <w:right w:w="15" w:type="dxa"/>
            </w:tcMar>
            <w:vAlign w:val="bottom"/>
          </w:tcPr>
          <w:p w14:paraId="33D24888">
            <w:pPr>
              <w:keepNext w:val="0"/>
              <w:keepLines w:val="0"/>
              <w:pageBreakBefore w:val="0"/>
              <w:widowControl w:val="0"/>
              <w:kinsoku/>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事业收入</w:t>
            </w:r>
          </w:p>
        </w:tc>
        <w:tc>
          <w:tcPr>
            <w:tcW w:w="265" w:type="pct"/>
            <w:vMerge w:val="restart"/>
            <w:tcBorders>
              <w:top w:val="single" w:color="000000" w:sz="4" w:space="0"/>
              <w:left w:val="single" w:color="000000" w:sz="4" w:space="0"/>
              <w:bottom w:val="single" w:color="auto" w:sz="4" w:space="0"/>
              <w:right w:val="single" w:color="000000" w:sz="4" w:space="0"/>
            </w:tcBorders>
            <w:shd w:val="clear" w:color="FFFFFF" w:fill="C0C0C0"/>
            <w:tcMar>
              <w:top w:w="15" w:type="dxa"/>
              <w:left w:w="15" w:type="dxa"/>
              <w:right w:w="15" w:type="dxa"/>
            </w:tcMar>
            <w:vAlign w:val="center"/>
          </w:tcPr>
          <w:p w14:paraId="758E868F">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经营收入</w:t>
            </w:r>
          </w:p>
        </w:tc>
        <w:tc>
          <w:tcPr>
            <w:tcW w:w="431" w:type="pct"/>
            <w:vMerge w:val="restart"/>
            <w:tcBorders>
              <w:top w:val="single" w:color="000000" w:sz="4" w:space="0"/>
              <w:left w:val="single" w:color="000000" w:sz="4" w:space="0"/>
              <w:bottom w:val="single" w:color="auto" w:sz="4" w:space="0"/>
              <w:right w:val="single" w:color="000000" w:sz="4" w:space="0"/>
            </w:tcBorders>
            <w:shd w:val="clear" w:color="FFFFFF" w:fill="C0C0C0"/>
            <w:tcMar>
              <w:top w:w="15" w:type="dxa"/>
              <w:left w:w="15" w:type="dxa"/>
              <w:right w:w="15" w:type="dxa"/>
            </w:tcMar>
            <w:vAlign w:val="center"/>
          </w:tcPr>
          <w:p w14:paraId="7350ABD8">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附属单位上缴收入</w:t>
            </w:r>
          </w:p>
        </w:tc>
        <w:tc>
          <w:tcPr>
            <w:tcW w:w="378" w:type="pct"/>
            <w:vMerge w:val="restart"/>
            <w:tcBorders>
              <w:top w:val="single" w:color="000000" w:sz="4" w:space="0"/>
              <w:left w:val="single" w:color="000000" w:sz="4" w:space="0"/>
              <w:bottom w:val="single" w:color="auto" w:sz="4" w:space="0"/>
              <w:right w:val="single" w:color="auto" w:sz="4" w:space="0"/>
            </w:tcBorders>
            <w:shd w:val="clear" w:color="FFFFFF" w:fill="C0C0C0"/>
            <w:tcMar>
              <w:top w:w="15" w:type="dxa"/>
              <w:left w:w="15" w:type="dxa"/>
              <w:right w:w="15" w:type="dxa"/>
            </w:tcMar>
            <w:vAlign w:val="center"/>
          </w:tcPr>
          <w:p w14:paraId="05BC5BC6">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其他收入</w:t>
            </w:r>
          </w:p>
        </w:tc>
      </w:tr>
      <w:tr w14:paraId="6D32A5EF">
        <w:tblPrEx>
          <w:tblCellMar>
            <w:top w:w="0" w:type="dxa"/>
            <w:left w:w="0" w:type="dxa"/>
            <w:bottom w:w="0" w:type="dxa"/>
            <w:right w:w="0" w:type="dxa"/>
          </w:tblCellMar>
        </w:tblPrEx>
        <w:trPr>
          <w:trHeight w:val="334" w:hRule="atLeast"/>
        </w:trPr>
        <w:tc>
          <w:tcPr>
            <w:tcW w:w="507" w:type="pct"/>
            <w:vMerge w:val="restar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128B89A">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086" w:type="pct"/>
            <w:vMerge w:val="restar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F263688">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68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9328B8D">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2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118717">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03C4D5">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65"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600C900">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小计</w:t>
            </w:r>
          </w:p>
        </w:tc>
        <w:tc>
          <w:tcPr>
            <w:tcW w:w="36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D6045B">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其中：教育收费</w:t>
            </w:r>
          </w:p>
        </w:tc>
        <w:tc>
          <w:tcPr>
            <w:tcW w:w="26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326A63A">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1"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C7F75D3">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18A70F0">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68B6CB0C">
        <w:trPr>
          <w:trHeight w:val="334" w:hRule="atLeast"/>
        </w:trPr>
        <w:tc>
          <w:tcPr>
            <w:tcW w:w="507"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6953358">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86"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CA9A23A">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8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F88E4C5">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2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B40EC5">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CFCC6C6">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6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9E9B7A">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6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E2951B">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6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2AAED1D">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1"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584AEF3">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6AAC90C">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C7011F9">
        <w:tblPrEx>
          <w:tblCellMar>
            <w:top w:w="0" w:type="dxa"/>
            <w:left w:w="0" w:type="dxa"/>
            <w:bottom w:w="0" w:type="dxa"/>
            <w:right w:w="0" w:type="dxa"/>
          </w:tblCellMar>
        </w:tblPrEx>
        <w:trPr>
          <w:trHeight w:val="334" w:hRule="atLeast"/>
        </w:trPr>
        <w:tc>
          <w:tcPr>
            <w:tcW w:w="507"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961B905">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86"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5159606">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8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BB26C0F">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2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8DB6DDE">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0E991B3">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6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25963BB">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6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69FBBF5">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6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20ACEB">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1"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482C9CE">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08D330">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2C218231">
        <w:tblPrEx>
          <w:tblCellMar>
            <w:top w:w="0" w:type="dxa"/>
            <w:left w:w="0" w:type="dxa"/>
            <w:bottom w:w="0" w:type="dxa"/>
            <w:right w:w="0" w:type="dxa"/>
          </w:tblCellMar>
        </w:tblPrEx>
        <w:trPr>
          <w:trHeight w:val="312" w:hRule="atLeast"/>
        </w:trPr>
        <w:tc>
          <w:tcPr>
            <w:tcW w:w="507"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B12D5F">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086" w:type="pct"/>
            <w:vMerge w:val="continue"/>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039F876">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8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204D23C">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2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F7B578C">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8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5B5A61D">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6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F30C7E">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6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C76B87B">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65"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8B6A12">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1"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8A9CCB7">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7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53E233A">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DA78D33">
        <w:tblPrEx>
          <w:tblCellMar>
            <w:top w:w="0" w:type="dxa"/>
            <w:left w:w="0" w:type="dxa"/>
            <w:bottom w:w="0" w:type="dxa"/>
            <w:right w:w="0" w:type="dxa"/>
          </w:tblCellMar>
        </w:tblPrEx>
        <w:trPr>
          <w:trHeight w:val="338" w:hRule="atLeast"/>
        </w:trPr>
        <w:tc>
          <w:tcPr>
            <w:tcW w:w="1594" w:type="pct"/>
            <w:gridSpan w:val="2"/>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5CB02CB">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6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0A6E81">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1,667.79</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1E074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1,667.79</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136C4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AF097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97A91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89B2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4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2B8C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3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3ADE0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r>
      <w:tr w14:paraId="2F009469">
        <w:tblPrEx>
          <w:tblCellMar>
            <w:top w:w="0" w:type="dxa"/>
            <w:left w:w="0" w:type="dxa"/>
            <w:bottom w:w="0" w:type="dxa"/>
            <w:right w:w="0" w:type="dxa"/>
          </w:tblCellMar>
        </w:tblPrEx>
        <w:trPr>
          <w:trHeight w:val="348"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2D79EF">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14264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6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766F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1,299.00</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6CD2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1,299.00</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0A052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80C4C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D4DB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B3EEB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08966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0040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2D77796">
        <w:tblPrEx>
          <w:tblCellMar>
            <w:top w:w="0" w:type="dxa"/>
            <w:left w:w="0" w:type="dxa"/>
            <w:bottom w:w="0" w:type="dxa"/>
            <w:right w:w="0" w:type="dxa"/>
          </w:tblCellMar>
        </w:tblPrEx>
        <w:trPr>
          <w:trHeight w:val="348"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D6FEA">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52798B">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6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0989A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1,299.00</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C6BA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1,299.00</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9DDA3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66820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4D63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88F2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AC04A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DD9F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9211CE7">
        <w:tblPrEx>
          <w:tblCellMar>
            <w:top w:w="0" w:type="dxa"/>
            <w:left w:w="0" w:type="dxa"/>
            <w:bottom w:w="0" w:type="dxa"/>
            <w:right w:w="0" w:type="dxa"/>
          </w:tblCellMar>
        </w:tblPrEx>
        <w:trPr>
          <w:trHeight w:val="348"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DC5FE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2010301</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CBC546">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行政运行</w:t>
            </w:r>
          </w:p>
        </w:tc>
        <w:tc>
          <w:tcPr>
            <w:tcW w:w="6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93ADD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788.33</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641FA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788.33</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6B971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7E50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3CF0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9C2F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DFDBF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BE31F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29D8245">
        <w:tblPrEx>
          <w:tblCellMar>
            <w:top w:w="0" w:type="dxa"/>
            <w:left w:w="0" w:type="dxa"/>
            <w:bottom w:w="0" w:type="dxa"/>
            <w:right w:w="0" w:type="dxa"/>
          </w:tblCellMar>
        </w:tblPrEx>
        <w:trPr>
          <w:trHeight w:val="348"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CE382C">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2010302</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15C2A7">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一般行政管理事务</w:t>
            </w:r>
          </w:p>
        </w:tc>
        <w:tc>
          <w:tcPr>
            <w:tcW w:w="6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CE6D2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187.60</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ECFD1">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187.60</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1EC6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9C2DC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7ADBB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EF694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5FFF1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254ED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1A07A43">
        <w:tblPrEx>
          <w:tblCellMar>
            <w:top w:w="0" w:type="dxa"/>
            <w:left w:w="0" w:type="dxa"/>
            <w:bottom w:w="0" w:type="dxa"/>
            <w:right w:w="0" w:type="dxa"/>
          </w:tblCellMar>
        </w:tblPrEx>
        <w:trPr>
          <w:trHeight w:val="348"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9130A">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2010399</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2C260">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其他政府办公厅（室）及相关机构事务支出</w:t>
            </w:r>
          </w:p>
        </w:tc>
        <w:tc>
          <w:tcPr>
            <w:tcW w:w="6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ED363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739D0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9ECFF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344DC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EC14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F6F6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A24D80">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04C56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F87A55B">
        <w:tblPrEx>
          <w:tblCellMar>
            <w:top w:w="0" w:type="dxa"/>
            <w:left w:w="0" w:type="dxa"/>
            <w:bottom w:w="0" w:type="dxa"/>
            <w:right w:w="0" w:type="dxa"/>
          </w:tblCellMar>
        </w:tblPrEx>
        <w:trPr>
          <w:trHeight w:val="348" w:hRule="atLeast"/>
        </w:trPr>
        <w:tc>
          <w:tcPr>
            <w:tcW w:w="50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CB69B4">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10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FA44A">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68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EAE32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209.72</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84406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209.72</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D7ECC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EBCE0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2EC6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BAD45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F041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0086F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4EB01BE">
        <w:tblPrEx>
          <w:tblCellMar>
            <w:top w:w="0" w:type="dxa"/>
            <w:left w:w="0" w:type="dxa"/>
            <w:bottom w:w="0" w:type="dxa"/>
            <w:right w:w="0" w:type="dxa"/>
          </w:tblCellMar>
        </w:tblPrEx>
        <w:trPr>
          <w:trHeight w:val="348" w:hRule="atLeast"/>
        </w:trPr>
        <w:tc>
          <w:tcPr>
            <w:tcW w:w="507"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6951">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1086" w:type="pct"/>
            <w:tcBorders>
              <w:top w:val="single" w:color="auto"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68D5F1F">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68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61FC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207.90</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6EFA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207.90</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5DD7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EE00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3AE21">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99B7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F95E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E090E">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31E751CD">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5745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8345F">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EB4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98.48</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DB1C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98.48</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279F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66B1">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9E2EE">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A79E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A431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FDDB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C242588">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AE439">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F58E4">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5280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53.33</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0C0A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53.33</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AA72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F69D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6A11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1FE41">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A853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5D39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8F25D70">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9DCD">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2080599</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034AD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其他行政事业单位养老支出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B6D2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E4B7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71E7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DCD4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762B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65B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21650">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36D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F00D112">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1191">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05A7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ABC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1.82</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F0B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1.82</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A008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2C5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C507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BA3E">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12BE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B338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C1E0C1D">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4B2C">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CDEA0">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3D3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25190">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1FD0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0C51">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3751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5055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D3F4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3B3F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A527E48">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168AC">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A38CC">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1B07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70.14</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EA3FE">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70.14</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96EAE">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4DE8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9D1B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533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804B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865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E9E3E29">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19F26">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28401">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0D6B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70.14</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848F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70.14</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61A6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B62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BAE8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E5CE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34529">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89A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2D699ED">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EA7EC">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2101101</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EDC94">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行政单位医疗</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969C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49.03</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4685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49.03</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C03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0E0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7FAD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9E69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018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6770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C70CA20">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4D17B">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DBB46">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事业单位医疗</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6DE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13.11</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92C2E">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13.11</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7A9C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462A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C633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3FAB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2165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ECC6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8C906D9">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2616">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2101103</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F5B31">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0E7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A145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0CBB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545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15EC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13A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7C87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2D7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B7A19D0">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7A367">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2101199</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0559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其他行政事业单位医疗支出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C289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DA6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69CC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E75E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4800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E6DE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B96C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20263">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0279F96">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FC062">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97E5D9">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8C3C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88.93</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B970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88.93</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D0F87">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C9C9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2F70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64EC8">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6EFC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877FA">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5ACC593">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8E062">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1F230">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C0430">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88.93</w:t>
            </w:r>
            <w:r>
              <w:rPr>
                <w:rFonts w:hint="default" w:ascii="Times New Roman" w:hAnsi="Times New Roman" w:eastAsia="方正仿宋_GBK" w:cs="Times New Roman"/>
                <w:b/>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0864">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88.93</w:t>
            </w:r>
            <w:r>
              <w:rPr>
                <w:rFonts w:hint="default" w:ascii="Times New Roman" w:hAnsi="Times New Roman" w:eastAsia="方正仿宋_GBK" w:cs="Times New Roman"/>
                <w:b/>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03FC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DD461">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79352">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3C1E">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E954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083C">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0006844">
        <w:tblPrEx>
          <w:tblCellMar>
            <w:top w:w="0" w:type="dxa"/>
            <w:left w:w="0" w:type="dxa"/>
            <w:bottom w:w="0" w:type="dxa"/>
            <w:right w:w="0" w:type="dxa"/>
          </w:tblCellMar>
        </w:tblPrEx>
        <w:trPr>
          <w:trHeight w:val="348" w:hRule="atLeast"/>
        </w:trPr>
        <w:tc>
          <w:tcPr>
            <w:tcW w:w="50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C8564">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108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F8824B">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6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8D23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88.93</w:t>
            </w:r>
            <w:r>
              <w:rPr>
                <w:rFonts w:hint="default" w:ascii="Times New Roman" w:hAnsi="Times New Roman" w:eastAsia="方正仿宋_GBK" w:cs="Times New Roman"/>
                <w:color w:val="000000"/>
                <w:sz w:val="24"/>
                <w:szCs w:val="24"/>
                <w:u w:color="auto"/>
              </w:rPr>
              <w:t xml:space="preserve"> </w:t>
            </w:r>
          </w:p>
        </w:tc>
        <w:tc>
          <w:tcPr>
            <w:tcW w:w="6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DA10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88.93</w:t>
            </w:r>
            <w:r>
              <w:rPr>
                <w:rFonts w:hint="default" w:ascii="Times New Roman" w:hAnsi="Times New Roman" w:eastAsia="方正仿宋_GBK" w:cs="Times New Roman"/>
                <w:color w:val="000000"/>
                <w:sz w:val="24"/>
                <w:szCs w:val="24"/>
                <w:u w:color="auto"/>
              </w:rPr>
              <w:t xml:space="preserve"> </w:t>
            </w:r>
          </w:p>
        </w:tc>
        <w:tc>
          <w:tcPr>
            <w:tcW w:w="3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E80E">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F33DF">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F966D">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26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9B90B">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5BBF5">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F9B26">
            <w:pPr>
              <w:keepNext w:val="0"/>
              <w:keepLines w:val="0"/>
              <w:pageBreakBefore w:val="0"/>
              <w:widowControl w:val="0"/>
              <w:kinsoku/>
              <w:wordWrap w:val="0"/>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bl>
    <w:p w14:paraId="1AC2BE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备注：1.本表反映部门本年度取得的各项收入情况。</w:t>
      </w:r>
    </w:p>
    <w:p w14:paraId="60A7438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32F37445">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lang w:val="en-US" w:eastAsia="zh-CN"/>
        </w:rPr>
      </w:pPr>
    </w:p>
    <w:tbl>
      <w:tblPr>
        <w:tblStyle w:val="4"/>
        <w:tblW w:w="5497" w:type="pct"/>
        <w:tblInd w:w="-323" w:type="dxa"/>
        <w:tblLayout w:type="fixed"/>
        <w:tblCellMar>
          <w:top w:w="0" w:type="dxa"/>
          <w:left w:w="0" w:type="dxa"/>
          <w:bottom w:w="0" w:type="dxa"/>
          <w:right w:w="0" w:type="dxa"/>
        </w:tblCellMar>
      </w:tblPr>
      <w:tblGrid>
        <w:gridCol w:w="1125"/>
        <w:gridCol w:w="2940"/>
        <w:gridCol w:w="1230"/>
        <w:gridCol w:w="1095"/>
        <w:gridCol w:w="1200"/>
        <w:gridCol w:w="870"/>
        <w:gridCol w:w="615"/>
        <w:gridCol w:w="868"/>
      </w:tblGrid>
      <w:tr w14:paraId="0CB34E42">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9DDC955">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支出决算表</w:t>
            </w:r>
          </w:p>
        </w:tc>
      </w:tr>
      <w:tr w14:paraId="4CEEB46A">
        <w:tblPrEx>
          <w:tblCellMar>
            <w:top w:w="0" w:type="dxa"/>
            <w:left w:w="0" w:type="dxa"/>
            <w:bottom w:w="0" w:type="dxa"/>
            <w:right w:w="0" w:type="dxa"/>
          </w:tblCellMar>
        </w:tblPrEx>
        <w:trPr>
          <w:trHeight w:val="342" w:hRule="atLeast"/>
        </w:trPr>
        <w:tc>
          <w:tcPr>
            <w:tcW w:w="2662" w:type="pct"/>
            <w:gridSpan w:val="3"/>
            <w:vMerge w:val="restart"/>
            <w:tcBorders>
              <w:top w:val="nil"/>
              <w:left w:val="nil"/>
              <w:right w:val="nil"/>
            </w:tcBorders>
            <w:shd w:val="clear" w:color="auto" w:fill="auto"/>
            <w:noWrap/>
            <w:tcMar>
              <w:top w:w="15" w:type="dxa"/>
              <w:left w:w="15" w:type="dxa"/>
              <w:right w:w="15" w:type="dxa"/>
            </w:tcMar>
            <w:vAlign w:val="bottom"/>
          </w:tcPr>
          <w:p w14:paraId="49266590">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重庆市大足区人民政府办公室 </w:t>
            </w:r>
          </w:p>
        </w:tc>
        <w:tc>
          <w:tcPr>
            <w:tcW w:w="550" w:type="pct"/>
            <w:tcBorders>
              <w:top w:val="nil"/>
              <w:left w:val="nil"/>
              <w:bottom w:val="nil"/>
              <w:right w:val="nil"/>
            </w:tcBorders>
            <w:shd w:val="clear" w:color="auto" w:fill="auto"/>
            <w:noWrap/>
            <w:tcMar>
              <w:top w:w="15" w:type="dxa"/>
              <w:left w:w="15" w:type="dxa"/>
              <w:right w:w="15" w:type="dxa"/>
            </w:tcMar>
            <w:vAlign w:val="bottom"/>
          </w:tcPr>
          <w:p w14:paraId="5048E141">
            <w:pPr>
              <w:rPr>
                <w:rFonts w:hint="default" w:ascii="Times New Roman" w:hAnsi="Times New Roman" w:cs="Times New Roman"/>
                <w:color w:val="000000"/>
                <w:sz w:val="20"/>
                <w:szCs w:val="20"/>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2B8092F1">
            <w:pPr>
              <w:rPr>
                <w:rFonts w:hint="default" w:ascii="Times New Roman" w:hAnsi="Times New Roman" w:cs="Times New Roman"/>
                <w:color w:val="000000"/>
                <w:sz w:val="20"/>
                <w:szCs w:val="20"/>
              </w:rPr>
            </w:pPr>
          </w:p>
        </w:tc>
        <w:tc>
          <w:tcPr>
            <w:tcW w:w="1183" w:type="pct"/>
            <w:gridSpan w:val="3"/>
            <w:tcBorders>
              <w:top w:val="nil"/>
              <w:left w:val="nil"/>
              <w:bottom w:val="nil"/>
              <w:right w:val="nil"/>
            </w:tcBorders>
            <w:shd w:val="clear" w:color="auto" w:fill="auto"/>
            <w:noWrap/>
            <w:tcMar>
              <w:top w:w="15" w:type="dxa"/>
              <w:left w:w="15" w:type="dxa"/>
              <w:right w:w="15" w:type="dxa"/>
            </w:tcMar>
            <w:vAlign w:val="bottom"/>
          </w:tcPr>
          <w:p w14:paraId="61A678F4">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14:paraId="6D166777">
        <w:tblPrEx>
          <w:tblCellMar>
            <w:top w:w="0" w:type="dxa"/>
            <w:left w:w="0" w:type="dxa"/>
            <w:bottom w:w="0" w:type="dxa"/>
            <w:right w:w="0" w:type="dxa"/>
          </w:tblCellMar>
        </w:tblPrEx>
        <w:trPr>
          <w:trHeight w:val="342" w:hRule="atLeast"/>
        </w:trPr>
        <w:tc>
          <w:tcPr>
            <w:tcW w:w="2662" w:type="pct"/>
            <w:gridSpan w:val="3"/>
            <w:vMerge w:val="continue"/>
            <w:tcBorders>
              <w:left w:val="nil"/>
              <w:bottom w:val="nil"/>
              <w:right w:val="nil"/>
            </w:tcBorders>
            <w:shd w:val="clear" w:color="auto" w:fill="auto"/>
            <w:noWrap/>
            <w:tcMar>
              <w:top w:w="15" w:type="dxa"/>
              <w:left w:w="15" w:type="dxa"/>
              <w:right w:w="15" w:type="dxa"/>
            </w:tcMar>
            <w:vAlign w:val="bottom"/>
          </w:tcPr>
          <w:p w14:paraId="18AB1A00">
            <w:pPr>
              <w:rPr>
                <w:rFonts w:hint="default" w:ascii="Times New Roman" w:hAnsi="Times New Roman" w:cs="Times New Roman"/>
                <w:color w:val="000000"/>
                <w:sz w:val="20"/>
                <w:szCs w:val="20"/>
              </w:rPr>
            </w:pPr>
          </w:p>
        </w:tc>
        <w:tc>
          <w:tcPr>
            <w:tcW w:w="550" w:type="pct"/>
            <w:tcBorders>
              <w:top w:val="nil"/>
              <w:left w:val="nil"/>
              <w:bottom w:val="nil"/>
              <w:right w:val="nil"/>
            </w:tcBorders>
            <w:shd w:val="clear" w:color="auto" w:fill="auto"/>
            <w:noWrap/>
            <w:tcMar>
              <w:top w:w="15" w:type="dxa"/>
              <w:left w:w="15" w:type="dxa"/>
              <w:right w:w="15" w:type="dxa"/>
            </w:tcMar>
            <w:vAlign w:val="bottom"/>
          </w:tcPr>
          <w:p w14:paraId="05FD414D">
            <w:pPr>
              <w:rPr>
                <w:rFonts w:hint="default" w:ascii="Times New Roman" w:hAnsi="Times New Roman" w:cs="Times New Roman"/>
                <w:color w:val="000000"/>
                <w:sz w:val="20"/>
                <w:szCs w:val="20"/>
              </w:rPr>
            </w:pPr>
          </w:p>
        </w:tc>
        <w:tc>
          <w:tcPr>
            <w:tcW w:w="603" w:type="pct"/>
            <w:tcBorders>
              <w:top w:val="nil"/>
              <w:left w:val="nil"/>
              <w:bottom w:val="nil"/>
              <w:right w:val="nil"/>
            </w:tcBorders>
            <w:shd w:val="clear" w:color="auto" w:fill="auto"/>
            <w:noWrap/>
            <w:tcMar>
              <w:top w:w="15" w:type="dxa"/>
              <w:left w:w="15" w:type="dxa"/>
              <w:right w:w="15" w:type="dxa"/>
            </w:tcMar>
            <w:vAlign w:val="bottom"/>
          </w:tcPr>
          <w:p w14:paraId="5558D249">
            <w:pPr>
              <w:rPr>
                <w:rFonts w:hint="default" w:ascii="Times New Roman" w:hAnsi="Times New Roman" w:cs="Times New Roman"/>
                <w:color w:val="000000"/>
                <w:sz w:val="20"/>
                <w:szCs w:val="20"/>
              </w:rPr>
            </w:pPr>
          </w:p>
        </w:tc>
        <w:tc>
          <w:tcPr>
            <w:tcW w:w="1183" w:type="pct"/>
            <w:gridSpan w:val="3"/>
            <w:tcBorders>
              <w:top w:val="nil"/>
              <w:left w:val="nil"/>
              <w:bottom w:val="nil"/>
              <w:right w:val="nil"/>
            </w:tcBorders>
            <w:shd w:val="clear" w:color="auto" w:fill="auto"/>
            <w:noWrap/>
            <w:tcMar>
              <w:top w:w="15" w:type="dxa"/>
              <w:left w:w="15" w:type="dxa"/>
              <w:right w:w="15" w:type="dxa"/>
            </w:tcMar>
            <w:vAlign w:val="bottom"/>
          </w:tcPr>
          <w:p w14:paraId="149BD356">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14:paraId="1A919DEB">
        <w:tblPrEx>
          <w:tblCellMar>
            <w:top w:w="0" w:type="dxa"/>
            <w:left w:w="0" w:type="dxa"/>
            <w:bottom w:w="0" w:type="dxa"/>
            <w:right w:w="0" w:type="dxa"/>
          </w:tblCellMar>
        </w:tblPrEx>
        <w:trPr>
          <w:trHeight w:val="90" w:hRule="atLeast"/>
        </w:trPr>
        <w:tc>
          <w:tcPr>
            <w:tcW w:w="2044"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A568777">
            <w:pPr>
              <w:keepNext w:val="0"/>
              <w:keepLines w:val="0"/>
              <w:pageBreakBefore w:val="0"/>
              <w:widowControl w:val="0"/>
              <w:kinsoku/>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6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B6706A">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550"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A5F782">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4B69C9">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7E9CE1">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上缴上级支出</w:t>
            </w:r>
          </w:p>
        </w:tc>
        <w:tc>
          <w:tcPr>
            <w:tcW w:w="309"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B601D2">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经营支出</w:t>
            </w:r>
          </w:p>
        </w:tc>
        <w:tc>
          <w:tcPr>
            <w:tcW w:w="436"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E677E9">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对附属单位补助支出</w:t>
            </w:r>
          </w:p>
        </w:tc>
      </w:tr>
      <w:tr w14:paraId="5C8D1F39">
        <w:tblPrEx>
          <w:tblCellMar>
            <w:top w:w="0" w:type="dxa"/>
            <w:left w:w="0" w:type="dxa"/>
            <w:bottom w:w="0" w:type="dxa"/>
            <w:right w:w="0" w:type="dxa"/>
          </w:tblCellMar>
        </w:tblPrEx>
        <w:trPr>
          <w:trHeight w:val="338" w:hRule="atLeast"/>
        </w:trPr>
        <w:tc>
          <w:tcPr>
            <w:tcW w:w="565"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E63377">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1478"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D9C92C3">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6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1E739C">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A53E1A">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709D1B">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C43CB3">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CBA25E">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95BD21">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78A4C3F7">
        <w:tblPrEx>
          <w:tblCellMar>
            <w:top w:w="0" w:type="dxa"/>
            <w:left w:w="0" w:type="dxa"/>
            <w:bottom w:w="0" w:type="dxa"/>
            <w:right w:w="0" w:type="dxa"/>
          </w:tblCellMar>
        </w:tblPrEx>
        <w:trPr>
          <w:trHeight w:val="338" w:hRule="atLeast"/>
        </w:trPr>
        <w:tc>
          <w:tcPr>
            <w:tcW w:w="56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BD839E">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47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4967B5D4">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1BF62">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7088F">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488A9A">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76C687">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E5DDFE">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27FE60">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650427C1">
        <w:tblPrEx>
          <w:tblCellMar>
            <w:top w:w="0" w:type="dxa"/>
            <w:left w:w="0" w:type="dxa"/>
            <w:bottom w:w="0" w:type="dxa"/>
            <w:right w:w="0" w:type="dxa"/>
          </w:tblCellMar>
        </w:tblPrEx>
        <w:trPr>
          <w:trHeight w:val="338" w:hRule="atLeast"/>
        </w:trPr>
        <w:tc>
          <w:tcPr>
            <w:tcW w:w="56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BADCC7">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47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05495A54">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D16565">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37860F">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6BEDC8">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5DEA2">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77523F">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C705C">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06AC82E0">
        <w:tblPrEx>
          <w:tblCellMar>
            <w:top w:w="0" w:type="dxa"/>
            <w:left w:w="0" w:type="dxa"/>
            <w:bottom w:w="0" w:type="dxa"/>
            <w:right w:w="0" w:type="dxa"/>
          </w:tblCellMar>
        </w:tblPrEx>
        <w:trPr>
          <w:trHeight w:val="312" w:hRule="atLeast"/>
        </w:trPr>
        <w:tc>
          <w:tcPr>
            <w:tcW w:w="565"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31689C">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478"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C57DB04">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B3AE16">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88C82E">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E1896A">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BC7862">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09"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23CC53">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36"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51289">
            <w:pPr>
              <w:keepNext w:val="0"/>
              <w:keepLines w:val="0"/>
              <w:pageBreakBefore w:val="0"/>
              <w:widowControl w:val="0"/>
              <w:kinsoku/>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2A0B2B6">
        <w:tblPrEx>
          <w:tblCellMar>
            <w:top w:w="0" w:type="dxa"/>
            <w:left w:w="0" w:type="dxa"/>
            <w:bottom w:w="0" w:type="dxa"/>
            <w:right w:w="0" w:type="dxa"/>
          </w:tblCellMar>
        </w:tblPrEx>
        <w:trPr>
          <w:trHeight w:val="362" w:hRule="atLeast"/>
        </w:trPr>
        <w:tc>
          <w:tcPr>
            <w:tcW w:w="204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D19C9">
            <w:pPr>
              <w:keepNext w:val="0"/>
              <w:keepLines w:val="0"/>
              <w:pageBreakBefore w:val="0"/>
              <w:widowControl w:val="0"/>
              <w:kinsoku/>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6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7A9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1,667.79</w:t>
            </w:r>
          </w:p>
        </w:tc>
        <w:tc>
          <w:tcPr>
            <w:tcW w:w="5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31E8D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1,473.19</w:t>
            </w:r>
          </w:p>
        </w:tc>
        <w:tc>
          <w:tcPr>
            <w:tcW w:w="60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542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194.60</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617B7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30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3CB9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4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80B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2E1F5738">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4AF5">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9F4C">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2509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1,299.00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01B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1,104.40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923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194.60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87A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FE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BE7B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6CF8770">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7FE6">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6B21EB">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1E8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1,299.00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EEDC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1,104.40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2545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194.60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5737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8E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108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5A6EB9C">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DC3E8">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2010301</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5370D1">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行政运行</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E740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788.33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90E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788.33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88AF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1A9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332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4BA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56A905A">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34B69">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2010302</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BC16D">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一般行政管理事务</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289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187.60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AFD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32E6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187.60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B2E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667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6B4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EA83D38">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CB0F">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2010399</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4746C">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其他政府办公厅（室）及相关机构事务支出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C8B0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323.07</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33F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316.07</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5A8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0BC3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728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38F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1F5EE81">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D4451">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99D05">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499D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209.72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590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209.72</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BDD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972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F10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EDE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B4E16BA">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C5ADF">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40AF9">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B6DD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207.90</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BB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207.90</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5B2E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77A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C944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B5A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29ECBD4">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80495">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EB4BA">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B29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98.48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610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98.48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F48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7EA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E369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E1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9E4EDFD">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646C2">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D4D95">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D52C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53.33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77A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53.33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6588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736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9F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B57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12CF7BE">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1F0E8">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2080599</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47DB9">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其他行政事业单位养老支出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785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EB0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1BF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35B4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895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C6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CB07B63">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314B">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24074">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351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1.82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34E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1.82</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C504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ACF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357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BA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BE44561">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A395C">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3702B2">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950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EC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1.82</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F2A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267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708B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C06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E96A6FA">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C14D5">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AE6CF">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31A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70.14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14FA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70.14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12D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CDA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1422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ECC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1D6B04B">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062C2">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8BB234">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6E40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70.14</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92B9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70.14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97EB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3A6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2EF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59F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70462EB">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B048">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2101101</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72F3D4">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行政单位医疗</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B0CF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F08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49.03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AA04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6C9F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152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E7B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D9ADAEE">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6EBD2">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2101102</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3819">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事业单位医疗</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4A8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13.11</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0B59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13.11</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C99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53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0EA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5F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F549AB0">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FA65">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2101103</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E1F46D">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145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2A52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02B3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9A5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33D8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495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B65AD61">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089F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2101199</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1D84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其他行政事业单位医疗支出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AEB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DA30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CEC1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8F3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0169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21D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D311AF3">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F561">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8B9DE">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DB04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88.93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DE9D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88.93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984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1F3F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359D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53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047C688">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9C624">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BAF9D">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2807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88.93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926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88.93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815B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373F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779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FDB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67E5EB2">
        <w:tblPrEx>
          <w:tblCellMar>
            <w:top w:w="0" w:type="dxa"/>
            <w:left w:w="0" w:type="dxa"/>
            <w:bottom w:w="0" w:type="dxa"/>
            <w:right w:w="0" w:type="dxa"/>
          </w:tblCellMar>
        </w:tblPrEx>
        <w:trPr>
          <w:trHeight w:val="382" w:hRule="atLeast"/>
        </w:trPr>
        <w:tc>
          <w:tcPr>
            <w:tcW w:w="56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F3577">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14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BA567B">
            <w:pPr>
              <w:keepNext w:val="0"/>
              <w:keepLines w:val="0"/>
              <w:pageBreakBefore w:val="0"/>
              <w:widowControl w:val="0"/>
              <w:kinsoku/>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A24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88.93</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0D24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88.93</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13EE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E9C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725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386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bl>
    <w:p w14:paraId="51655324">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备注：1.本表反映部门本年度各项支出情况。</w:t>
      </w:r>
    </w:p>
    <w:p w14:paraId="09CA9F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tbl>
      <w:tblPr>
        <w:tblStyle w:val="4"/>
        <w:tblW w:w="5506" w:type="pct"/>
        <w:tblInd w:w="-338" w:type="dxa"/>
        <w:tblLayout w:type="fixed"/>
        <w:tblCellMar>
          <w:top w:w="0" w:type="dxa"/>
          <w:left w:w="0" w:type="dxa"/>
          <w:bottom w:w="0" w:type="dxa"/>
          <w:right w:w="0" w:type="dxa"/>
        </w:tblCellMar>
      </w:tblPr>
      <w:tblGrid>
        <w:gridCol w:w="2520"/>
        <w:gridCol w:w="1033"/>
        <w:gridCol w:w="2282"/>
        <w:gridCol w:w="1114"/>
        <w:gridCol w:w="1226"/>
        <w:gridCol w:w="810"/>
        <w:gridCol w:w="975"/>
      </w:tblGrid>
      <w:tr w14:paraId="4614E880">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6F671C9">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财政拨款收入支出决算总表</w:t>
            </w:r>
          </w:p>
        </w:tc>
      </w:tr>
      <w:tr w14:paraId="628F305A">
        <w:tblPrEx>
          <w:tblCellMar>
            <w:top w:w="0" w:type="dxa"/>
            <w:left w:w="0" w:type="dxa"/>
            <w:bottom w:w="0" w:type="dxa"/>
            <w:right w:w="0" w:type="dxa"/>
          </w:tblCellMar>
        </w:tblPrEx>
        <w:trPr>
          <w:trHeight w:val="90" w:hRule="atLeast"/>
        </w:trPr>
        <w:tc>
          <w:tcPr>
            <w:tcW w:w="2929" w:type="pct"/>
            <w:gridSpan w:val="3"/>
            <w:vMerge w:val="restart"/>
            <w:tcBorders>
              <w:top w:val="nil"/>
              <w:left w:val="nil"/>
              <w:right w:val="nil"/>
            </w:tcBorders>
            <w:shd w:val="clear" w:color="auto" w:fill="auto"/>
            <w:noWrap/>
            <w:tcMar>
              <w:top w:w="15" w:type="dxa"/>
              <w:left w:w="15" w:type="dxa"/>
              <w:right w:w="15" w:type="dxa"/>
            </w:tcMar>
            <w:vAlign w:val="bottom"/>
          </w:tcPr>
          <w:p w14:paraId="379382D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公开部门</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w:t>
            </w:r>
          </w:p>
        </w:tc>
        <w:tc>
          <w:tcPr>
            <w:tcW w:w="559" w:type="pct"/>
            <w:tcBorders>
              <w:top w:val="nil"/>
              <w:left w:val="nil"/>
              <w:bottom w:val="nil"/>
              <w:right w:val="nil"/>
            </w:tcBorders>
            <w:shd w:val="clear" w:color="auto" w:fill="auto"/>
            <w:noWrap/>
            <w:tcMar>
              <w:top w:w="15" w:type="dxa"/>
              <w:left w:w="15" w:type="dxa"/>
              <w:right w:w="15" w:type="dxa"/>
            </w:tcMar>
            <w:vAlign w:val="bottom"/>
          </w:tcPr>
          <w:p w14:paraId="53D20E0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036D159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6" w:type="pct"/>
            <w:gridSpan w:val="2"/>
            <w:tcBorders>
              <w:top w:val="nil"/>
              <w:left w:val="nil"/>
              <w:bottom w:val="nil"/>
              <w:right w:val="nil"/>
            </w:tcBorders>
            <w:shd w:val="clear" w:color="auto" w:fill="auto"/>
            <w:noWrap/>
            <w:tcMar>
              <w:top w:w="15" w:type="dxa"/>
              <w:left w:w="15" w:type="dxa"/>
              <w:right w:w="15" w:type="dxa"/>
            </w:tcMar>
            <w:vAlign w:val="bottom"/>
          </w:tcPr>
          <w:p w14:paraId="1303CA7A">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公开04表</w:t>
            </w:r>
          </w:p>
        </w:tc>
      </w:tr>
      <w:tr w14:paraId="6115CE3E">
        <w:tblPrEx>
          <w:tblCellMar>
            <w:top w:w="0" w:type="dxa"/>
            <w:left w:w="0" w:type="dxa"/>
            <w:bottom w:w="0" w:type="dxa"/>
            <w:right w:w="0" w:type="dxa"/>
          </w:tblCellMar>
        </w:tblPrEx>
        <w:trPr>
          <w:trHeight w:val="90" w:hRule="atLeast"/>
        </w:trPr>
        <w:tc>
          <w:tcPr>
            <w:tcW w:w="2929" w:type="pct"/>
            <w:gridSpan w:val="3"/>
            <w:vMerge w:val="continue"/>
            <w:tcBorders>
              <w:left w:val="nil"/>
              <w:bottom w:val="nil"/>
              <w:right w:val="nil"/>
            </w:tcBorders>
            <w:shd w:val="clear" w:color="auto" w:fill="auto"/>
            <w:noWrap/>
            <w:tcMar>
              <w:top w:w="15" w:type="dxa"/>
              <w:left w:w="15" w:type="dxa"/>
              <w:right w:w="15" w:type="dxa"/>
            </w:tcMar>
            <w:vAlign w:val="bottom"/>
          </w:tcPr>
          <w:p w14:paraId="290AB4C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9" w:type="pct"/>
            <w:tcBorders>
              <w:top w:val="nil"/>
              <w:left w:val="nil"/>
              <w:bottom w:val="nil"/>
              <w:right w:val="nil"/>
            </w:tcBorders>
            <w:shd w:val="clear" w:color="auto" w:fill="auto"/>
            <w:noWrap/>
            <w:tcMar>
              <w:top w:w="15" w:type="dxa"/>
              <w:left w:w="15" w:type="dxa"/>
              <w:right w:w="15" w:type="dxa"/>
            </w:tcMar>
            <w:vAlign w:val="bottom"/>
          </w:tcPr>
          <w:p w14:paraId="7F7CB8D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4E46623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896" w:type="pct"/>
            <w:gridSpan w:val="2"/>
            <w:tcBorders>
              <w:top w:val="nil"/>
              <w:left w:val="nil"/>
              <w:bottom w:val="nil"/>
              <w:right w:val="nil"/>
            </w:tcBorders>
            <w:shd w:val="clear" w:color="auto" w:fill="auto"/>
            <w:noWrap/>
            <w:tcMar>
              <w:top w:w="15" w:type="dxa"/>
              <w:left w:w="15" w:type="dxa"/>
              <w:right w:w="15" w:type="dxa"/>
            </w:tcMar>
            <w:vAlign w:val="bottom"/>
          </w:tcPr>
          <w:p w14:paraId="2A563A68">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0D872AC6">
        <w:tblPrEx>
          <w:tblCellMar>
            <w:top w:w="0" w:type="dxa"/>
            <w:left w:w="0" w:type="dxa"/>
            <w:bottom w:w="0" w:type="dxa"/>
            <w:right w:w="0" w:type="dxa"/>
          </w:tblCellMar>
        </w:tblPrEx>
        <w:trPr>
          <w:trHeight w:val="90" w:hRule="atLeast"/>
        </w:trPr>
        <w:tc>
          <w:tcPr>
            <w:tcW w:w="1783"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750C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收     入</w:t>
            </w:r>
          </w:p>
        </w:tc>
        <w:tc>
          <w:tcPr>
            <w:tcW w:w="3216"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BDB0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支     出</w:t>
            </w:r>
          </w:p>
        </w:tc>
      </w:tr>
      <w:tr w14:paraId="2BF85B55">
        <w:tblPrEx>
          <w:tblCellMar>
            <w:top w:w="0" w:type="dxa"/>
            <w:left w:w="0" w:type="dxa"/>
            <w:bottom w:w="0" w:type="dxa"/>
            <w:right w:w="0" w:type="dxa"/>
          </w:tblCellMar>
        </w:tblPrEx>
        <w:trPr>
          <w:trHeight w:val="90" w:hRule="atLeast"/>
        </w:trPr>
        <w:tc>
          <w:tcPr>
            <w:tcW w:w="126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11CD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E8CBB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c>
          <w:tcPr>
            <w:tcW w:w="114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FEF5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w:t>
            </w:r>
          </w:p>
        </w:tc>
        <w:tc>
          <w:tcPr>
            <w:tcW w:w="2070"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3088F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决算数</w:t>
            </w:r>
          </w:p>
        </w:tc>
      </w:tr>
      <w:tr w14:paraId="0F36DA3F">
        <w:tblPrEx>
          <w:tblCellMar>
            <w:top w:w="0" w:type="dxa"/>
            <w:left w:w="0" w:type="dxa"/>
            <w:bottom w:w="0" w:type="dxa"/>
            <w:right w:w="0" w:type="dxa"/>
          </w:tblCellMar>
        </w:tblPrEx>
        <w:trPr>
          <w:trHeight w:val="90" w:hRule="atLeast"/>
        </w:trPr>
        <w:tc>
          <w:tcPr>
            <w:tcW w:w="126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8AA00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47BC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14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DC7AA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547D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小计</w:t>
            </w:r>
          </w:p>
        </w:tc>
        <w:tc>
          <w:tcPr>
            <w:tcW w:w="615"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8EECB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一般公共预算财政拨款</w:t>
            </w:r>
          </w:p>
        </w:tc>
        <w:tc>
          <w:tcPr>
            <w:tcW w:w="406"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B49E5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政府性基金预算财政拨款</w:t>
            </w:r>
          </w:p>
        </w:tc>
        <w:tc>
          <w:tcPr>
            <w:tcW w:w="489"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57D96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国有资本经营预算财政拨款</w:t>
            </w:r>
          </w:p>
        </w:tc>
      </w:tr>
      <w:tr w14:paraId="07D1DE72">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3F8FD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148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5F3F8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一、一般公共服务支出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015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1,299.00</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E259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1,299.00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B2C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D0B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72DBAD9">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EFF85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222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D68BA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二、外交支出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107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5C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971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65F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A4C44EC">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765BC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BC3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CEBDBA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三、国防支出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044F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B17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31C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51DB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DC7A5FE">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5914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14325B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FD67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四、公共安全支出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EF6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DD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0E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4C15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7F39B53">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2E287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7C7C0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FB1AA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五、教育支出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E22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EBAD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E81B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6DA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F28F92B">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EA593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544D9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B1AA9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六、科学技术支出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FDE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87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E2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A0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11B1FD3">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9494D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40A12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7267B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七、文化旅游体育与传媒支出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73B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19C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3D18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769C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0D92589">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26606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2E1B0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F82C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八、社会保障和就业支出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D7FC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209.72</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C6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209.72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9C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A5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CE0C3B6">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726B38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5091D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8FB8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九、卫生健康支出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A25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70.14</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E7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70.14</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0A5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6DEF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1470AD7">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0D333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4576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CEC1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十、节能环保支出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8515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C2D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4729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73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3071170">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19CF3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C18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1F2DB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十一、城乡社区支出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2F8F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A1E8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374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B99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83E4B2F">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D0C9C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E9C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B1E0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十二、农林水支出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F47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3DFE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A775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BCDF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D2C3154">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F72CE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D064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02EAA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十三、交通运输支出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958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950D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E83A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B14E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4D87443">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D9E56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0046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79B5DD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十四、资源勘探工业信息等支出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069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FD4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5779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88E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1F246E7">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2BF87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637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DF898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十五、商业服务业等支出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856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A860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095E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DC8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4ABD9BD">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E2D31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1115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9779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十六、金融支出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156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C4C5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303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EC2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24E76A1">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37BAE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0D3E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143D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十七、援助其他地区支出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428C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0CFE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D4AF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9B3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67C0BBA">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47812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BC6F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BFC6F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十八、自然资源海洋气象等支出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A2D2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F8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930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9F93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644F2AD8">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CFC9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D8A8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71723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十九、住房保障支出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24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88.93</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9E2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88.93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DA2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129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4F528012">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7FEBD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795E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9CD2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二十、粮油物资储备支出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2C1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8407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1AF7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A93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76B94D7D">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AACF6A">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8F7A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1153B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二十一、国有资本经营预算支出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3C47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AEE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3359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F3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96292D4">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4C6D1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FE44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1F42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二十二、灾害防治及应急管理支出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7498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BA8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7CF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1308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0CECAB45">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B918C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C2F8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28FF0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二十三、其他支出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A179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DAA7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0BC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6E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C6D35C5">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40C354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8BF5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F2063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二十四、债务还本支出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58A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D436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0A2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707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5AB72EB7">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99CF90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20CB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3BA40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二十五、债务付息支出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6AF5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A32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E6E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7F3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23EB7BC5">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257CA66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7058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8345E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二十六、抗疫特别国债安排的支出</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B8C2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42B3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D8AE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58EB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B88F012">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FB4F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DC4B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AEDC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本年支出合计</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FD01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D0F4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BEEA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7038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1B1178A6">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B7B02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5809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47F5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年末财政拨款结转和结余</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C46C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A27C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F0C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4B3A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r w14:paraId="35B1E58A">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27A45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CCB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857113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A7450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A8041D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57D85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6179E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630C3B71">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79E0E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CF4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EE69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88F9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CF21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69D3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D25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056E6615">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65645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ECC0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BFDE3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752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556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ACFA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4A33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r>
      <w:tr w14:paraId="3C3348F2">
        <w:tblPrEx>
          <w:tblCellMar>
            <w:top w:w="0" w:type="dxa"/>
            <w:left w:w="0" w:type="dxa"/>
            <w:bottom w:w="0" w:type="dxa"/>
            <w:right w:w="0" w:type="dxa"/>
          </w:tblCellMar>
        </w:tblPrEx>
        <w:trPr>
          <w:trHeight w:val="90" w:hRule="atLeast"/>
        </w:trPr>
        <w:tc>
          <w:tcPr>
            <w:tcW w:w="126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0391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6A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p>
        </w:tc>
        <w:tc>
          <w:tcPr>
            <w:tcW w:w="114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6CBA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总计</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FD5A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DB2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1,667.79</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F1D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03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r>
    </w:tbl>
    <w:p w14:paraId="52170CB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备注：1.本表反映部门本年度一般公共预算财政拨款、政府性基金预算财政拨款及国有资本经营预算财政拨款的总收支和年末结转结余情况。</w:t>
      </w:r>
    </w:p>
    <w:p w14:paraId="1073F3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74056A5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lang w:val="en-US" w:eastAsia="zh-CN"/>
        </w:rPr>
      </w:pPr>
    </w:p>
    <w:tbl>
      <w:tblPr>
        <w:tblStyle w:val="4"/>
        <w:tblW w:w="5539" w:type="pct"/>
        <w:tblInd w:w="-368" w:type="dxa"/>
        <w:tblLayout w:type="autofit"/>
        <w:tblCellMar>
          <w:top w:w="0" w:type="dxa"/>
          <w:left w:w="0" w:type="dxa"/>
          <w:bottom w:w="0" w:type="dxa"/>
          <w:right w:w="0" w:type="dxa"/>
        </w:tblCellMar>
      </w:tblPr>
      <w:tblGrid>
        <w:gridCol w:w="1229"/>
        <w:gridCol w:w="4591"/>
        <w:gridCol w:w="1331"/>
        <w:gridCol w:w="1407"/>
        <w:gridCol w:w="1461"/>
      </w:tblGrid>
      <w:tr w14:paraId="61C45793">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EAEE49F">
            <w:pPr>
              <w:jc w:val="center"/>
              <w:textAlignment w:val="bottom"/>
              <w:rPr>
                <w:rFonts w:hint="default" w:ascii="Times New Roman" w:hAnsi="Times New Roman" w:cs="Times New Roman"/>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一般公共预算财政拨款支出决算表</w:t>
            </w:r>
          </w:p>
        </w:tc>
      </w:tr>
      <w:tr w14:paraId="14723822">
        <w:tblPrEx>
          <w:tblCellMar>
            <w:top w:w="0" w:type="dxa"/>
            <w:left w:w="0" w:type="dxa"/>
            <w:bottom w:w="0" w:type="dxa"/>
            <w:right w:w="0" w:type="dxa"/>
          </w:tblCellMar>
        </w:tblPrEx>
        <w:trPr>
          <w:trHeight w:val="255" w:hRule="atLeast"/>
        </w:trPr>
        <w:tc>
          <w:tcPr>
            <w:tcW w:w="3569" w:type="pct"/>
            <w:gridSpan w:val="3"/>
            <w:vMerge w:val="restart"/>
            <w:tcBorders>
              <w:top w:val="nil"/>
              <w:left w:val="nil"/>
              <w:right w:val="nil"/>
            </w:tcBorders>
            <w:shd w:val="clear" w:color="auto" w:fill="auto"/>
            <w:noWrap/>
            <w:tcMar>
              <w:top w:w="15" w:type="dxa"/>
              <w:left w:w="15" w:type="dxa"/>
              <w:right w:w="15" w:type="dxa"/>
            </w:tcMar>
            <w:vAlign w:val="bottom"/>
          </w:tcPr>
          <w:p w14:paraId="16DB307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公开部门</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w:t>
            </w:r>
          </w:p>
        </w:tc>
        <w:tc>
          <w:tcPr>
            <w:tcW w:w="702" w:type="pct"/>
            <w:tcBorders>
              <w:top w:val="nil"/>
              <w:left w:val="nil"/>
              <w:bottom w:val="nil"/>
              <w:right w:val="nil"/>
            </w:tcBorders>
            <w:shd w:val="clear" w:color="auto" w:fill="auto"/>
            <w:noWrap/>
            <w:tcMar>
              <w:top w:w="15" w:type="dxa"/>
              <w:left w:w="15" w:type="dxa"/>
              <w:right w:w="15" w:type="dxa"/>
            </w:tcMar>
            <w:vAlign w:val="bottom"/>
          </w:tcPr>
          <w:p w14:paraId="228AFD5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28" w:type="pct"/>
            <w:tcBorders>
              <w:top w:val="nil"/>
              <w:left w:val="nil"/>
              <w:bottom w:val="nil"/>
              <w:right w:val="nil"/>
            </w:tcBorders>
            <w:shd w:val="clear" w:color="auto" w:fill="auto"/>
            <w:noWrap/>
            <w:tcMar>
              <w:top w:w="15" w:type="dxa"/>
              <w:left w:w="15" w:type="dxa"/>
              <w:right w:w="15" w:type="dxa"/>
            </w:tcMar>
            <w:vAlign w:val="bottom"/>
          </w:tcPr>
          <w:p w14:paraId="7EBD6B8D">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公开05表</w:t>
            </w:r>
          </w:p>
        </w:tc>
      </w:tr>
      <w:tr w14:paraId="0363D2C3">
        <w:tblPrEx>
          <w:tblCellMar>
            <w:top w:w="0" w:type="dxa"/>
            <w:left w:w="0" w:type="dxa"/>
            <w:bottom w:w="0" w:type="dxa"/>
            <w:right w:w="0" w:type="dxa"/>
          </w:tblCellMar>
        </w:tblPrEx>
        <w:trPr>
          <w:trHeight w:val="285" w:hRule="atLeast"/>
        </w:trPr>
        <w:tc>
          <w:tcPr>
            <w:tcW w:w="3569" w:type="pct"/>
            <w:gridSpan w:val="3"/>
            <w:vMerge w:val="continue"/>
            <w:tcBorders>
              <w:left w:val="nil"/>
              <w:bottom w:val="nil"/>
              <w:right w:val="nil"/>
            </w:tcBorders>
            <w:shd w:val="clear" w:color="auto" w:fill="auto"/>
            <w:noWrap/>
            <w:tcMar>
              <w:top w:w="15" w:type="dxa"/>
              <w:left w:w="15" w:type="dxa"/>
              <w:right w:w="15" w:type="dxa"/>
            </w:tcMar>
            <w:vAlign w:val="bottom"/>
          </w:tcPr>
          <w:p w14:paraId="347AA731">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02" w:type="pct"/>
            <w:tcBorders>
              <w:top w:val="nil"/>
              <w:left w:val="nil"/>
              <w:bottom w:val="nil"/>
              <w:right w:val="nil"/>
            </w:tcBorders>
            <w:shd w:val="clear" w:color="auto" w:fill="auto"/>
            <w:noWrap/>
            <w:tcMar>
              <w:top w:w="15" w:type="dxa"/>
              <w:left w:w="15" w:type="dxa"/>
              <w:right w:w="15" w:type="dxa"/>
            </w:tcMar>
            <w:vAlign w:val="bottom"/>
          </w:tcPr>
          <w:p w14:paraId="5719060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28" w:type="pct"/>
            <w:tcBorders>
              <w:top w:val="nil"/>
              <w:left w:val="nil"/>
              <w:bottom w:val="nil"/>
              <w:right w:val="nil"/>
            </w:tcBorders>
            <w:shd w:val="clear" w:color="auto" w:fill="auto"/>
            <w:noWrap/>
            <w:tcMar>
              <w:top w:w="15" w:type="dxa"/>
              <w:left w:w="15" w:type="dxa"/>
              <w:right w:w="15" w:type="dxa"/>
            </w:tcMar>
            <w:vAlign w:val="bottom"/>
          </w:tcPr>
          <w:p w14:paraId="2E9AD331">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4911EDDA">
        <w:tblPrEx>
          <w:tblCellMar>
            <w:top w:w="0" w:type="dxa"/>
            <w:left w:w="0" w:type="dxa"/>
            <w:bottom w:w="0" w:type="dxa"/>
            <w:right w:w="0" w:type="dxa"/>
          </w:tblCellMar>
        </w:tblPrEx>
        <w:trPr>
          <w:trHeight w:val="308" w:hRule="atLeast"/>
        </w:trPr>
        <w:tc>
          <w:tcPr>
            <w:tcW w:w="2905"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75C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2094"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4940D5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r>
      <w:tr w14:paraId="04AE4A1C">
        <w:tblPrEx>
          <w:tblCellMar>
            <w:top w:w="0" w:type="dxa"/>
            <w:left w:w="0" w:type="dxa"/>
            <w:bottom w:w="0" w:type="dxa"/>
            <w:right w:w="0" w:type="dxa"/>
          </w:tblCellMar>
        </w:tblPrEx>
        <w:trPr>
          <w:trHeight w:val="326" w:hRule="atLeast"/>
        </w:trPr>
        <w:tc>
          <w:tcPr>
            <w:tcW w:w="61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F3510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229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4AC6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66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4770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70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DEDF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72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19B3F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r>
      <w:tr w14:paraId="1E129EE6">
        <w:tblPrEx>
          <w:tblCellMar>
            <w:top w:w="0" w:type="dxa"/>
            <w:left w:w="0" w:type="dxa"/>
            <w:bottom w:w="0" w:type="dxa"/>
            <w:right w:w="0" w:type="dxa"/>
          </w:tblCellMar>
        </w:tblPrEx>
        <w:trPr>
          <w:trHeight w:val="326" w:hRule="atLeast"/>
        </w:trPr>
        <w:tc>
          <w:tcPr>
            <w:tcW w:w="6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5A8B7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29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EAFFEB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6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682BE4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B5949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B8537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33B2254D">
        <w:tblPrEx>
          <w:tblCellMar>
            <w:top w:w="0" w:type="dxa"/>
            <w:left w:w="0" w:type="dxa"/>
            <w:bottom w:w="0" w:type="dxa"/>
            <w:right w:w="0" w:type="dxa"/>
          </w:tblCellMar>
        </w:tblPrEx>
        <w:trPr>
          <w:trHeight w:val="312" w:hRule="atLeast"/>
        </w:trPr>
        <w:tc>
          <w:tcPr>
            <w:tcW w:w="61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C9813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229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6A1C4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6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BFB24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0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A8F5A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2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55BE5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6A69B590">
        <w:tblPrEx>
          <w:tblCellMar>
            <w:top w:w="0" w:type="dxa"/>
            <w:left w:w="0" w:type="dxa"/>
            <w:bottom w:w="0" w:type="dxa"/>
            <w:right w:w="0" w:type="dxa"/>
          </w:tblCellMar>
        </w:tblPrEx>
        <w:trPr>
          <w:trHeight w:val="308" w:hRule="atLeast"/>
        </w:trPr>
        <w:tc>
          <w:tcPr>
            <w:tcW w:w="2905"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7903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6DF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1,667.79</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5875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1,473.19</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33CC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bCs/>
                <w:color w:val="000000"/>
                <w:sz w:val="24"/>
                <w:szCs w:val="24"/>
              </w:rPr>
              <w:t>194.60</w:t>
            </w:r>
          </w:p>
        </w:tc>
      </w:tr>
      <w:tr w14:paraId="777FB941">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F3BB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F49F3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一般公共服务支出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23B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1,299.00</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7536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1,104.40</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17BA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194.60</w:t>
            </w:r>
          </w:p>
        </w:tc>
      </w:tr>
      <w:tr w14:paraId="0425C7A0">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6D8D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20103</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F8B8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政府办公厅（室）及相关机构事务</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F10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1,299.00</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19C5D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1,104.40</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8E4B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194.60</w:t>
            </w:r>
          </w:p>
        </w:tc>
      </w:tr>
      <w:tr w14:paraId="366BF702">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BBAA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2010301</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35361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行政运行</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0F03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788.33</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AD3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788.33</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D91B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397AF459">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ADA6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2010302</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2A52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一般行政管理事务</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58A6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187.60</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1782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DA81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187.60</w:t>
            </w:r>
          </w:p>
        </w:tc>
      </w:tr>
      <w:tr w14:paraId="11FEF5FC">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B6EC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2010399</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B89CB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其他政府办公厅（室）及相关机构事务支出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51C43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323.07</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0779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316.07</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3334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7.00</w:t>
            </w:r>
          </w:p>
        </w:tc>
      </w:tr>
      <w:tr w14:paraId="3CEE090E">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6AB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C516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社会保障和就业支出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47D7C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209.72</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69A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209.72</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BC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00EA6795">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C4B3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20805</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D9F5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行政事业单位养老支出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A3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207.90</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FA29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207.90</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53EB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79782509">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FBFF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2080505</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78ED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3E0F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98.48</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01B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98.48</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2768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416D8127">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E978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2080506</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CD82E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机关事业单位职业年金缴费支出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322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53.33</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7201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53.33</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4BC7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75C6EFE5">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D647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2080599</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4063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其他行政事业单位养老支出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560E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56.09</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C85F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56.09</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B0C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7E3F4ACC">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C44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20899</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97E2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其他社会保障和就业支出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03039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1.82</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5139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1.82</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345D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7362FFEA">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455F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2089999</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6BA6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其他社会保障和就业支出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1C51D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1.82</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BB23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1.82</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2B954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1BB6B79D">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234D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93FD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卫生健康支出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C590E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70.14</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3E30C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70.14</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08178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43D35937">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50BF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21011</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5667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行政事业单位医疗</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6707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70.14</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B8D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70.14</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ECD4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5EF92079">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CD5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2101101</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D244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行政单位医疗</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825A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49.03</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6E89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49.03</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85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27667550">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458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2101102</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884D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事业单位医疗</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B8B3F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13.11</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31E7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13.11</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325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1603B288">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868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2101103</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2421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EE34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5.28</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F23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5.28</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A88E9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16B6C613">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EF95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2101199</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594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其他行政事业单位医疗支出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886C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2.72</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F5CF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2.72</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8BA2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6795969F">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DED1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EDA6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住房保障支出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3A013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88.93</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47DCC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88.93</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A5B6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5AB7236B">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CDD8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22102</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55C9B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b/>
                <w:color w:val="000000"/>
                <w:sz w:val="24"/>
                <w:szCs w:val="24"/>
              </w:rPr>
              <w:t>住房改革支出</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3870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88.93</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30EB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88.93</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13C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r w14:paraId="62949423">
        <w:tblPrEx>
          <w:tblCellMar>
            <w:top w:w="0" w:type="dxa"/>
            <w:left w:w="0" w:type="dxa"/>
            <w:bottom w:w="0" w:type="dxa"/>
            <w:right w:w="0" w:type="dxa"/>
          </w:tblCellMar>
        </w:tblPrEx>
        <w:trPr>
          <w:trHeight w:val="308" w:hRule="atLeast"/>
        </w:trPr>
        <w:tc>
          <w:tcPr>
            <w:tcW w:w="61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AB8A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2210201</w:t>
            </w:r>
          </w:p>
        </w:tc>
        <w:tc>
          <w:tcPr>
            <w:tcW w:w="229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2FC0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66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3D7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88.93</w:t>
            </w:r>
          </w:p>
        </w:tc>
        <w:tc>
          <w:tcPr>
            <w:tcW w:w="70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8978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color w:val="000000"/>
                <w:sz w:val="24"/>
                <w:szCs w:val="24"/>
              </w:rPr>
              <w:t>88.93</w:t>
            </w:r>
          </w:p>
        </w:tc>
        <w:tc>
          <w:tcPr>
            <w:tcW w:w="7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E030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p>
        </w:tc>
      </w:tr>
    </w:tbl>
    <w:p w14:paraId="2242E228">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备注：1.本表反映部门本年度一般公共预算财政拨款支出情况。</w:t>
      </w:r>
    </w:p>
    <w:p w14:paraId="7719825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3FD89A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lang w:val="en-US" w:eastAsia="zh-CN"/>
        </w:rPr>
      </w:pPr>
    </w:p>
    <w:tbl>
      <w:tblPr>
        <w:tblStyle w:val="4"/>
        <w:tblW w:w="5572" w:type="pct"/>
        <w:tblInd w:w="-398" w:type="dxa"/>
        <w:tblLayout w:type="fixed"/>
        <w:tblCellMar>
          <w:top w:w="0" w:type="dxa"/>
          <w:left w:w="0" w:type="dxa"/>
          <w:bottom w:w="0" w:type="dxa"/>
          <w:right w:w="0" w:type="dxa"/>
        </w:tblCellMar>
      </w:tblPr>
      <w:tblGrid>
        <w:gridCol w:w="754"/>
        <w:gridCol w:w="1612"/>
        <w:gridCol w:w="1039"/>
        <w:gridCol w:w="1125"/>
        <w:gridCol w:w="1230"/>
        <w:gridCol w:w="720"/>
        <w:gridCol w:w="1080"/>
        <w:gridCol w:w="1470"/>
        <w:gridCol w:w="1050"/>
      </w:tblGrid>
      <w:tr w14:paraId="3C801DB9">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ABB18CF">
            <w:pPr>
              <w:spacing w:line="440" w:lineRule="exact"/>
              <w:jc w:val="center"/>
              <w:textAlignment w:val="bottom"/>
              <w:rPr>
                <w:rFonts w:hint="default" w:ascii="Times New Roman" w:hAnsi="Times New Roman" w:cs="Times New Roman"/>
                <w:b/>
                <w:color w:val="000000"/>
                <w:sz w:val="32"/>
                <w:szCs w:val="32"/>
              </w:rPr>
            </w:pPr>
            <w:r>
              <w:rPr>
                <w:rFonts w:hint="eastAsia" w:ascii="方正小标宋_GBK" w:hAnsi="方正小标宋_GBK" w:eastAsia="方正小标宋_GBK" w:cs="方正小标宋_GBK"/>
                <w:b w:val="0"/>
                <w:bCs/>
                <w:color w:val="000000"/>
                <w:sz w:val="32"/>
                <w:szCs w:val="32"/>
              </w:rPr>
              <w:t>一般公共预算财政拨款基本支出决算表</w:t>
            </w:r>
          </w:p>
        </w:tc>
      </w:tr>
      <w:tr w14:paraId="0A3FDF3D">
        <w:tblPrEx>
          <w:tblCellMar>
            <w:top w:w="0" w:type="dxa"/>
            <w:left w:w="0" w:type="dxa"/>
            <w:bottom w:w="0" w:type="dxa"/>
            <w:right w:w="0" w:type="dxa"/>
          </w:tblCellMar>
        </w:tblPrEx>
        <w:trPr>
          <w:trHeight w:val="90" w:hRule="atLeast"/>
        </w:trPr>
        <w:tc>
          <w:tcPr>
            <w:tcW w:w="2857" w:type="pct"/>
            <w:gridSpan w:val="5"/>
            <w:vMerge w:val="restart"/>
            <w:tcBorders>
              <w:top w:val="nil"/>
              <w:left w:val="nil"/>
              <w:right w:val="nil"/>
            </w:tcBorders>
            <w:shd w:val="clear" w:color="auto" w:fill="auto"/>
            <w:noWrap/>
            <w:tcMar>
              <w:top w:w="15" w:type="dxa"/>
              <w:left w:w="15" w:type="dxa"/>
              <w:right w:w="15" w:type="dxa"/>
            </w:tcMar>
            <w:vAlign w:val="bottom"/>
          </w:tcPr>
          <w:p w14:paraId="23EC3BC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公开部门</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w:t>
            </w:r>
          </w:p>
        </w:tc>
        <w:tc>
          <w:tcPr>
            <w:tcW w:w="357" w:type="pct"/>
            <w:tcBorders>
              <w:top w:val="nil"/>
              <w:left w:val="nil"/>
              <w:bottom w:val="nil"/>
              <w:right w:val="nil"/>
            </w:tcBorders>
            <w:shd w:val="clear" w:color="auto" w:fill="auto"/>
            <w:noWrap/>
            <w:tcMar>
              <w:top w:w="15" w:type="dxa"/>
              <w:left w:w="15" w:type="dxa"/>
              <w:right w:w="15" w:type="dxa"/>
            </w:tcMar>
            <w:vAlign w:val="bottom"/>
          </w:tcPr>
          <w:p w14:paraId="4C6C1838">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35" w:type="pct"/>
            <w:tcBorders>
              <w:top w:val="nil"/>
              <w:left w:val="nil"/>
              <w:bottom w:val="nil"/>
              <w:right w:val="nil"/>
            </w:tcBorders>
            <w:shd w:val="clear" w:color="auto" w:fill="auto"/>
            <w:noWrap/>
            <w:tcMar>
              <w:top w:w="15" w:type="dxa"/>
              <w:left w:w="15" w:type="dxa"/>
              <w:right w:w="15" w:type="dxa"/>
            </w:tcMar>
            <w:vAlign w:val="bottom"/>
          </w:tcPr>
          <w:p w14:paraId="17774B6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250" w:type="pct"/>
            <w:gridSpan w:val="2"/>
            <w:tcBorders>
              <w:top w:val="nil"/>
              <w:left w:val="nil"/>
              <w:bottom w:val="nil"/>
              <w:right w:val="nil"/>
            </w:tcBorders>
            <w:shd w:val="clear" w:color="auto" w:fill="auto"/>
            <w:noWrap/>
            <w:tcMar>
              <w:top w:w="15" w:type="dxa"/>
              <w:left w:w="15" w:type="dxa"/>
              <w:right w:w="15" w:type="dxa"/>
            </w:tcMar>
            <w:vAlign w:val="bottom"/>
          </w:tcPr>
          <w:p w14:paraId="7B81A4A7">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公开06表</w:t>
            </w:r>
          </w:p>
        </w:tc>
      </w:tr>
      <w:tr w14:paraId="6ACD29E1">
        <w:tblPrEx>
          <w:tblCellMar>
            <w:top w:w="0" w:type="dxa"/>
            <w:left w:w="0" w:type="dxa"/>
            <w:bottom w:w="0" w:type="dxa"/>
            <w:right w:w="0" w:type="dxa"/>
          </w:tblCellMar>
        </w:tblPrEx>
        <w:trPr>
          <w:trHeight w:val="90" w:hRule="atLeast"/>
        </w:trPr>
        <w:tc>
          <w:tcPr>
            <w:tcW w:w="2857" w:type="pct"/>
            <w:gridSpan w:val="5"/>
            <w:vMerge w:val="continue"/>
            <w:tcBorders>
              <w:left w:val="nil"/>
              <w:bottom w:val="nil"/>
              <w:right w:val="nil"/>
            </w:tcBorders>
            <w:shd w:val="clear" w:color="auto" w:fill="auto"/>
            <w:noWrap/>
            <w:tcMar>
              <w:top w:w="15" w:type="dxa"/>
              <w:left w:w="15" w:type="dxa"/>
              <w:right w:w="15" w:type="dxa"/>
            </w:tcMar>
            <w:vAlign w:val="bottom"/>
          </w:tcPr>
          <w:p w14:paraId="14FB123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357" w:type="pct"/>
            <w:tcBorders>
              <w:top w:val="nil"/>
              <w:left w:val="nil"/>
              <w:bottom w:val="nil"/>
              <w:right w:val="nil"/>
            </w:tcBorders>
            <w:shd w:val="clear" w:color="auto" w:fill="auto"/>
            <w:noWrap/>
            <w:tcMar>
              <w:top w:w="15" w:type="dxa"/>
              <w:left w:w="15" w:type="dxa"/>
              <w:right w:w="15" w:type="dxa"/>
            </w:tcMar>
            <w:vAlign w:val="bottom"/>
          </w:tcPr>
          <w:p w14:paraId="4AFA141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35" w:type="pct"/>
            <w:tcBorders>
              <w:top w:val="nil"/>
              <w:left w:val="nil"/>
              <w:bottom w:val="nil"/>
              <w:right w:val="nil"/>
            </w:tcBorders>
            <w:shd w:val="clear" w:color="auto" w:fill="auto"/>
            <w:noWrap/>
            <w:tcMar>
              <w:top w:w="15" w:type="dxa"/>
              <w:left w:w="15" w:type="dxa"/>
              <w:right w:w="15" w:type="dxa"/>
            </w:tcMar>
            <w:vAlign w:val="bottom"/>
          </w:tcPr>
          <w:p w14:paraId="5BD5D93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250" w:type="pct"/>
            <w:gridSpan w:val="2"/>
            <w:tcBorders>
              <w:top w:val="nil"/>
              <w:left w:val="nil"/>
              <w:bottom w:val="nil"/>
              <w:right w:val="nil"/>
            </w:tcBorders>
            <w:shd w:val="clear" w:color="auto" w:fill="auto"/>
            <w:noWrap/>
            <w:tcMar>
              <w:top w:w="15" w:type="dxa"/>
              <w:left w:w="15" w:type="dxa"/>
              <w:right w:w="15" w:type="dxa"/>
            </w:tcMar>
            <w:vAlign w:val="bottom"/>
          </w:tcPr>
          <w:p w14:paraId="3B5F2047">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73596242">
        <w:tblPrEx>
          <w:tblCellMar>
            <w:top w:w="0" w:type="dxa"/>
            <w:left w:w="0" w:type="dxa"/>
            <w:bottom w:w="0" w:type="dxa"/>
            <w:right w:w="0" w:type="dxa"/>
          </w:tblCellMar>
        </w:tblPrEx>
        <w:trPr>
          <w:trHeight w:val="90" w:hRule="atLeast"/>
        </w:trPr>
        <w:tc>
          <w:tcPr>
            <w:tcW w:w="1688"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708A3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人员经费</w:t>
            </w:r>
          </w:p>
        </w:tc>
        <w:tc>
          <w:tcPr>
            <w:tcW w:w="3311"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3BB6A3C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公用经费</w:t>
            </w:r>
          </w:p>
        </w:tc>
      </w:tr>
      <w:tr w14:paraId="5564B853">
        <w:tblPrEx>
          <w:tblCellMar>
            <w:top w:w="0" w:type="dxa"/>
            <w:left w:w="0" w:type="dxa"/>
            <w:bottom w:w="0" w:type="dxa"/>
            <w:right w:w="0" w:type="dxa"/>
          </w:tblCellMar>
        </w:tblPrEx>
        <w:trPr>
          <w:trHeight w:val="312" w:hRule="atLeast"/>
        </w:trPr>
        <w:tc>
          <w:tcPr>
            <w:tcW w:w="37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13965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79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A9B0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5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A379D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c>
          <w:tcPr>
            <w:tcW w:w="558"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D419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61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8623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357"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8EAE09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c>
          <w:tcPr>
            <w:tcW w:w="535"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9D8E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经济分类科目编码</w:t>
            </w:r>
          </w:p>
        </w:tc>
        <w:tc>
          <w:tcPr>
            <w:tcW w:w="72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C854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经济分类科目（按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款</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52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E19E1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金额</w:t>
            </w:r>
          </w:p>
        </w:tc>
      </w:tr>
      <w:tr w14:paraId="193EE5F7">
        <w:tblPrEx>
          <w:tblCellMar>
            <w:top w:w="0" w:type="dxa"/>
            <w:left w:w="0" w:type="dxa"/>
            <w:bottom w:w="0" w:type="dxa"/>
            <w:right w:w="0" w:type="dxa"/>
          </w:tblCellMar>
        </w:tblPrEx>
        <w:trPr>
          <w:trHeight w:val="312" w:hRule="atLeast"/>
        </w:trPr>
        <w:tc>
          <w:tcPr>
            <w:tcW w:w="37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AD012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9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2FCE9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5414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58"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BDC0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1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0F1EB4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357"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CCC0F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35"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963D6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72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8D95F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2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8EC8A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74249247">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773D2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21E04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工资福利支出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A03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1,111.29</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DD97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02FF6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商品和服务支出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8A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305.80</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931D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AC1CB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资本性支出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F42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F33770A">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71429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30101</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1E82C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基本工资</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6301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252.64</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4F06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30201</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ABEA6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办公费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35F1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11.76</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7B06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31001</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F1EF1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房屋建筑物购建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340B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A7F6666">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878F0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30102</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67712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津贴补贴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8680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129.31</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0C823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30202</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F4DBB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印刷费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FF0A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0.62</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8B04A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31002</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1FBCB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办公设备购置</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5003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E209DC3">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88F2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30103</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A094D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奖金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4A5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245.69</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5FE0C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30203</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D1D0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咨询费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EA53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B04FB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31003</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7B37C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专用设备购置</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D186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C7861EF">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86D3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30106</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ECA81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伙食补助费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5D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6.00</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DE17F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30204</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82F60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手续费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FD8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A50B6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31005</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650DC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基础设施建设</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C023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06B0C828">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0A29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30107</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2605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绩效工资</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A0FE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158.33</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20499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30205</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252E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水费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79D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A9BE2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31006</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F66B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大型修缮</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3D0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955D204">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5E6F3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30108</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FEEE3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机关事业单位基本养老保险缴费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8F2B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98.48</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36C3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30206</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7C9F8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5C23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727B5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31007</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FD320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信息网络及软件购置更新</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9EC1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08D9C57">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34EE8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30109</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1F8CB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职业年金缴费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8844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53.33</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9EB6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30207</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99B70A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邮电费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1A32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10.49</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7BA1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31008</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D3501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物资储备</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13CC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6BD2906">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1A06C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30110</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24598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职工基本医疗保险缴费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32AA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61.20</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38129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30208</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0E26D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取暖费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150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3D34A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31009</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9591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土地补偿</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30BC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BA27501">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2B8C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30111</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DE42B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公务员医疗补助缴费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8D0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5.28</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CE01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30209</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D26B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物业管理费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6FCB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018F1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31010</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162AF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安置补助</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A549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A14D631">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07E7D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30112</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95FD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其他社会保障缴费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0088D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9.38</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34B71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30211</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1C0B6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差旅费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3236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14.77</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081C4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31011</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D3023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地上附着物和青苗补偿</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BD52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5BE464FB">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EFB10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30113</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F9CE3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住房公积金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58F9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88.93</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FDB6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30212</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7F63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因公出国（境）费用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21C0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E6FA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31012</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4BCAA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拆迁补偿</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377C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4085A19F">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27F0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30114</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AB3C4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医疗费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945D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2.72</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6EFF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30213</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3BFC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维修（护）费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DA91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1.28</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3D86B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31013</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7E1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公务用车购置</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C6AA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BDE5F2E">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DE6FF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30199</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9A431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其他工资福利支出</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5C8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0B6E8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30214</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9C37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租赁费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E05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52498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31019</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27C41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其他交通工具购置</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99328">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07472E0">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E990F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C5715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对个人和家庭的补助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0E26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56.09</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ABA1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30215</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CF44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会议费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0BF8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3.18</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0C1F1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31021</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4E291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文物和陈列品购置</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DC13">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1D61485">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185C4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30301</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7C67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离休费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ACB2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D8823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30216</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EE075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培训费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7D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2.70</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F8A87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31022</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691A7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无形资产购置</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3C5E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6C0EC0C">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15597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30302</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7E411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退休费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F4F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50475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30217</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BB9C3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公务接待费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E08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3.71</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75AE7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31099</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2159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其他资本性支出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67688">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4BA06B3">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FB2CC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30303</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CE9E5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退职（役）费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349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4D851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30218</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10BD9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专用材料费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606C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4D5A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48EEE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对企业补助</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861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72BFA94">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6345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30304</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B4093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抚恤金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2C26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305D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30224</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EBFA7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被装购置费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A0D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C87E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31201</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82335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资本金注入</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70C0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3F389AC">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2EFAC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30305</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68F6E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生活补助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7204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52.09</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30E3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30225</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2A6D3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专用燃料费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9E0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61BA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31203</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40197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政府投资基金股权投资</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76B1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E7D8FBC">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93578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30306</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3584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救济费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8380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FEDCA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30226</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42038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劳务费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B86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64.66</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E7788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31204</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39A5E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费用补贴</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9680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9024969">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AFF32F">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30307</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8B107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医疗费补助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23F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4.00</w:t>
            </w: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E8F1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30227</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32B4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委托业务费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ABF5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8378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31205</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31CC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利息补贴</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B2B41">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AFBFCDF">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8E9D4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30308</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99C66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助学金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3ADB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83BDB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30228</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A4BA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工会经费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3CC8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46.02</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38CB4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31299</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6E941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其他对企业补助</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41E2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76EFF13">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5C4347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30309</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06D00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奖励金</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850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6502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30229</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32DB7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福利费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6D9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19.78</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4CF2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8D2C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8D71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51FD591">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3A1D7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30310</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3129D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个人农业生产补贴</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A88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76309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30231</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1DC88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公务用车运行维护费</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E2E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30.31</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FBEDB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39907</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8502E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国家赔偿费用支出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4EA8">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9FC9F2F">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C8906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30311</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D0719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代缴社会保险费</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30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D43C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30239</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0E18E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其他交通费用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D7A95">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34.37</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BF2E6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39908</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BC7A2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对民间非营利组织和群众性自治组织补贴</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94AD">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7D94A694">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8CD10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30399</w:t>
            </w: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99090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其他对个人和家庭的补助</w:t>
            </w: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7ADA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C2B914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30240</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0AE3C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税金及附加费用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1E6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93B7A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39909</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40A72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经常性赠与</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2908B">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1A591092">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A2BED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E7EAA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E9FAA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7165F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30299</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30E11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其他商品和服务支出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27F4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62.16</w:t>
            </w: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C6F70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39910</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16A324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资本性赠与</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5C030">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68FB1141">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53237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4FC50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C9A97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A3FE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0056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债务利息及费用支出</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106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ADD78E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39999</w:t>
            </w: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80785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其他支出</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373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u w:color="auto"/>
              </w:rPr>
              <w:t xml:space="preserve"> </w:t>
            </w:r>
          </w:p>
        </w:tc>
      </w:tr>
      <w:tr w14:paraId="2E49B704">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AA81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9AA82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F1839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85C4F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30701</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4B2B8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国内债务付息</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961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6F345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948A4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9E0E">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0DD0520E">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B1E7C3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5BD13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FBE89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B2C8C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30702</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D581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国外债务付息</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659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AD3FC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9A4E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0AC6F">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21CA2DC5">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8686B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7E68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24D13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2E272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30703</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B4A46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国内债务发行费用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E74A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2B23C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6938B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AD2DC">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2E4B856F">
        <w:tblPrEx>
          <w:tblCellMar>
            <w:top w:w="0" w:type="dxa"/>
            <w:left w:w="0" w:type="dxa"/>
            <w:bottom w:w="0" w:type="dxa"/>
            <w:right w:w="0" w:type="dxa"/>
          </w:tblCellMar>
        </w:tblPrEx>
        <w:trPr>
          <w:trHeight w:val="90" w:hRule="atLeast"/>
        </w:trPr>
        <w:tc>
          <w:tcPr>
            <w:tcW w:w="374"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23F5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79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B976AC">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FFBF3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55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9F2B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30704</w:t>
            </w:r>
          </w:p>
        </w:tc>
        <w:tc>
          <w:tcPr>
            <w:tcW w:w="610"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2A965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国外债务发行费用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7C5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p>
        </w:tc>
        <w:tc>
          <w:tcPr>
            <w:tcW w:w="535"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EF76E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sz w:val="24"/>
                <w:szCs w:val="24"/>
              </w:rPr>
            </w:pPr>
          </w:p>
        </w:tc>
        <w:tc>
          <w:tcPr>
            <w:tcW w:w="729"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BB4E52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737B">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sz w:val="24"/>
                <w:szCs w:val="24"/>
              </w:rPr>
            </w:pPr>
          </w:p>
        </w:tc>
      </w:tr>
      <w:tr w14:paraId="3C6565EA">
        <w:tblPrEx>
          <w:tblCellMar>
            <w:top w:w="0" w:type="dxa"/>
            <w:left w:w="0" w:type="dxa"/>
            <w:bottom w:w="0" w:type="dxa"/>
            <w:right w:w="0" w:type="dxa"/>
          </w:tblCellMar>
        </w:tblPrEx>
        <w:trPr>
          <w:trHeight w:val="90" w:hRule="atLeast"/>
        </w:trPr>
        <w:tc>
          <w:tcPr>
            <w:tcW w:w="1173"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3A630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人员经费合计</w:t>
            </w:r>
          </w:p>
        </w:tc>
        <w:tc>
          <w:tcPr>
            <w:tcW w:w="515"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C968C2">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1,167.38</w:t>
            </w:r>
          </w:p>
        </w:tc>
        <w:tc>
          <w:tcPr>
            <w:tcW w:w="2790"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F42216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公用经费合计</w:t>
            </w:r>
          </w:p>
        </w:tc>
        <w:tc>
          <w:tcPr>
            <w:tcW w:w="52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ED36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305.80</w:t>
            </w:r>
          </w:p>
        </w:tc>
      </w:tr>
    </w:tbl>
    <w:p w14:paraId="353596D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备注：1.本表反映部门本年度一般公共预算财政拨款基本支出明细情况。</w:t>
      </w:r>
    </w:p>
    <w:p w14:paraId="5A6474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kern w:val="2"/>
          <w:sz w:val="24"/>
          <w:szCs w:val="24"/>
          <w:lang w:val="en-US" w:eastAsia="zh-CN" w:bidi="ar-SA"/>
        </w:rPr>
        <w:t>2.</w:t>
      </w:r>
      <w:r>
        <w:rPr>
          <w:rFonts w:hint="default" w:ascii="Times New Roman" w:hAnsi="Times New Roman" w:eastAsia="方正仿宋_GBK" w:cs="Times New Roman"/>
          <w:sz w:val="24"/>
          <w:szCs w:val="24"/>
        </w:rPr>
        <w:t>本套报表金额单位转换时可能存在尾数误差。</w:t>
      </w:r>
    </w:p>
    <w:p w14:paraId="4908966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lang w:val="en-US" w:eastAsia="zh-CN"/>
        </w:rPr>
      </w:pPr>
    </w:p>
    <w:tbl>
      <w:tblPr>
        <w:tblStyle w:val="4"/>
        <w:tblW w:w="5604" w:type="pct"/>
        <w:tblInd w:w="-428" w:type="dxa"/>
        <w:tblLayout w:type="autofit"/>
        <w:tblCellMar>
          <w:top w:w="0" w:type="dxa"/>
          <w:left w:w="0" w:type="dxa"/>
          <w:bottom w:w="0" w:type="dxa"/>
          <w:right w:w="0" w:type="dxa"/>
        </w:tblCellMar>
      </w:tblPr>
      <w:tblGrid>
        <w:gridCol w:w="1558"/>
        <w:gridCol w:w="1874"/>
        <w:gridCol w:w="1038"/>
        <w:gridCol w:w="923"/>
        <w:gridCol w:w="1174"/>
        <w:gridCol w:w="1283"/>
        <w:gridCol w:w="1054"/>
        <w:gridCol w:w="1233"/>
      </w:tblGrid>
      <w:tr w14:paraId="0F88100F">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09D89D9">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政府性基金预算财政拨款收入支出决算表</w:t>
            </w:r>
          </w:p>
        </w:tc>
      </w:tr>
      <w:tr w14:paraId="50135488">
        <w:tblPrEx>
          <w:tblCellMar>
            <w:top w:w="0" w:type="dxa"/>
            <w:left w:w="0" w:type="dxa"/>
            <w:bottom w:w="0" w:type="dxa"/>
            <w:right w:w="0" w:type="dxa"/>
          </w:tblCellMar>
        </w:tblPrEx>
        <w:trPr>
          <w:trHeight w:val="329" w:hRule="atLeast"/>
        </w:trPr>
        <w:tc>
          <w:tcPr>
            <w:tcW w:w="2204" w:type="pct"/>
            <w:gridSpan w:val="3"/>
            <w:vMerge w:val="restart"/>
            <w:tcBorders>
              <w:top w:val="nil"/>
              <w:left w:val="nil"/>
              <w:right w:val="nil"/>
            </w:tcBorders>
            <w:shd w:val="clear" w:color="auto" w:fill="auto"/>
            <w:noWrap/>
            <w:tcMar>
              <w:top w:w="15" w:type="dxa"/>
              <w:left w:w="15" w:type="dxa"/>
              <w:right w:w="15" w:type="dxa"/>
            </w:tcMar>
            <w:vAlign w:val="bottom"/>
          </w:tcPr>
          <w:p w14:paraId="12D0B8F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公开部门</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w:t>
            </w:r>
          </w:p>
        </w:tc>
        <w:tc>
          <w:tcPr>
            <w:tcW w:w="456" w:type="pct"/>
            <w:tcBorders>
              <w:top w:val="nil"/>
              <w:left w:val="nil"/>
              <w:bottom w:val="nil"/>
              <w:right w:val="nil"/>
            </w:tcBorders>
            <w:shd w:val="clear" w:color="auto" w:fill="auto"/>
            <w:noWrap/>
            <w:tcMar>
              <w:top w:w="15" w:type="dxa"/>
              <w:left w:w="15" w:type="dxa"/>
              <w:right w:w="15" w:type="dxa"/>
            </w:tcMar>
            <w:vAlign w:val="bottom"/>
          </w:tcPr>
          <w:p w14:paraId="2ECF355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79" w:type="pct"/>
            <w:tcBorders>
              <w:top w:val="nil"/>
              <w:left w:val="nil"/>
              <w:bottom w:val="nil"/>
              <w:right w:val="nil"/>
            </w:tcBorders>
            <w:shd w:val="clear" w:color="auto" w:fill="auto"/>
            <w:noWrap/>
            <w:tcMar>
              <w:top w:w="15" w:type="dxa"/>
              <w:left w:w="15" w:type="dxa"/>
              <w:right w:w="15" w:type="dxa"/>
            </w:tcMar>
            <w:vAlign w:val="bottom"/>
          </w:tcPr>
          <w:p w14:paraId="75F91E9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33" w:type="pct"/>
            <w:tcBorders>
              <w:top w:val="nil"/>
              <w:left w:val="nil"/>
              <w:bottom w:val="nil"/>
              <w:right w:val="nil"/>
            </w:tcBorders>
            <w:shd w:val="clear" w:color="auto" w:fill="auto"/>
            <w:noWrap/>
            <w:tcMar>
              <w:top w:w="15" w:type="dxa"/>
              <w:left w:w="15" w:type="dxa"/>
              <w:right w:w="15" w:type="dxa"/>
            </w:tcMar>
            <w:vAlign w:val="bottom"/>
          </w:tcPr>
          <w:p w14:paraId="0488C892">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nil"/>
              <w:left w:val="nil"/>
              <w:bottom w:val="nil"/>
              <w:right w:val="nil"/>
            </w:tcBorders>
            <w:shd w:val="clear" w:color="auto" w:fill="auto"/>
            <w:noWrap/>
            <w:tcMar>
              <w:top w:w="15" w:type="dxa"/>
              <w:left w:w="15" w:type="dxa"/>
              <w:right w:w="15" w:type="dxa"/>
            </w:tcMar>
            <w:vAlign w:val="bottom"/>
          </w:tcPr>
          <w:p w14:paraId="7ACB50B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06" w:type="pct"/>
            <w:tcBorders>
              <w:top w:val="nil"/>
              <w:left w:val="nil"/>
              <w:bottom w:val="nil"/>
              <w:right w:val="nil"/>
            </w:tcBorders>
            <w:shd w:val="clear" w:color="auto" w:fill="auto"/>
            <w:noWrap/>
            <w:tcMar>
              <w:top w:w="15" w:type="dxa"/>
              <w:left w:w="15" w:type="dxa"/>
              <w:right w:w="15" w:type="dxa"/>
            </w:tcMar>
            <w:vAlign w:val="bottom"/>
          </w:tcPr>
          <w:p w14:paraId="222EAE82">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公开07表</w:t>
            </w:r>
          </w:p>
        </w:tc>
      </w:tr>
      <w:tr w14:paraId="4C394DC5">
        <w:tblPrEx>
          <w:tblCellMar>
            <w:top w:w="0" w:type="dxa"/>
            <w:left w:w="0" w:type="dxa"/>
            <w:bottom w:w="0" w:type="dxa"/>
            <w:right w:w="0" w:type="dxa"/>
          </w:tblCellMar>
        </w:tblPrEx>
        <w:trPr>
          <w:trHeight w:val="329" w:hRule="atLeast"/>
        </w:trPr>
        <w:tc>
          <w:tcPr>
            <w:tcW w:w="2204" w:type="pct"/>
            <w:gridSpan w:val="3"/>
            <w:vMerge w:val="continue"/>
            <w:tcBorders>
              <w:left w:val="nil"/>
              <w:bottom w:val="single" w:color="auto" w:sz="4" w:space="0"/>
              <w:right w:val="nil"/>
            </w:tcBorders>
            <w:shd w:val="clear" w:color="auto" w:fill="auto"/>
            <w:noWrap/>
            <w:tcMar>
              <w:top w:w="15" w:type="dxa"/>
              <w:left w:w="15" w:type="dxa"/>
              <w:right w:w="15" w:type="dxa"/>
            </w:tcMar>
            <w:vAlign w:val="bottom"/>
          </w:tcPr>
          <w:p w14:paraId="74644344">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456" w:type="pct"/>
            <w:tcBorders>
              <w:top w:val="nil"/>
              <w:left w:val="nil"/>
              <w:bottom w:val="single" w:color="auto" w:sz="4" w:space="0"/>
              <w:right w:val="nil"/>
            </w:tcBorders>
            <w:shd w:val="clear" w:color="auto" w:fill="auto"/>
            <w:noWrap/>
            <w:tcMar>
              <w:top w:w="15" w:type="dxa"/>
              <w:left w:w="15" w:type="dxa"/>
              <w:right w:w="15" w:type="dxa"/>
            </w:tcMar>
            <w:vAlign w:val="bottom"/>
          </w:tcPr>
          <w:p w14:paraId="70F7B5EF">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79" w:type="pct"/>
            <w:tcBorders>
              <w:top w:val="nil"/>
              <w:left w:val="nil"/>
              <w:bottom w:val="single" w:color="auto" w:sz="4" w:space="0"/>
              <w:right w:val="nil"/>
            </w:tcBorders>
            <w:shd w:val="clear" w:color="auto" w:fill="auto"/>
            <w:noWrap/>
            <w:tcMar>
              <w:top w:w="15" w:type="dxa"/>
              <w:left w:w="15" w:type="dxa"/>
              <w:right w:w="15" w:type="dxa"/>
            </w:tcMar>
            <w:vAlign w:val="bottom"/>
          </w:tcPr>
          <w:p w14:paraId="73842FB3">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33" w:type="pct"/>
            <w:tcBorders>
              <w:top w:val="nil"/>
              <w:left w:val="nil"/>
              <w:bottom w:val="single" w:color="auto" w:sz="4" w:space="0"/>
              <w:right w:val="nil"/>
            </w:tcBorders>
            <w:shd w:val="clear" w:color="auto" w:fill="auto"/>
            <w:noWrap/>
            <w:tcMar>
              <w:top w:w="15" w:type="dxa"/>
              <w:left w:w="15" w:type="dxa"/>
              <w:right w:w="15" w:type="dxa"/>
            </w:tcMar>
            <w:vAlign w:val="bottom"/>
          </w:tcPr>
          <w:p w14:paraId="0E6E6CFD">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518" w:type="pct"/>
            <w:tcBorders>
              <w:top w:val="nil"/>
              <w:left w:val="nil"/>
              <w:bottom w:val="single" w:color="auto" w:sz="4" w:space="0"/>
              <w:right w:val="nil"/>
            </w:tcBorders>
            <w:shd w:val="clear" w:color="auto" w:fill="auto"/>
            <w:noWrap/>
            <w:tcMar>
              <w:top w:w="15" w:type="dxa"/>
              <w:left w:w="15" w:type="dxa"/>
              <w:right w:w="15" w:type="dxa"/>
            </w:tcMar>
            <w:vAlign w:val="bottom"/>
          </w:tcPr>
          <w:p w14:paraId="2FD0D846">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606" w:type="pct"/>
            <w:tcBorders>
              <w:top w:val="nil"/>
              <w:left w:val="nil"/>
              <w:bottom w:val="single" w:color="auto" w:sz="4" w:space="0"/>
              <w:right w:val="nil"/>
            </w:tcBorders>
            <w:shd w:val="clear" w:color="auto" w:fill="auto"/>
            <w:noWrap/>
            <w:tcMar>
              <w:top w:w="15" w:type="dxa"/>
              <w:left w:w="15" w:type="dxa"/>
              <w:right w:w="15" w:type="dxa"/>
            </w:tcMar>
            <w:vAlign w:val="bottom"/>
          </w:tcPr>
          <w:p w14:paraId="11164E1E">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00B0095C">
        <w:tblPrEx>
          <w:tblCellMar>
            <w:top w:w="0" w:type="dxa"/>
            <w:left w:w="0" w:type="dxa"/>
            <w:bottom w:w="0" w:type="dxa"/>
            <w:right w:w="0" w:type="dxa"/>
          </w:tblCellMar>
        </w:tblPrEx>
        <w:trPr>
          <w:trHeight w:val="339" w:hRule="atLeast"/>
        </w:trPr>
        <w:tc>
          <w:tcPr>
            <w:tcW w:w="1692"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FA3695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512"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D3709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年初结转和结余</w:t>
            </w:r>
          </w:p>
        </w:tc>
        <w:tc>
          <w:tcPr>
            <w:tcW w:w="456"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3A843C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本年收入</w:t>
            </w:r>
          </w:p>
        </w:tc>
        <w:tc>
          <w:tcPr>
            <w:tcW w:w="1732" w:type="pct"/>
            <w:gridSpan w:val="3"/>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4604E3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c>
          <w:tcPr>
            <w:tcW w:w="606"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4589BAD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年末结转和结余</w:t>
            </w:r>
          </w:p>
        </w:tc>
      </w:tr>
      <w:tr w14:paraId="5B67EC8A">
        <w:tblPrEx>
          <w:tblCellMar>
            <w:top w:w="0" w:type="dxa"/>
            <w:left w:w="0" w:type="dxa"/>
            <w:bottom w:w="0" w:type="dxa"/>
            <w:right w:w="0" w:type="dxa"/>
          </w:tblCellMar>
        </w:tblPrEx>
        <w:trPr>
          <w:trHeight w:val="335" w:hRule="atLeast"/>
        </w:trPr>
        <w:tc>
          <w:tcPr>
            <w:tcW w:w="768"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AE7513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92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47EBD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项目（按</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项</w:t>
            </w:r>
            <w:r>
              <w:rPr>
                <w:rFonts w:hint="eastAsia" w:ascii="Times New Roman" w:hAnsi="Times New Roman" w:eastAsia="方正仿宋_GBK" w:cs="Times New Roman"/>
                <w:b/>
                <w:color w:val="000000"/>
                <w:sz w:val="24"/>
                <w:szCs w:val="24"/>
                <w:lang w:eastAsia="zh-CN"/>
              </w:rPr>
              <w:t>”</w:t>
            </w:r>
            <w:r>
              <w:rPr>
                <w:rFonts w:hint="default" w:ascii="Times New Roman" w:hAnsi="Times New Roman" w:eastAsia="方正仿宋_GBK" w:cs="Times New Roman"/>
                <w:b/>
                <w:color w:val="000000"/>
                <w:sz w:val="24"/>
                <w:szCs w:val="24"/>
              </w:rPr>
              <w:t>级功能分类科目）</w:t>
            </w:r>
          </w:p>
        </w:tc>
        <w:tc>
          <w:tcPr>
            <w:tcW w:w="51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DF00DB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5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369C06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79"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FF0B6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633"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A98A2B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518" w:type="pct"/>
            <w:vMerge w:val="restart"/>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23B7B0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c>
          <w:tcPr>
            <w:tcW w:w="60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EE46DC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722203AD">
        <w:tblPrEx>
          <w:tblCellMar>
            <w:top w:w="0" w:type="dxa"/>
            <w:left w:w="0" w:type="dxa"/>
            <w:bottom w:w="0" w:type="dxa"/>
            <w:right w:w="0" w:type="dxa"/>
          </w:tblCellMar>
        </w:tblPrEx>
        <w:trPr>
          <w:trHeight w:val="335" w:hRule="atLeast"/>
        </w:trPr>
        <w:tc>
          <w:tcPr>
            <w:tcW w:w="76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14695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92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36D69E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DB90001">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5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3F56778">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7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84EEF2F">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3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7AC0D50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62D9B4B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0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04C728F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71BD269E">
        <w:tblPrEx>
          <w:tblCellMar>
            <w:top w:w="0" w:type="dxa"/>
            <w:left w:w="0" w:type="dxa"/>
            <w:bottom w:w="0" w:type="dxa"/>
            <w:right w:w="0" w:type="dxa"/>
          </w:tblCellMar>
        </w:tblPrEx>
        <w:trPr>
          <w:trHeight w:val="312" w:hRule="atLeast"/>
        </w:trPr>
        <w:tc>
          <w:tcPr>
            <w:tcW w:w="76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DF2D03D">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92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DDF443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2"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EA15D2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45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570638D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79"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7904E1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33"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C0BC2C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518"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20929E3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06" w:type="pct"/>
            <w:vMerge w:val="continue"/>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1F6CD5B3">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3AA7620A">
        <w:tblPrEx>
          <w:tblCellMar>
            <w:top w:w="0" w:type="dxa"/>
            <w:left w:w="0" w:type="dxa"/>
            <w:bottom w:w="0" w:type="dxa"/>
            <w:right w:w="0" w:type="dxa"/>
          </w:tblCellMar>
        </w:tblPrEx>
        <w:trPr>
          <w:trHeight w:val="339" w:hRule="atLeast"/>
        </w:trPr>
        <w:tc>
          <w:tcPr>
            <w:tcW w:w="1692" w:type="pct"/>
            <w:gridSpan w:val="2"/>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14:paraId="368E833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5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9BEFCE">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4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EC983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5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528B3F">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63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14C02">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5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8E7B8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6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1121BC">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r>
    </w:tbl>
    <w:p w14:paraId="1845352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备注：本表反映部门本年度政府性基金预算财政拨款收入支出及结转和结余情况。本部门无政府性基金收支，故本表无数据。</w:t>
      </w:r>
    </w:p>
    <w:p w14:paraId="4A1B87B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hanging="720" w:hangingChars="300"/>
        <w:textAlignment w:val="auto"/>
        <w:rPr>
          <w:rFonts w:hint="default" w:ascii="Times New Roman" w:hAnsi="Times New Roman" w:eastAsia="方正仿宋_GBK" w:cs="Times New Roman"/>
          <w:sz w:val="24"/>
          <w:szCs w:val="24"/>
        </w:rPr>
      </w:pPr>
    </w:p>
    <w:tbl>
      <w:tblPr>
        <w:tblStyle w:val="4"/>
        <w:tblW w:w="5597" w:type="pct"/>
        <w:tblInd w:w="-398" w:type="dxa"/>
        <w:tblLayout w:type="autofit"/>
        <w:tblCellMar>
          <w:top w:w="0" w:type="dxa"/>
          <w:left w:w="0" w:type="dxa"/>
          <w:bottom w:w="0" w:type="dxa"/>
          <w:right w:w="0" w:type="dxa"/>
        </w:tblCellMar>
      </w:tblPr>
      <w:tblGrid>
        <w:gridCol w:w="2594"/>
        <w:gridCol w:w="1784"/>
        <w:gridCol w:w="846"/>
        <w:gridCol w:w="909"/>
        <w:gridCol w:w="1243"/>
        <w:gridCol w:w="51"/>
        <w:gridCol w:w="2697"/>
      </w:tblGrid>
      <w:tr w14:paraId="7B151AFB">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912B4B4">
            <w:pPr>
              <w:jc w:val="center"/>
              <w:textAlignment w:val="bottom"/>
              <w:rPr>
                <w:rFonts w:hint="default" w:ascii="Times New Roman" w:hAnsi="Times New Roman" w:cs="Times New Roman"/>
                <w:b/>
                <w:color w:val="000000"/>
                <w:sz w:val="32"/>
                <w:szCs w:val="32"/>
              </w:rPr>
            </w:pPr>
            <w:r>
              <w:rPr>
                <w:rFonts w:hint="default" w:ascii="Times New Roman" w:hAnsi="Times New Roman" w:eastAsia="方正小标宋_GBK" w:cs="Times New Roman"/>
                <w:b w:val="0"/>
                <w:bCs/>
                <w:color w:val="000000"/>
                <w:sz w:val="32"/>
                <w:szCs w:val="32"/>
              </w:rPr>
              <w:t>国有资本经营预算财政拨款支出决算表</w:t>
            </w:r>
          </w:p>
        </w:tc>
      </w:tr>
      <w:tr w14:paraId="304B218C">
        <w:tblPrEx>
          <w:tblCellMar>
            <w:top w:w="0" w:type="dxa"/>
            <w:left w:w="0" w:type="dxa"/>
            <w:bottom w:w="0" w:type="dxa"/>
            <w:right w:w="0" w:type="dxa"/>
          </w:tblCellMar>
        </w:tblPrEx>
        <w:trPr>
          <w:trHeight w:val="332" w:hRule="atLeast"/>
        </w:trPr>
        <w:tc>
          <w:tcPr>
            <w:tcW w:w="2580" w:type="pct"/>
            <w:gridSpan w:val="3"/>
            <w:vMerge w:val="restart"/>
            <w:tcBorders>
              <w:top w:val="nil"/>
              <w:left w:val="nil"/>
              <w:right w:val="nil"/>
            </w:tcBorders>
            <w:shd w:val="clear" w:color="auto" w:fill="auto"/>
            <w:noWrap/>
            <w:tcMar>
              <w:top w:w="15" w:type="dxa"/>
              <w:left w:w="15" w:type="dxa"/>
              <w:right w:w="15" w:type="dxa"/>
            </w:tcMar>
            <w:vAlign w:val="bottom"/>
          </w:tcPr>
          <w:p w14:paraId="068F9A4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sz w:val="24"/>
                <w:szCs w:val="24"/>
              </w:rPr>
              <w:t>公开部门</w:t>
            </w:r>
            <w:r>
              <w:rPr>
                <w:rFonts w:hint="default" w:ascii="Times New Roman" w:hAnsi="Times New Roman" w:eastAsia="方正仿宋_GBK" w:cs="Times New Roman"/>
                <w:color w:val="000000"/>
                <w:sz w:val="24"/>
                <w:szCs w:val="24"/>
              </w:rPr>
              <w:t xml:space="preserve">： </w:t>
            </w:r>
            <w:r>
              <w:rPr>
                <w:rFonts w:hint="default" w:ascii="Times New Roman" w:hAnsi="Times New Roman" w:eastAsia="方正仿宋_GBK" w:cs="Times New Roman"/>
                <w:color w:val="000000"/>
                <w:sz w:val="24"/>
                <w:szCs w:val="24"/>
                <w:u w:color="auto"/>
              </w:rPr>
              <w:t>重庆市大足区人民政府办公室</w:t>
            </w:r>
          </w:p>
        </w:tc>
        <w:tc>
          <w:tcPr>
            <w:tcW w:w="1088" w:type="pct"/>
            <w:gridSpan w:val="3"/>
            <w:tcBorders>
              <w:top w:val="nil"/>
              <w:left w:val="nil"/>
              <w:bottom w:val="nil"/>
              <w:right w:val="nil"/>
            </w:tcBorders>
            <w:shd w:val="clear" w:color="auto" w:fill="auto"/>
            <w:noWrap/>
            <w:tcMar>
              <w:top w:w="15" w:type="dxa"/>
              <w:left w:w="15" w:type="dxa"/>
              <w:right w:w="15" w:type="dxa"/>
            </w:tcMar>
            <w:vAlign w:val="bottom"/>
          </w:tcPr>
          <w:p w14:paraId="00794429">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330" w:type="pct"/>
            <w:tcBorders>
              <w:top w:val="nil"/>
              <w:left w:val="nil"/>
              <w:bottom w:val="nil"/>
              <w:right w:val="nil"/>
            </w:tcBorders>
            <w:shd w:val="clear" w:color="auto" w:fill="auto"/>
            <w:noWrap/>
            <w:tcMar>
              <w:top w:w="15" w:type="dxa"/>
              <w:left w:w="15" w:type="dxa"/>
              <w:right w:w="15" w:type="dxa"/>
            </w:tcMar>
            <w:vAlign w:val="bottom"/>
          </w:tcPr>
          <w:p w14:paraId="1C330C2B">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公开08表</w:t>
            </w:r>
          </w:p>
        </w:tc>
      </w:tr>
      <w:tr w14:paraId="3907561B">
        <w:tblPrEx>
          <w:tblCellMar>
            <w:top w:w="0" w:type="dxa"/>
            <w:left w:w="0" w:type="dxa"/>
            <w:bottom w:w="0" w:type="dxa"/>
            <w:right w:w="0" w:type="dxa"/>
          </w:tblCellMar>
        </w:tblPrEx>
        <w:trPr>
          <w:trHeight w:val="332" w:hRule="atLeast"/>
        </w:trPr>
        <w:tc>
          <w:tcPr>
            <w:tcW w:w="2580" w:type="pct"/>
            <w:gridSpan w:val="3"/>
            <w:vMerge w:val="continue"/>
            <w:tcBorders>
              <w:left w:val="nil"/>
              <w:bottom w:val="nil"/>
              <w:right w:val="nil"/>
            </w:tcBorders>
            <w:shd w:val="clear" w:color="auto" w:fill="auto"/>
            <w:noWrap/>
            <w:tcMar>
              <w:top w:w="15" w:type="dxa"/>
              <w:left w:w="15" w:type="dxa"/>
              <w:right w:w="15" w:type="dxa"/>
            </w:tcMar>
            <w:vAlign w:val="bottom"/>
          </w:tcPr>
          <w:p w14:paraId="74352B60">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088" w:type="pct"/>
            <w:gridSpan w:val="3"/>
            <w:tcBorders>
              <w:top w:val="nil"/>
              <w:left w:val="nil"/>
              <w:bottom w:val="nil"/>
              <w:right w:val="nil"/>
            </w:tcBorders>
            <w:shd w:val="clear" w:color="auto" w:fill="auto"/>
            <w:noWrap/>
            <w:tcMar>
              <w:top w:w="15" w:type="dxa"/>
              <w:left w:w="15" w:type="dxa"/>
              <w:right w:w="15" w:type="dxa"/>
            </w:tcMar>
            <w:vAlign w:val="bottom"/>
          </w:tcPr>
          <w:p w14:paraId="791BC58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sz w:val="24"/>
                <w:szCs w:val="24"/>
              </w:rPr>
            </w:pPr>
          </w:p>
        </w:tc>
        <w:tc>
          <w:tcPr>
            <w:tcW w:w="1330" w:type="pct"/>
            <w:tcBorders>
              <w:top w:val="nil"/>
              <w:left w:val="nil"/>
              <w:bottom w:val="nil"/>
              <w:right w:val="nil"/>
            </w:tcBorders>
            <w:shd w:val="clear" w:color="auto" w:fill="auto"/>
            <w:noWrap/>
            <w:tcMar>
              <w:top w:w="15" w:type="dxa"/>
              <w:left w:w="15" w:type="dxa"/>
              <w:right w:w="15" w:type="dxa"/>
            </w:tcMar>
            <w:vAlign w:val="bottom"/>
          </w:tcPr>
          <w:p w14:paraId="78C75331">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单位：</w:t>
            </w:r>
            <w:r>
              <w:rPr>
                <w:rFonts w:hint="default" w:ascii="Times New Roman" w:hAnsi="Times New Roman" w:eastAsia="方正仿宋_GBK" w:cs="Times New Roman"/>
                <w:sz w:val="24"/>
                <w:szCs w:val="24"/>
              </w:rPr>
              <w:t>万元</w:t>
            </w:r>
          </w:p>
        </w:tc>
      </w:tr>
      <w:tr w14:paraId="47AB502B">
        <w:tblPrEx>
          <w:tblCellMar>
            <w:top w:w="0" w:type="dxa"/>
            <w:left w:w="0" w:type="dxa"/>
            <w:bottom w:w="0" w:type="dxa"/>
            <w:right w:w="0" w:type="dxa"/>
          </w:tblCellMar>
        </w:tblPrEx>
        <w:trPr>
          <w:trHeight w:val="422" w:hRule="atLeast"/>
        </w:trPr>
        <w:tc>
          <w:tcPr>
            <w:tcW w:w="2162"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5C6C14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w:t>
            </w:r>
          </w:p>
        </w:tc>
        <w:tc>
          <w:tcPr>
            <w:tcW w:w="2837"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1C6900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本年支出</w:t>
            </w:r>
          </w:p>
        </w:tc>
      </w:tr>
      <w:tr w14:paraId="057394BD">
        <w:tblPrEx>
          <w:tblCellMar>
            <w:top w:w="0" w:type="dxa"/>
            <w:left w:w="0" w:type="dxa"/>
            <w:bottom w:w="0" w:type="dxa"/>
            <w:right w:w="0" w:type="dxa"/>
          </w:tblCellMar>
        </w:tblPrEx>
        <w:trPr>
          <w:trHeight w:val="339" w:hRule="atLeast"/>
        </w:trPr>
        <w:tc>
          <w:tcPr>
            <w:tcW w:w="1281"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386E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功能分类科目编码</w:t>
            </w:r>
          </w:p>
        </w:tc>
        <w:tc>
          <w:tcPr>
            <w:tcW w:w="881"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F1B52C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科目名称</w:t>
            </w:r>
          </w:p>
        </w:tc>
        <w:tc>
          <w:tcPr>
            <w:tcW w:w="867"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7203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61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DB99FE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基本支出</w:t>
            </w:r>
          </w:p>
        </w:tc>
        <w:tc>
          <w:tcPr>
            <w:tcW w:w="1355"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B0BB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项目支出</w:t>
            </w:r>
          </w:p>
        </w:tc>
      </w:tr>
      <w:tr w14:paraId="0CC64E5E">
        <w:tblPrEx>
          <w:tblCellMar>
            <w:top w:w="0" w:type="dxa"/>
            <w:left w:w="0" w:type="dxa"/>
            <w:bottom w:w="0" w:type="dxa"/>
            <w:right w:w="0" w:type="dxa"/>
          </w:tblCellMar>
        </w:tblPrEx>
        <w:trPr>
          <w:trHeight w:val="339" w:hRule="atLeast"/>
        </w:trPr>
        <w:tc>
          <w:tcPr>
            <w:tcW w:w="128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27C1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A4AAAB5">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67"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1A19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C90C9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35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6C51E6">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431567CD">
        <w:tblPrEx>
          <w:tblCellMar>
            <w:top w:w="0" w:type="dxa"/>
            <w:left w:w="0" w:type="dxa"/>
            <w:bottom w:w="0" w:type="dxa"/>
            <w:right w:w="0" w:type="dxa"/>
          </w:tblCellMar>
        </w:tblPrEx>
        <w:trPr>
          <w:trHeight w:val="339" w:hRule="atLeast"/>
        </w:trPr>
        <w:tc>
          <w:tcPr>
            <w:tcW w:w="128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2F38A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87B0A4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67"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157077">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215D2C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35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17A60D4">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53367CE3">
        <w:tblPrEx>
          <w:tblCellMar>
            <w:top w:w="0" w:type="dxa"/>
            <w:left w:w="0" w:type="dxa"/>
            <w:bottom w:w="0" w:type="dxa"/>
            <w:right w:w="0" w:type="dxa"/>
          </w:tblCellMar>
        </w:tblPrEx>
        <w:trPr>
          <w:trHeight w:val="312" w:hRule="atLeast"/>
        </w:trPr>
        <w:tc>
          <w:tcPr>
            <w:tcW w:w="1281"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3E95E0">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81"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5F2C9">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867"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874AB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61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A2EFDC">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c>
          <w:tcPr>
            <w:tcW w:w="1355"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80CF0C2">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b/>
                <w:color w:val="000000"/>
                <w:sz w:val="24"/>
                <w:szCs w:val="24"/>
              </w:rPr>
            </w:pPr>
          </w:p>
        </w:tc>
      </w:tr>
      <w:tr w14:paraId="6F533F43">
        <w:tblPrEx>
          <w:tblCellMar>
            <w:top w:w="0" w:type="dxa"/>
            <w:left w:w="0" w:type="dxa"/>
            <w:bottom w:w="0" w:type="dxa"/>
            <w:right w:w="0" w:type="dxa"/>
          </w:tblCellMar>
        </w:tblPrEx>
        <w:trPr>
          <w:trHeight w:val="611" w:hRule="atLeast"/>
        </w:trPr>
        <w:tc>
          <w:tcPr>
            <w:tcW w:w="2162"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432A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rPr>
              <w:t>合计</w:t>
            </w:r>
          </w:p>
        </w:tc>
        <w:tc>
          <w:tcPr>
            <w:tcW w:w="867"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1EB47">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c>
          <w:tcPr>
            <w:tcW w:w="61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687F0">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b/>
                <w:color w:val="000000"/>
                <w:sz w:val="24"/>
                <w:szCs w:val="24"/>
              </w:rPr>
            </w:pPr>
          </w:p>
        </w:tc>
        <w:tc>
          <w:tcPr>
            <w:tcW w:w="1355"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B6F44">
            <w:pPr>
              <w:keepNext w:val="0"/>
              <w:keepLines w:val="0"/>
              <w:pageBreakBefore w:val="0"/>
              <w:widowControl w:val="0"/>
              <w:kinsoku/>
              <w:wordWrap/>
              <w:overflowPunct/>
              <w:topLinePunct w:val="0"/>
              <w:autoSpaceDE/>
              <w:autoSpaceDN/>
              <w:bidi w:val="0"/>
              <w:adjustRightInd/>
              <w:snapToGrid/>
              <w:spacing w:line="360" w:lineRule="exact"/>
              <w:jc w:val="right"/>
              <w:textAlignment w:val="center"/>
              <w:rPr>
                <w:rFonts w:hint="default" w:ascii="Times New Roman" w:hAnsi="Times New Roman" w:eastAsia="方正仿宋_GBK" w:cs="Times New Roman"/>
                <w:b/>
                <w:color w:val="000000"/>
                <w:sz w:val="24"/>
                <w:szCs w:val="24"/>
              </w:rPr>
            </w:pPr>
            <w:r>
              <w:rPr>
                <w:rFonts w:hint="default" w:ascii="Times New Roman" w:hAnsi="Times New Roman" w:eastAsia="方正仿宋_GBK" w:cs="Times New Roman"/>
                <w:b/>
                <w:color w:val="000000"/>
                <w:sz w:val="24"/>
                <w:szCs w:val="24"/>
                <w:u w:color="auto"/>
              </w:rPr>
              <w:t xml:space="preserve"> </w:t>
            </w:r>
          </w:p>
        </w:tc>
      </w:tr>
    </w:tbl>
    <w:p w14:paraId="28657B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备注：本表反映部门本年度国有资本经营预算财政拨款支出情况。本部门无国有资本经营收支，故本表无数据。</w:t>
      </w:r>
    </w:p>
    <w:p w14:paraId="12EEF68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hanging="720" w:hangingChars="300"/>
        <w:textAlignment w:val="auto"/>
        <w:rPr>
          <w:rFonts w:hint="default" w:ascii="Times New Roman" w:hAnsi="Times New Roman" w:eastAsia="方正仿宋_GBK" w:cs="Times New Roman"/>
          <w:sz w:val="24"/>
          <w:szCs w:val="24"/>
        </w:rPr>
      </w:pPr>
    </w:p>
    <w:tbl>
      <w:tblPr>
        <w:tblStyle w:val="4"/>
        <w:tblW w:w="5639" w:type="pct"/>
        <w:tblInd w:w="-443" w:type="dxa"/>
        <w:tblLayout w:type="fixed"/>
        <w:tblCellMar>
          <w:top w:w="0" w:type="dxa"/>
          <w:left w:w="170" w:type="dxa"/>
          <w:bottom w:w="0" w:type="dxa"/>
          <w:right w:w="170" w:type="dxa"/>
        </w:tblCellMar>
      </w:tblPr>
      <w:tblGrid>
        <w:gridCol w:w="2985"/>
        <w:gridCol w:w="1545"/>
        <w:gridCol w:w="1440"/>
        <w:gridCol w:w="2715"/>
        <w:gridCol w:w="1515"/>
      </w:tblGrid>
      <w:tr w14:paraId="79F42C6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718B892">
            <w:pPr>
              <w:keepNext w:val="0"/>
              <w:keepLines w:val="0"/>
              <w:pageBreakBefore w:val="0"/>
              <w:widowControl w:val="0"/>
              <w:kinsoku/>
              <w:wordWrap/>
              <w:overflowPunct/>
              <w:topLinePunct w:val="0"/>
              <w:autoSpaceDE/>
              <w:autoSpaceDN/>
              <w:bidi w:val="0"/>
              <w:adjustRightInd/>
              <w:snapToGrid/>
              <w:spacing w:line="500" w:lineRule="exact"/>
              <w:jc w:val="center"/>
              <w:textAlignment w:val="bottom"/>
              <w:rPr>
                <w:rFonts w:hint="default" w:ascii="Times New Roman" w:hAnsi="Times New Roman" w:cs="Times New Roman"/>
                <w:b/>
                <w:color w:val="000000"/>
                <w:kern w:val="2"/>
                <w:sz w:val="32"/>
                <w:szCs w:val="32"/>
              </w:rPr>
            </w:pPr>
            <w:r>
              <w:rPr>
                <w:rFonts w:hint="eastAsia" w:ascii="方正小标宋_GBK" w:hAnsi="方正小标宋_GBK" w:eastAsia="方正小标宋_GBK" w:cs="方正小标宋_GBK"/>
                <w:b w:val="0"/>
                <w:bCs/>
                <w:color w:val="000000"/>
                <w:kern w:val="2"/>
                <w:sz w:val="32"/>
                <w:szCs w:val="32"/>
              </w:rPr>
              <w:t>机构运行信息表</w:t>
            </w:r>
          </w:p>
        </w:tc>
      </w:tr>
      <w:tr w14:paraId="7D7D4FEC">
        <w:tblPrEx>
          <w:tblCellMar>
            <w:top w:w="0" w:type="dxa"/>
            <w:left w:w="170" w:type="dxa"/>
            <w:bottom w:w="0" w:type="dxa"/>
            <w:right w:w="170" w:type="dxa"/>
          </w:tblCellMar>
        </w:tblPrEx>
        <w:trPr>
          <w:trHeight w:val="244" w:hRule="atLeast"/>
        </w:trPr>
        <w:tc>
          <w:tcPr>
            <w:tcW w:w="1463" w:type="pct"/>
            <w:shd w:val="clear" w:color="auto" w:fill="auto"/>
            <w:noWrap/>
            <w:tcMar>
              <w:top w:w="15" w:type="dxa"/>
              <w:left w:w="15" w:type="dxa"/>
              <w:right w:w="15" w:type="dxa"/>
            </w:tcMar>
            <w:vAlign w:val="bottom"/>
          </w:tcPr>
          <w:p w14:paraId="4DF0245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kern w:val="2"/>
                <w:sz w:val="24"/>
                <w:szCs w:val="24"/>
              </w:rPr>
            </w:pPr>
          </w:p>
        </w:tc>
        <w:tc>
          <w:tcPr>
            <w:tcW w:w="757" w:type="pct"/>
            <w:shd w:val="clear" w:color="auto" w:fill="auto"/>
            <w:noWrap/>
            <w:tcMar>
              <w:top w:w="15" w:type="dxa"/>
              <w:left w:w="15" w:type="dxa"/>
              <w:right w:w="15" w:type="dxa"/>
            </w:tcMar>
            <w:vAlign w:val="bottom"/>
          </w:tcPr>
          <w:p w14:paraId="19B8A4CE">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4"/>
                <w:szCs w:val="24"/>
              </w:rPr>
            </w:pPr>
          </w:p>
        </w:tc>
        <w:tc>
          <w:tcPr>
            <w:tcW w:w="705" w:type="pct"/>
            <w:shd w:val="clear" w:color="auto" w:fill="auto"/>
            <w:noWrap/>
            <w:tcMar>
              <w:top w:w="15" w:type="dxa"/>
              <w:left w:w="15" w:type="dxa"/>
              <w:right w:w="15" w:type="dxa"/>
            </w:tcMar>
            <w:vAlign w:val="bottom"/>
          </w:tcPr>
          <w:p w14:paraId="608CC307">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kern w:val="2"/>
                <w:sz w:val="24"/>
                <w:szCs w:val="24"/>
              </w:rPr>
            </w:pPr>
          </w:p>
        </w:tc>
        <w:tc>
          <w:tcPr>
            <w:tcW w:w="1330" w:type="pct"/>
            <w:shd w:val="clear" w:color="auto" w:fill="auto"/>
            <w:noWrap/>
            <w:tcMar>
              <w:top w:w="15" w:type="dxa"/>
              <w:left w:w="15" w:type="dxa"/>
              <w:right w:w="15" w:type="dxa"/>
            </w:tcMar>
            <w:vAlign w:val="bottom"/>
          </w:tcPr>
          <w:p w14:paraId="595FEF6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kern w:val="2"/>
                <w:sz w:val="24"/>
                <w:szCs w:val="24"/>
              </w:rPr>
            </w:pPr>
          </w:p>
        </w:tc>
        <w:tc>
          <w:tcPr>
            <w:tcW w:w="742" w:type="pct"/>
            <w:shd w:val="clear" w:color="auto" w:fill="auto"/>
            <w:noWrap/>
            <w:tcMar>
              <w:top w:w="15" w:type="dxa"/>
              <w:left w:w="15" w:type="dxa"/>
              <w:right w:w="15" w:type="dxa"/>
            </w:tcMar>
            <w:vAlign w:val="bottom"/>
          </w:tcPr>
          <w:p w14:paraId="66D2DBE2">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公开09表</w:t>
            </w:r>
          </w:p>
        </w:tc>
      </w:tr>
      <w:tr w14:paraId="23553CCB">
        <w:tblPrEx>
          <w:tblCellMar>
            <w:top w:w="0" w:type="dxa"/>
            <w:left w:w="170" w:type="dxa"/>
            <w:bottom w:w="0" w:type="dxa"/>
            <w:right w:w="170" w:type="dxa"/>
          </w:tblCellMar>
        </w:tblPrEx>
        <w:trPr>
          <w:trHeight w:val="244" w:hRule="atLeast"/>
        </w:trPr>
        <w:tc>
          <w:tcPr>
            <w:tcW w:w="2220"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5F390F67">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kern w:val="2"/>
                <w:sz w:val="24"/>
                <w:szCs w:val="24"/>
              </w:rPr>
              <w:t>公开部门</w:t>
            </w:r>
            <w:r>
              <w:rPr>
                <w:rFonts w:hint="default" w:ascii="Times New Roman" w:hAnsi="Times New Roman" w:eastAsia="方正仿宋_GBK" w:cs="Times New Roman"/>
                <w:color w:val="000000"/>
                <w:kern w:val="2"/>
                <w:sz w:val="24"/>
                <w:szCs w:val="24"/>
              </w:rPr>
              <w:t xml:space="preserve">： </w:t>
            </w:r>
            <w:r>
              <w:rPr>
                <w:rFonts w:hint="default" w:ascii="Times New Roman" w:hAnsi="Times New Roman" w:eastAsia="方正仿宋_GBK" w:cs="Times New Roman"/>
                <w:color w:val="000000"/>
                <w:sz w:val="24"/>
                <w:szCs w:val="24"/>
                <w:u w:color="auto"/>
              </w:rPr>
              <w:t>重庆市大足区人民政府办公室</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0DFF3594">
            <w:pPr>
              <w:keepNext w:val="0"/>
              <w:keepLines w:val="0"/>
              <w:pageBreakBefore w:val="0"/>
              <w:widowControl w:val="0"/>
              <w:kinsoku/>
              <w:wordWrap/>
              <w:overflowPunct/>
              <w:topLinePunct w:val="0"/>
              <w:autoSpaceDE/>
              <w:autoSpaceDN/>
              <w:bidi w:val="0"/>
              <w:adjustRightInd/>
              <w:snapToGrid/>
              <w:spacing w:line="360" w:lineRule="exact"/>
              <w:jc w:val="right"/>
              <w:rPr>
                <w:rFonts w:hint="default" w:ascii="Times New Roman" w:hAnsi="Times New Roman" w:eastAsia="方正仿宋_GBK" w:cs="Times New Roman"/>
                <w:color w:val="000000"/>
                <w:kern w:val="2"/>
                <w:sz w:val="24"/>
                <w:szCs w:val="24"/>
              </w:rPr>
            </w:pPr>
          </w:p>
        </w:tc>
        <w:tc>
          <w:tcPr>
            <w:tcW w:w="1330" w:type="pct"/>
            <w:tcBorders>
              <w:top w:val="nil"/>
              <w:left w:val="nil"/>
              <w:bottom w:val="single" w:color="auto" w:sz="4" w:space="0"/>
              <w:right w:val="nil"/>
            </w:tcBorders>
            <w:shd w:val="clear" w:color="auto" w:fill="auto"/>
            <w:noWrap/>
            <w:tcMar>
              <w:top w:w="15" w:type="dxa"/>
              <w:left w:w="15" w:type="dxa"/>
              <w:right w:w="15" w:type="dxa"/>
            </w:tcMar>
            <w:vAlign w:val="bottom"/>
          </w:tcPr>
          <w:p w14:paraId="04333AAE">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kern w:val="2"/>
                <w:sz w:val="24"/>
                <w:szCs w:val="24"/>
              </w:rPr>
            </w:pPr>
          </w:p>
        </w:tc>
        <w:tc>
          <w:tcPr>
            <w:tcW w:w="742" w:type="pct"/>
            <w:tcBorders>
              <w:top w:val="nil"/>
              <w:left w:val="nil"/>
              <w:bottom w:val="single" w:color="auto" w:sz="4" w:space="0"/>
              <w:right w:val="nil"/>
            </w:tcBorders>
            <w:shd w:val="clear" w:color="auto" w:fill="auto"/>
            <w:noWrap/>
            <w:tcMar>
              <w:top w:w="15" w:type="dxa"/>
              <w:left w:w="15" w:type="dxa"/>
              <w:right w:w="15" w:type="dxa"/>
            </w:tcMar>
            <w:vAlign w:val="bottom"/>
          </w:tcPr>
          <w:p w14:paraId="31046868">
            <w:pPr>
              <w:keepNext w:val="0"/>
              <w:keepLines w:val="0"/>
              <w:pageBreakBefore w:val="0"/>
              <w:widowControl w:val="0"/>
              <w:kinsoku/>
              <w:wordWrap/>
              <w:overflowPunct/>
              <w:topLinePunct w:val="0"/>
              <w:autoSpaceDE/>
              <w:autoSpaceDN/>
              <w:bidi w:val="0"/>
              <w:adjustRightInd/>
              <w:snapToGrid/>
              <w:spacing w:line="360" w:lineRule="exact"/>
              <w:jc w:val="right"/>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单位：</w:t>
            </w:r>
            <w:r>
              <w:rPr>
                <w:rFonts w:hint="default" w:ascii="Times New Roman" w:hAnsi="Times New Roman" w:eastAsia="方正仿宋_GBK" w:cs="Times New Roman"/>
                <w:kern w:val="2"/>
                <w:sz w:val="24"/>
                <w:szCs w:val="24"/>
              </w:rPr>
              <w:t>万元</w:t>
            </w:r>
          </w:p>
        </w:tc>
      </w:tr>
      <w:tr w14:paraId="59DE5E48">
        <w:tblPrEx>
          <w:tblCellMar>
            <w:top w:w="0" w:type="dxa"/>
            <w:left w:w="170" w:type="dxa"/>
            <w:bottom w:w="0" w:type="dxa"/>
            <w:right w:w="170" w:type="dxa"/>
          </w:tblCellMar>
        </w:tblPrEx>
        <w:trPr>
          <w:trHeight w:val="28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6C16D0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kern w:val="2"/>
                <w:sz w:val="24"/>
                <w:szCs w:val="24"/>
              </w:rPr>
            </w:pPr>
            <w:r>
              <w:rPr>
                <w:rFonts w:hint="default" w:ascii="Times New Roman" w:hAnsi="Times New Roman" w:eastAsia="方正仿宋_GBK" w:cs="Times New Roman"/>
                <w:b/>
                <w:color w:val="000000"/>
                <w:kern w:val="2"/>
                <w:sz w:val="24"/>
                <w:szCs w:val="24"/>
              </w:rPr>
              <w:t>项  目</w:t>
            </w:r>
          </w:p>
        </w:tc>
        <w:tc>
          <w:tcPr>
            <w:tcW w:w="75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93633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kern w:val="2"/>
                <w:sz w:val="24"/>
                <w:szCs w:val="24"/>
              </w:rPr>
            </w:pPr>
            <w:r>
              <w:rPr>
                <w:rFonts w:hint="default" w:ascii="Times New Roman" w:hAnsi="Times New Roman" w:eastAsia="方正仿宋_GBK" w:cs="Times New Roman"/>
                <w:b/>
                <w:color w:val="000000"/>
                <w:kern w:val="2"/>
                <w:sz w:val="24"/>
                <w:szCs w:val="24"/>
              </w:rPr>
              <w:t>预算数</w:t>
            </w:r>
          </w:p>
        </w:tc>
        <w:tc>
          <w:tcPr>
            <w:tcW w:w="705"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E608C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kern w:val="2"/>
                <w:sz w:val="24"/>
                <w:szCs w:val="24"/>
              </w:rPr>
            </w:pPr>
            <w:r>
              <w:rPr>
                <w:rFonts w:hint="default" w:ascii="Times New Roman" w:hAnsi="Times New Roman" w:eastAsia="方正仿宋_GBK" w:cs="Times New Roman"/>
                <w:b/>
                <w:color w:val="000000"/>
                <w:kern w:val="2"/>
                <w:sz w:val="24"/>
                <w:szCs w:val="24"/>
              </w:rPr>
              <w:t>决算数</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109EF9">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kern w:val="2"/>
                <w:sz w:val="24"/>
                <w:szCs w:val="24"/>
              </w:rPr>
            </w:pPr>
            <w:r>
              <w:rPr>
                <w:rFonts w:hint="default" w:ascii="Times New Roman" w:hAnsi="Times New Roman" w:eastAsia="方正仿宋_GBK" w:cs="Times New Roman"/>
                <w:b/>
                <w:color w:val="000000"/>
                <w:kern w:val="2"/>
                <w:sz w:val="24"/>
                <w:szCs w:val="24"/>
              </w:rPr>
              <w:t>项  目</w:t>
            </w:r>
          </w:p>
        </w:tc>
        <w:tc>
          <w:tcPr>
            <w:tcW w:w="74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095174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b/>
                <w:color w:val="000000"/>
                <w:kern w:val="2"/>
                <w:sz w:val="24"/>
                <w:szCs w:val="24"/>
              </w:rPr>
            </w:pPr>
            <w:r>
              <w:rPr>
                <w:rFonts w:hint="default" w:ascii="Times New Roman" w:hAnsi="Times New Roman" w:eastAsia="方正仿宋_GBK" w:cs="Times New Roman"/>
                <w:b/>
                <w:color w:val="000000"/>
                <w:kern w:val="2"/>
                <w:sz w:val="24"/>
                <w:szCs w:val="24"/>
              </w:rPr>
              <w:t>决算数</w:t>
            </w:r>
          </w:p>
        </w:tc>
      </w:tr>
      <w:tr w14:paraId="04160EB1">
        <w:tblPrEx>
          <w:tblCellMar>
            <w:top w:w="0" w:type="dxa"/>
            <w:left w:w="170" w:type="dxa"/>
            <w:bottom w:w="0" w:type="dxa"/>
            <w:right w:w="170" w:type="dxa"/>
          </w:tblCellMar>
        </w:tblPrEx>
        <w:trPr>
          <w:trHeight w:val="28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9AE65E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一、</w:t>
            </w:r>
            <w:r>
              <w:rPr>
                <w:rFonts w:hint="eastAsia" w:ascii="Times New Roman" w:hAnsi="Times New Roman" w:eastAsia="方正仿宋_GBK" w:cs="Times New Roman"/>
                <w:color w:val="000000"/>
                <w:kern w:val="2"/>
                <w:sz w:val="24"/>
                <w:szCs w:val="24"/>
                <w:lang w:eastAsia="zh-CN"/>
              </w:rPr>
              <w:t>“</w:t>
            </w:r>
            <w:r>
              <w:rPr>
                <w:rFonts w:hint="default" w:ascii="Times New Roman" w:hAnsi="Times New Roman" w:eastAsia="方正仿宋_GBK" w:cs="Times New Roman"/>
                <w:color w:val="000000"/>
                <w:kern w:val="2"/>
                <w:sz w:val="24"/>
                <w:szCs w:val="24"/>
              </w:rPr>
              <w:t>三公</w:t>
            </w:r>
            <w:r>
              <w:rPr>
                <w:rFonts w:hint="eastAsia" w:ascii="Times New Roman" w:hAnsi="Times New Roman" w:eastAsia="方正仿宋_GBK" w:cs="Times New Roman"/>
                <w:color w:val="000000"/>
                <w:kern w:val="2"/>
                <w:sz w:val="24"/>
                <w:szCs w:val="24"/>
                <w:lang w:eastAsia="zh-CN"/>
              </w:rPr>
              <w:t>”</w:t>
            </w:r>
            <w:r>
              <w:rPr>
                <w:rFonts w:hint="default" w:ascii="Times New Roman" w:hAnsi="Times New Roman" w:eastAsia="方正仿宋_GBK" w:cs="Times New Roman"/>
                <w:color w:val="000000"/>
                <w:kern w:val="2"/>
                <w:sz w:val="24"/>
                <w:szCs w:val="24"/>
              </w:rPr>
              <w:t>经费支出</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054E0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02A67B">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65858E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四、机关运行经费</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09D88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231.06</w:t>
            </w:r>
          </w:p>
        </w:tc>
      </w:tr>
      <w:tr w14:paraId="04279105">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1B2627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（一）支出合计</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ADC6C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39.31</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3DB0E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39.31</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BC7F0B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（一）行政单位</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9FC2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231.06</w:t>
            </w:r>
          </w:p>
        </w:tc>
      </w:tr>
      <w:tr w14:paraId="2B7CC9D4">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B9AC9D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1．因公出国（境）费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305F6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609A0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82B4B2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（二）参照公务员法管理事业单位</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C9392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784D4D22">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42A92C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2．公务用车购置及运行维护费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3A0163">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30.31</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51D72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30.31</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9AF2E7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五、资产信息</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5ED9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r>
      <w:tr w14:paraId="718ED4DA">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A929C3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（1）公务用车购置费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BD9C6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CBB4F6">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9C6D1B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（一）车辆数合计（辆）</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A51ADB">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21</w:t>
            </w:r>
          </w:p>
        </w:tc>
      </w:tr>
      <w:tr w14:paraId="57884081">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B6E3B8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（2）公务用车运行维护费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EE9433">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30.31</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9C6F6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30.31</w:t>
            </w: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42443FB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1．副部（省）级及以上领导用车</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FC23E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30A12672">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EEB48F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3．公务接待费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864C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9.00</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1755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9.00</w:t>
            </w: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BD807E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2．主要领导干部用车</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78D6C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477B241D">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0A5A56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（1）国内接待费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424DD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2AE9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9.00</w:t>
            </w: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53EEDA">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3．机要通信用车</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5E23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145AE40E">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A17DCD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其中：外事接待费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9DA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B7BDD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EBCB23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4．应急保障用车</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F4B70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21</w:t>
            </w:r>
          </w:p>
        </w:tc>
      </w:tr>
      <w:tr w14:paraId="3B454873">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8D23195">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（2）国（境）外接待费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A88296">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F3BE5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912A6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5．执法执勤用车</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588F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5984F742">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DEA27A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（二）相关统计数</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89492E">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B87881">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0D9E79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6．特种专业技术用车</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AF26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196F4EDA">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03081AB">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1．因公出国（境）团组数（个）</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7BB2C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DA5B2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178ED36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7．离退休干部用车</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049B1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09FF8F18">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FAB819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2．因公出国（境）人次数（人）</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B3EA0">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DBC619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ECF2803">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8．其他用车</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56DB8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7D0EE05B">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71C54A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3．公务用车购置数（辆）</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0A4CFA">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B4092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58C6BB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（二）单价100万元（含）以上设备（不含车辆）</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E1431">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5A649934">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54F5BB76">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4．公务用车保有量（辆）</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9CB2DC">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7C94F45">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21</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474DD6B7">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六、政府采购支出信息</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4E9B3">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r>
      <w:tr w14:paraId="28D29DC0">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2B80334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5．国内公务接待批次（个）</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B452C8">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057B27A">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110</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11061EF9">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（一）政府采购支出合计</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AB068C">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7C0E8758">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0C9FB14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其中：外事接待批次（个）</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34E5F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AF3600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3498BE1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1．政府采购货物支出</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962BE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56A8E7D0">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92C6D1C">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6．国内公务接待人次（人）</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E940E2">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31EAFF9D">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1,566</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B0133A0">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2．政府采购工程支出</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058DD8">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600237DE">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3DE5D62E">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其中：外事接待人次（人）</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73E07F">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BB912A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7AF8EA1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3．政府采购服务支出</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D03AD0">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5DCAA5A5">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7CB2CC4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7．国（境）外公务接待批次（个）</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90AFD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72965E">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3C9CFF4">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（二）政府采购授予中小企业合同金额</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C0462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20CD6D7D">
        <w:tblPrEx>
          <w:tblCellMar>
            <w:top w:w="0" w:type="dxa"/>
            <w:left w:w="170" w:type="dxa"/>
            <w:bottom w:w="0" w:type="dxa"/>
            <w:right w:w="170" w:type="dxa"/>
          </w:tblCellMar>
        </w:tblPrEx>
        <w:trPr>
          <w:trHeight w:val="292" w:hRule="atLeast"/>
        </w:trPr>
        <w:tc>
          <w:tcPr>
            <w:tcW w:w="1463"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14:paraId="6C6B0388">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8．国（境）外公务接待人次（人）</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D0B644">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E94730F">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6308FC41">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其中：授予小微企业合同金额</w:t>
            </w: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704477">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p>
        </w:tc>
      </w:tr>
      <w:tr w14:paraId="594E27F9">
        <w:tblPrEx>
          <w:tblCellMar>
            <w:top w:w="0" w:type="dxa"/>
            <w:left w:w="170" w:type="dxa"/>
            <w:bottom w:w="0" w:type="dxa"/>
            <w:right w:w="170" w:type="dxa"/>
          </w:tblCellMar>
        </w:tblPrEx>
        <w:trPr>
          <w:trHeight w:val="286"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4B2EF72">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二、会议费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F03DAD">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3BEF4">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19.55</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2AB2682B">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kern w:val="2"/>
                <w:sz w:val="24"/>
                <w:szCs w:val="24"/>
              </w:rPr>
            </w:pP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9B601B">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4"/>
                <w:szCs w:val="24"/>
              </w:rPr>
            </w:pPr>
          </w:p>
        </w:tc>
      </w:tr>
      <w:tr w14:paraId="5B455EF6">
        <w:tblPrEx>
          <w:tblCellMar>
            <w:top w:w="0" w:type="dxa"/>
            <w:left w:w="170" w:type="dxa"/>
            <w:bottom w:w="0" w:type="dxa"/>
            <w:right w:w="170" w:type="dxa"/>
          </w:tblCellMar>
        </w:tblPrEx>
        <w:trPr>
          <w:trHeight w:val="389" w:hRule="atLeast"/>
        </w:trPr>
        <w:tc>
          <w:tcPr>
            <w:tcW w:w="1463"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06886ADD">
            <w:pPr>
              <w:keepNext w:val="0"/>
              <w:keepLines w:val="0"/>
              <w:pageBreakBefore w:val="0"/>
              <w:widowControl w:val="0"/>
              <w:kinsoku/>
              <w:wordWrap/>
              <w:overflowPunct/>
              <w:topLinePunct w:val="0"/>
              <w:autoSpaceDE/>
              <w:autoSpaceDN/>
              <w:bidi w:val="0"/>
              <w:adjustRightInd/>
              <w:snapToGrid/>
              <w:spacing w:line="360" w:lineRule="exact"/>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三、培训费</w:t>
            </w:r>
          </w:p>
        </w:tc>
        <w:tc>
          <w:tcPr>
            <w:tcW w:w="7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F76C7">
            <w:pPr>
              <w:keepNext w:val="0"/>
              <w:keepLines w:val="0"/>
              <w:pageBreakBefore w:val="0"/>
              <w:widowControl w:val="0"/>
              <w:kinsoku/>
              <w:wordWrap/>
              <w:overflowPunct/>
              <w:topLinePunct w:val="0"/>
              <w:autoSpaceDE/>
              <w:autoSpaceDN/>
              <w:bidi w:val="0"/>
              <w:adjustRightInd/>
              <w:snapToGrid/>
              <w:spacing w:line="360" w:lineRule="exact"/>
              <w:jc w:val="center"/>
              <w:textAlignment w:val="center"/>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A48789">
            <w:pPr>
              <w:keepNext w:val="0"/>
              <w:keepLines w:val="0"/>
              <w:pageBreakBefore w:val="0"/>
              <w:widowControl w:val="0"/>
              <w:kinsoku/>
              <w:wordWrap/>
              <w:overflowPunct/>
              <w:topLinePunct w:val="0"/>
              <w:autoSpaceDE/>
              <w:autoSpaceDN/>
              <w:bidi w:val="0"/>
              <w:adjustRightInd/>
              <w:snapToGrid/>
              <w:spacing w:line="360" w:lineRule="exact"/>
              <w:jc w:val="center"/>
              <w:textAlignment w:val="bottom"/>
              <w:rPr>
                <w:rFonts w:hint="default" w:ascii="Times New Roman" w:hAnsi="Times New Roman" w:eastAsia="方正仿宋_GBK" w:cs="Times New Roman"/>
                <w:color w:val="000000"/>
                <w:kern w:val="2"/>
                <w:sz w:val="24"/>
                <w:szCs w:val="24"/>
              </w:rPr>
            </w:pPr>
            <w:r>
              <w:rPr>
                <w:rFonts w:hint="default" w:ascii="Times New Roman" w:hAnsi="Times New Roman" w:eastAsia="方正仿宋_GBK" w:cs="Times New Roman"/>
                <w:color w:val="000000"/>
                <w:kern w:val="2"/>
                <w:sz w:val="24"/>
                <w:szCs w:val="24"/>
              </w:rPr>
              <w:t>2.90</w:t>
            </w:r>
          </w:p>
        </w:tc>
        <w:tc>
          <w:tcPr>
            <w:tcW w:w="1330"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14:paraId="5F8C1A35">
            <w:pPr>
              <w:keepNext w:val="0"/>
              <w:keepLines w:val="0"/>
              <w:pageBreakBefore w:val="0"/>
              <w:widowControl w:val="0"/>
              <w:kinsoku/>
              <w:wordWrap/>
              <w:overflowPunct/>
              <w:topLinePunct w:val="0"/>
              <w:autoSpaceDE/>
              <w:autoSpaceDN/>
              <w:bidi w:val="0"/>
              <w:adjustRightInd/>
              <w:snapToGrid/>
              <w:spacing w:line="360" w:lineRule="exact"/>
              <w:rPr>
                <w:rFonts w:hint="default" w:ascii="Times New Roman" w:hAnsi="Times New Roman" w:eastAsia="方正仿宋_GBK" w:cs="Times New Roman"/>
                <w:color w:val="000000"/>
                <w:kern w:val="2"/>
                <w:sz w:val="24"/>
                <w:szCs w:val="24"/>
              </w:rPr>
            </w:pPr>
          </w:p>
        </w:tc>
        <w:tc>
          <w:tcPr>
            <w:tcW w:w="74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987E7A">
            <w:pPr>
              <w:keepNext w:val="0"/>
              <w:keepLines w:val="0"/>
              <w:pageBreakBefore w:val="0"/>
              <w:widowControl w:val="0"/>
              <w:kinsoku/>
              <w:wordWrap/>
              <w:overflowPunct/>
              <w:topLinePunct w:val="0"/>
              <w:autoSpaceDE/>
              <w:autoSpaceDN/>
              <w:bidi w:val="0"/>
              <w:adjustRightInd/>
              <w:snapToGrid/>
              <w:spacing w:line="360" w:lineRule="exact"/>
              <w:jc w:val="center"/>
              <w:rPr>
                <w:rFonts w:hint="default" w:ascii="Times New Roman" w:hAnsi="Times New Roman" w:eastAsia="方正仿宋_GBK" w:cs="Times New Roman"/>
                <w:color w:val="000000"/>
                <w:kern w:val="2"/>
                <w:sz w:val="24"/>
                <w:szCs w:val="24"/>
              </w:rPr>
            </w:pPr>
          </w:p>
        </w:tc>
      </w:tr>
    </w:tbl>
    <w:p w14:paraId="4095487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20" w:hanging="720" w:hangingChars="3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备注：1.本表反映部门本年度财政拨款</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三公</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经费支出预决算情况。其中，预算数为</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三公</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经费全年预算数，反映按规定程序调整后的预算数；决算数为包括本年度财政拨款和以前年度结转资金安排的实际支出。</w:t>
      </w:r>
    </w:p>
    <w:p w14:paraId="6422EC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718" w:leftChars="342" w:firstLine="0" w:firstLineChars="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2.本套报表金额单位转换时可能存在尾数误差。</w:t>
      </w:r>
    </w:p>
    <w:sectPr>
      <w:footerReference r:id="rId3" w:type="default"/>
      <w:pgSz w:w="11906" w:h="16838"/>
      <w:pgMar w:top="1984" w:right="1446" w:bottom="1644" w:left="1446"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F7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34D27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034D277">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yY2RkOGI3NjRkZDliYzRlYzBiZDQwNDNmMjViNzkifQ=="/>
  </w:docVars>
  <w:rsids>
    <w:rsidRoot w:val="45B603DC"/>
    <w:rsid w:val="00AE37AB"/>
    <w:rsid w:val="01235183"/>
    <w:rsid w:val="017D4F5C"/>
    <w:rsid w:val="01CC5AD4"/>
    <w:rsid w:val="048C54B6"/>
    <w:rsid w:val="04A44EF6"/>
    <w:rsid w:val="05536B20"/>
    <w:rsid w:val="05AD3936"/>
    <w:rsid w:val="08C8368E"/>
    <w:rsid w:val="091066B6"/>
    <w:rsid w:val="0A3E54A5"/>
    <w:rsid w:val="0A6C3EE8"/>
    <w:rsid w:val="0B591574"/>
    <w:rsid w:val="0B8B28CC"/>
    <w:rsid w:val="0BD47199"/>
    <w:rsid w:val="0FF9688B"/>
    <w:rsid w:val="10484987"/>
    <w:rsid w:val="1122167C"/>
    <w:rsid w:val="133D311B"/>
    <w:rsid w:val="13A97E33"/>
    <w:rsid w:val="152A4FA3"/>
    <w:rsid w:val="181A33D4"/>
    <w:rsid w:val="19E33973"/>
    <w:rsid w:val="1B8D1A13"/>
    <w:rsid w:val="1BB11F7A"/>
    <w:rsid w:val="1E0565AE"/>
    <w:rsid w:val="1E934CC5"/>
    <w:rsid w:val="1EA336D1"/>
    <w:rsid w:val="1EC51145"/>
    <w:rsid w:val="1F3173F6"/>
    <w:rsid w:val="1F4D4D99"/>
    <w:rsid w:val="1F6B129C"/>
    <w:rsid w:val="21326193"/>
    <w:rsid w:val="2153128C"/>
    <w:rsid w:val="22110F83"/>
    <w:rsid w:val="226B2350"/>
    <w:rsid w:val="25B953A8"/>
    <w:rsid w:val="25C32FD6"/>
    <w:rsid w:val="260E7FC9"/>
    <w:rsid w:val="2EF53AD4"/>
    <w:rsid w:val="32EB2A30"/>
    <w:rsid w:val="335079DD"/>
    <w:rsid w:val="36E96615"/>
    <w:rsid w:val="383A4C67"/>
    <w:rsid w:val="39BA6503"/>
    <w:rsid w:val="3AA06EC0"/>
    <w:rsid w:val="3AED3D05"/>
    <w:rsid w:val="3B6A55BB"/>
    <w:rsid w:val="3BA26D92"/>
    <w:rsid w:val="3C4B267E"/>
    <w:rsid w:val="3C7C75E3"/>
    <w:rsid w:val="3C8B49F2"/>
    <w:rsid w:val="3CF25AF7"/>
    <w:rsid w:val="3EFB02A8"/>
    <w:rsid w:val="3F357653"/>
    <w:rsid w:val="3FDC5A97"/>
    <w:rsid w:val="3FEA5BB3"/>
    <w:rsid w:val="4090595E"/>
    <w:rsid w:val="43A37C06"/>
    <w:rsid w:val="441912BF"/>
    <w:rsid w:val="44705C7F"/>
    <w:rsid w:val="449D0A3E"/>
    <w:rsid w:val="45B603DC"/>
    <w:rsid w:val="46C40504"/>
    <w:rsid w:val="47356D0C"/>
    <w:rsid w:val="48DD765B"/>
    <w:rsid w:val="4A123590"/>
    <w:rsid w:val="4AB44DF5"/>
    <w:rsid w:val="4B3B5DC9"/>
    <w:rsid w:val="4BA674F8"/>
    <w:rsid w:val="4FDE2637"/>
    <w:rsid w:val="500E27F0"/>
    <w:rsid w:val="51786C05"/>
    <w:rsid w:val="51934C13"/>
    <w:rsid w:val="52481FEA"/>
    <w:rsid w:val="53BC2B2A"/>
    <w:rsid w:val="53F75E90"/>
    <w:rsid w:val="57126A22"/>
    <w:rsid w:val="57EA15EC"/>
    <w:rsid w:val="57F723E7"/>
    <w:rsid w:val="5A4C2893"/>
    <w:rsid w:val="5A715C43"/>
    <w:rsid w:val="5C252EE1"/>
    <w:rsid w:val="5C5872CD"/>
    <w:rsid w:val="5CAF25DC"/>
    <w:rsid w:val="5D1443E0"/>
    <w:rsid w:val="60652FF7"/>
    <w:rsid w:val="61A26662"/>
    <w:rsid w:val="635B17DB"/>
    <w:rsid w:val="64B97A35"/>
    <w:rsid w:val="64DC4A2F"/>
    <w:rsid w:val="67F26828"/>
    <w:rsid w:val="68397461"/>
    <w:rsid w:val="68BB578F"/>
    <w:rsid w:val="696E6DDB"/>
    <w:rsid w:val="69BF6BDD"/>
    <w:rsid w:val="6C3F1329"/>
    <w:rsid w:val="6F455A5C"/>
    <w:rsid w:val="716B31A7"/>
    <w:rsid w:val="732A3D34"/>
    <w:rsid w:val="7ADC0E43"/>
    <w:rsid w:val="7BC77B74"/>
    <w:rsid w:val="7C347785"/>
    <w:rsid w:val="7C673FFA"/>
    <w:rsid w:val="7CE05937"/>
    <w:rsid w:val="7CE64887"/>
    <w:rsid w:val="7F5636E8"/>
    <w:rsid w:val="7F581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9665</Words>
  <Characters>11924</Characters>
  <Lines>0</Lines>
  <Paragraphs>0</Paragraphs>
  <TotalTime>5</TotalTime>
  <ScaleCrop>false</ScaleCrop>
  <LinksUpToDate>false</LinksUpToDate>
  <CharactersWithSpaces>12208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2024-10-22T01:47:00Z</dcterms:created>
  <dc:creator>于快</dc:creator>
  <cp:lastModifiedBy>于快</cp:lastModifiedBy>
  <dcterms:modified xsi:type="dcterms:W3CDTF">2024-10-23T08:14:03Z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1DA09C1B9DB34207B255E22E72765ADD_11</vt:lpwstr>
  </property>
</Properties>
</file>