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Times New Roman" w:hAnsi="Times New Roman" w:eastAsia="方正仿宋_GBK" w:cs="方正小标宋_GBK"/>
          <w:b/>
          <w:bCs/>
          <w:sz w:val="44"/>
          <w:szCs w:val="44"/>
        </w:rPr>
      </w:pPr>
      <w:bookmarkStart w:id="0" w:name="_GoBack"/>
      <w:bookmarkEnd w:id="0"/>
      <w:r>
        <w:rPr>
          <w:rFonts w:ascii="Times New Roman" w:hAnsi="Times New Roman" w:eastAsia="方正仿宋_GBK" w:cs="方正小标宋_GBK"/>
          <w:b/>
          <w:bCs/>
          <w:sz w:val="44"/>
          <w:szCs w:val="44"/>
        </w:rPr>
        <w:t>重庆市大足区智凤街道村居建设服务中心</w:t>
      </w:r>
    </w:p>
    <w:p>
      <w:pPr>
        <w:pStyle w:val="10"/>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仿宋_GBK" w:cs="方正小标宋_GBK"/>
          <w:b/>
          <w:bCs/>
          <w:sz w:val="44"/>
          <w:szCs w:val="44"/>
          <w:shd w:val="clear" w:color="auto" w:fill="FFFFFF"/>
        </w:rPr>
      </w:pPr>
      <w:r>
        <w:rPr>
          <w:rFonts w:hint="default" w:ascii="Times New Roman" w:hAnsi="Times New Roman" w:eastAsia="方正仿宋_GBK" w:cs="Times New Roman"/>
          <w:b/>
          <w:bCs/>
          <w:sz w:val="44"/>
          <w:szCs w:val="44"/>
          <w:shd w:val="clear" w:color="auto" w:fill="FFFFFF"/>
        </w:rPr>
        <w:t>2024</w:t>
      </w:r>
      <w:r>
        <w:rPr>
          <w:rFonts w:ascii="Times New Roman" w:hAnsi="Times New Roman" w:eastAsia="方正仿宋_GBK" w:cs="方正小标宋_GBK"/>
          <w:b/>
          <w:bCs/>
          <w:sz w:val="44"/>
          <w:szCs w:val="44"/>
          <w:shd w:val="clear" w:color="auto" w:fill="FFFFFF"/>
        </w:rPr>
        <w:t>年度决算公开说明</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ascii="Times New Roman" w:hAnsi="Times New Roman" w:eastAsia="方正仿宋_GBK" w:cs="黑体"/>
          <w:color w:val="auto"/>
          <w:sz w:val="32"/>
          <w:szCs w:val="32"/>
          <w:shd w:val="clear" w:color="auto" w:fill="FFFFFF"/>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default" w:ascii="Times New Roman" w:hAnsi="Times New Roman" w:eastAsia="方正仿宋_GBK" w:cs="黑体"/>
          <w:color w:val="auto"/>
          <w:sz w:val="32"/>
          <w:szCs w:val="32"/>
          <w:shd w:val="clear" w:color="auto" w:fill="FFFFFF"/>
        </w:rPr>
      </w:pPr>
      <w:r>
        <w:rPr>
          <w:rStyle w:val="14"/>
          <w:rFonts w:ascii="Times New Roman" w:hAnsi="Times New Roman" w:eastAsia="方正仿宋_GBK" w:cs="黑体"/>
          <w:color w:val="auto"/>
          <w:sz w:val="32"/>
          <w:szCs w:val="32"/>
          <w:shd w:val="clear" w:color="auto" w:fill="FFFFFF"/>
        </w:rPr>
        <w:t>一、</w:t>
      </w:r>
      <w:r>
        <w:rPr>
          <w:rStyle w:val="14"/>
          <w:rFonts w:hint="eastAsia" w:ascii="Times New Roman" w:hAnsi="Times New Roman" w:eastAsia="方正仿宋_GBK" w:cs="黑体"/>
          <w:color w:val="auto"/>
          <w:sz w:val="32"/>
          <w:szCs w:val="32"/>
          <w:shd w:val="clear" w:color="auto" w:fill="FFFFFF"/>
          <w:lang w:eastAsia="zh-CN"/>
        </w:rPr>
        <w:t>单位</w:t>
      </w:r>
      <w:r>
        <w:rPr>
          <w:rStyle w:val="14"/>
          <w:rFonts w:ascii="Times New Roman" w:hAnsi="Times New Roman" w:eastAsia="方正仿宋_GBK" w:cs="黑体"/>
          <w:color w:val="auto"/>
          <w:sz w:val="32"/>
          <w:szCs w:val="32"/>
          <w:shd w:val="clear" w:color="auto" w:fill="FFFFFF"/>
        </w:rPr>
        <w:t>基本情况</w:t>
      </w:r>
    </w:p>
    <w:p>
      <w:pPr>
        <w:pStyle w:val="10"/>
        <w:keepNext w:val="0"/>
        <w:keepLines w:val="0"/>
        <w:pageBreakBefore w:val="0"/>
        <w:widowControl w:val="0"/>
        <w:shd w:val="clear" w:color="auto" w:fill="FFFFFF"/>
        <w:kinsoku/>
        <w:wordWrap/>
        <w:overflowPunct/>
        <w:topLinePunct w:val="0"/>
        <w:autoSpaceDN/>
        <w:bidi w:val="0"/>
        <w:adjustRightInd/>
        <w:spacing w:beforeAutospacing="0" w:afterAutospacing="0" w:line="600" w:lineRule="exact"/>
        <w:ind w:firstLine="420"/>
        <w:textAlignment w:val="auto"/>
        <w:rPr>
          <w:rFonts w:hint="default" w:ascii="Times New Roman" w:hAnsi="Times New Roman" w:eastAsia="方正仿宋_GBK" w:cs="方正仿宋_GBK"/>
          <w:color w:val="auto"/>
          <w:sz w:val="32"/>
          <w:szCs w:val="32"/>
        </w:rPr>
      </w:pPr>
      <w:r>
        <w:rPr>
          <w:rStyle w:val="14"/>
          <w:rFonts w:ascii="Times New Roman" w:hAnsi="Times New Roman" w:eastAsia="方正仿宋_GBK" w:cs="楷体"/>
          <w:color w:val="auto"/>
          <w:sz w:val="32"/>
          <w:szCs w:val="32"/>
          <w:shd w:val="clear" w:color="auto" w:fill="FFFFFF"/>
        </w:rPr>
        <w:t>（一）职能职责</w:t>
      </w:r>
    </w:p>
    <w:p>
      <w:pPr>
        <w:keepNext w:val="0"/>
        <w:keepLines w:val="0"/>
        <w:pageBreakBefore w:val="0"/>
        <w:widowControl w:val="0"/>
        <w:kinsoku/>
        <w:wordWrap/>
        <w:overflowPunct/>
        <w:topLinePunct w:val="0"/>
        <w:autoSpaceDN/>
        <w:bidi w:val="0"/>
        <w:adjustRightInd/>
        <w:snapToGrid w:val="0"/>
        <w:spacing w:beforeAutospacing="0" w:afterAutospacing="0" w:line="600" w:lineRule="exact"/>
        <w:ind w:firstLine="640" w:firstLineChars="200"/>
        <w:textAlignment w:val="auto"/>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1</w:t>
      </w:r>
      <w:r>
        <w:rPr>
          <w:rFonts w:hint="eastAsia" w:ascii="Times New Roman" w:hAnsi="Times New Roman" w:eastAsia="方正仿宋_GBK"/>
          <w:color w:val="auto"/>
          <w:sz w:val="32"/>
          <w:szCs w:val="32"/>
          <w:lang w:val="en-US" w:eastAsia="zh-CN"/>
        </w:rPr>
        <w:t>.</w:t>
      </w:r>
      <w:r>
        <w:rPr>
          <w:rFonts w:hint="eastAsia" w:ascii="Times New Roman" w:hAnsi="Times New Roman" w:eastAsia="方正仿宋_GBK"/>
          <w:color w:val="auto"/>
          <w:sz w:val="32"/>
          <w:szCs w:val="32"/>
        </w:rPr>
        <w:t>主要职能。</w:t>
      </w:r>
    </w:p>
    <w:p>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宗旨：服务城乡建设，助推经济发展。</w:t>
      </w:r>
    </w:p>
    <w:p>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主要职责任务：</w:t>
      </w:r>
    </w:p>
    <w:p>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承担规划建设、市政公用、市容环卫、生态环境保护、交通建设等事务性工作。</w:t>
      </w:r>
    </w:p>
    <w:p>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具体职责任务：</w:t>
      </w:r>
    </w:p>
    <w:p>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（1）承担城镇建设、村镇建设、农村住房质量安全的事务性工作；承担自建项目（含农村建设项目、农村综合开发项目）及配套建设的事务性工作。</w:t>
      </w:r>
    </w:p>
    <w:p>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（2）承担住房及物业、市容市貌（含村容村貌）、环境卫生、园林绿化、市政公用设施、自然生态环境保护、污染监测防治的事务性工作。</w:t>
      </w:r>
    </w:p>
    <w:p>
      <w:pPr>
        <w:keepNext w:val="0"/>
        <w:keepLines w:val="0"/>
        <w:pageBreakBefore w:val="0"/>
        <w:widowControl w:val="0"/>
        <w:tabs>
          <w:tab w:val="center" w:pos="4153"/>
          <w:tab w:val="right" w:pos="8306"/>
        </w:tabs>
        <w:kinsoku/>
        <w:wordWrap/>
        <w:overflowPunct/>
        <w:topLinePunct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rPr>
        <w:t>（3）承担交通建设和道路绿化养护及交通运输等领域的事务性工作。</w:t>
      </w:r>
    </w:p>
    <w:p>
      <w:pPr>
        <w:keepNext w:val="0"/>
        <w:keepLines w:val="0"/>
        <w:pageBreakBefore w:val="0"/>
        <w:widowControl w:val="0"/>
        <w:kinsoku/>
        <w:wordWrap/>
        <w:overflowPunct/>
        <w:topLinePunct w:val="0"/>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方正仿宋_GBK"/>
          <w:color w:val="auto"/>
          <w:sz w:val="32"/>
          <w:szCs w:val="32"/>
        </w:rPr>
        <w:t>（4）负责建设统计年报和档案管理工作。</w:t>
      </w:r>
    </w:p>
    <w:p>
      <w:pPr>
        <w:pStyle w:val="10"/>
        <w:keepNext w:val="0"/>
        <w:keepLines w:val="0"/>
        <w:pageBreakBefore w:val="0"/>
        <w:widowControl w:val="0"/>
        <w:shd w:val="clear" w:color="auto" w:fill="FFFFFF"/>
        <w:kinsoku/>
        <w:wordWrap/>
        <w:overflowPunct/>
        <w:topLinePunct w:val="0"/>
        <w:autoSpaceDN/>
        <w:bidi w:val="0"/>
        <w:adjustRightInd/>
        <w:spacing w:beforeAutospacing="0" w:afterAutospacing="0" w:line="600" w:lineRule="exact"/>
        <w:ind w:firstLine="420"/>
        <w:textAlignment w:val="auto"/>
        <w:rPr>
          <w:rFonts w:hint="default" w:ascii="Times New Roman" w:hAnsi="Times New Roman" w:eastAsia="方正仿宋_GBK" w:cs="楷体"/>
          <w:color w:val="auto"/>
          <w:sz w:val="32"/>
          <w:szCs w:val="32"/>
        </w:rPr>
      </w:pPr>
      <w:r>
        <w:rPr>
          <w:rStyle w:val="14"/>
          <w:rFonts w:ascii="Times New Roman" w:hAnsi="Times New Roman" w:eastAsia="方正仿宋_GBK" w:cs="楷体"/>
          <w:color w:val="auto"/>
          <w:sz w:val="32"/>
          <w:szCs w:val="32"/>
          <w:shd w:val="clear" w:color="auto" w:fill="FFFFFF"/>
        </w:rPr>
        <w:t>（二）机构设置</w:t>
      </w:r>
    </w:p>
    <w:p>
      <w:pPr>
        <w:keepNext w:val="0"/>
        <w:keepLines w:val="0"/>
        <w:pageBreakBefore w:val="0"/>
        <w:widowControl w:val="0"/>
        <w:numPr>
          <w:ilvl w:val="0"/>
          <w:numId w:val="0"/>
        </w:numPr>
        <w:kinsoku/>
        <w:wordWrap/>
        <w:overflowPunct/>
        <w:topLinePunct w:val="0"/>
        <w:autoSpaceDN/>
        <w:bidi w:val="0"/>
        <w:adjustRightInd/>
        <w:snapToGrid w:val="0"/>
        <w:spacing w:beforeAutospacing="0" w:afterAutospacing="0" w:line="600" w:lineRule="exact"/>
        <w:ind w:firstLine="640" w:firstLineChars="200"/>
        <w:textAlignment w:val="auto"/>
        <w:rPr>
          <w:rFonts w:hint="eastAsia" w:ascii="Times New Roman" w:hAnsi="Times New Roman" w:eastAsia="方正仿宋_GBK"/>
          <w:color w:val="auto"/>
          <w:sz w:val="32"/>
          <w:szCs w:val="32"/>
          <w:lang w:eastAsia="zh-CN"/>
        </w:rPr>
      </w:pPr>
      <w:r>
        <w:rPr>
          <w:rFonts w:hint="eastAsia" w:ascii="Times New Roman" w:hAnsi="Times New Roman" w:eastAsia="方正仿宋_GBK" w:cs="宋体"/>
          <w:color w:val="auto"/>
          <w:sz w:val="32"/>
          <w:szCs w:val="32"/>
          <w:lang w:val="en-US" w:eastAsia="zh-CN"/>
        </w:rPr>
        <w:t>机构数上年度1个，本年度1个</w:t>
      </w:r>
      <w:r>
        <w:rPr>
          <w:rFonts w:hint="eastAsia" w:ascii="Times New Roman" w:hAnsi="Times New Roman" w:eastAsia="方正仿宋_GBK"/>
          <w:color w:val="auto"/>
          <w:sz w:val="32"/>
          <w:szCs w:val="32"/>
          <w:lang w:eastAsia="zh-CN"/>
        </w:rPr>
        <w:t>。</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智凤街道</w:t>
      </w:r>
      <w:r>
        <w:rPr>
          <w:rFonts w:hint="eastAsia" w:ascii="Times New Roman" w:hAnsi="Times New Roman" w:eastAsia="方正仿宋_GBK" w:cs="方正仿宋_GBK"/>
          <w:color w:val="auto"/>
          <w:sz w:val="32"/>
          <w:szCs w:val="32"/>
          <w:lang w:val="en-US" w:eastAsia="zh-CN"/>
        </w:rPr>
        <w:t>村居建设服务中心</w:t>
      </w:r>
      <w:r>
        <w:rPr>
          <w:rFonts w:hint="eastAsia" w:ascii="Times New Roman" w:hAnsi="Times New Roman" w:eastAsia="方正仿宋_GBK" w:cs="方正仿宋_GBK"/>
          <w:color w:val="auto"/>
          <w:sz w:val="32"/>
          <w:szCs w:val="32"/>
        </w:rPr>
        <w:t>本年人数</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rPr>
        <w:t>人，上年人数</w:t>
      </w:r>
      <w:r>
        <w:rPr>
          <w:rFonts w:hint="eastAsia" w:ascii="Times New Roman" w:hAnsi="Times New Roman" w:eastAsia="方正仿宋_GBK" w:cs="方正仿宋_GBK"/>
          <w:color w:val="auto"/>
          <w:sz w:val="32"/>
          <w:szCs w:val="32"/>
          <w:lang w:val="en-US" w:eastAsia="zh-CN"/>
        </w:rPr>
        <w:t>5</w:t>
      </w:r>
      <w:r>
        <w:rPr>
          <w:rFonts w:hint="eastAsia" w:ascii="Times New Roman" w:hAnsi="Times New Roman" w:eastAsia="方正仿宋_GBK" w:cs="方正仿宋_GBK"/>
          <w:color w:val="auto"/>
          <w:sz w:val="32"/>
          <w:szCs w:val="32"/>
        </w:rPr>
        <w:t>人，退休</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rPr>
        <w:t>人。</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default" w:ascii="Times New Roman" w:hAnsi="Times New Roman" w:eastAsia="方正仿宋_GBK" w:cs="黑体"/>
          <w:color w:val="auto"/>
          <w:sz w:val="32"/>
          <w:szCs w:val="32"/>
          <w:shd w:val="clear" w:color="auto" w:fill="FFFFFF"/>
        </w:rPr>
      </w:pPr>
      <w:r>
        <w:rPr>
          <w:rStyle w:val="14"/>
          <w:rFonts w:ascii="Times New Roman" w:hAnsi="Times New Roman" w:eastAsia="方正仿宋_GBK" w:cs="黑体"/>
          <w:color w:val="auto"/>
          <w:sz w:val="32"/>
          <w:szCs w:val="32"/>
          <w:shd w:val="clear" w:color="auto" w:fill="FFFFFF"/>
        </w:rPr>
        <w:t>二、</w:t>
      </w:r>
      <w:r>
        <w:rPr>
          <w:rStyle w:val="14"/>
          <w:rFonts w:hint="eastAsia" w:ascii="Times New Roman" w:hAnsi="Times New Roman" w:eastAsia="方正仿宋_GBK" w:cs="黑体"/>
          <w:color w:val="auto"/>
          <w:sz w:val="32"/>
          <w:szCs w:val="32"/>
          <w:shd w:val="clear" w:color="auto" w:fill="FFFFFF"/>
          <w:lang w:eastAsia="zh-CN"/>
        </w:rPr>
        <w:t>单位</w:t>
      </w:r>
      <w:r>
        <w:rPr>
          <w:rStyle w:val="14"/>
          <w:rFonts w:ascii="Times New Roman" w:hAnsi="Times New Roman" w:eastAsia="方正仿宋_GBK" w:cs="黑体"/>
          <w:color w:val="auto"/>
          <w:sz w:val="32"/>
          <w:szCs w:val="32"/>
          <w:shd w:val="clear" w:color="auto" w:fill="FFFFFF"/>
        </w:rPr>
        <w:t>决算</w:t>
      </w:r>
      <w:r>
        <w:rPr>
          <w:rStyle w:val="14"/>
          <w:rFonts w:hint="eastAsia" w:ascii="Times New Roman" w:hAnsi="Times New Roman" w:eastAsia="方正仿宋_GBK" w:cs="黑体"/>
          <w:color w:val="auto"/>
          <w:sz w:val="32"/>
          <w:szCs w:val="32"/>
          <w:shd w:val="clear" w:color="auto" w:fill="FFFFFF"/>
          <w:lang w:eastAsia="zh-CN"/>
        </w:rPr>
        <w:t>收支</w:t>
      </w:r>
      <w:r>
        <w:rPr>
          <w:rStyle w:val="14"/>
          <w:rFonts w:ascii="Times New Roman" w:hAnsi="Times New Roman" w:eastAsia="方正仿宋_GBK" w:cs="黑体"/>
          <w:color w:val="auto"/>
          <w:sz w:val="32"/>
          <w:szCs w:val="32"/>
          <w:shd w:val="clear" w:color="auto" w:fill="FFFFFF"/>
        </w:rPr>
        <w:t>情况说明</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（一）收入支出决算总体情况说明</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eastAsia="zh-CN"/>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年度收</w:t>
      </w:r>
      <w:r>
        <w:rPr>
          <w:rFonts w:hint="eastAsia" w:ascii="Times New Roman" w:hAnsi="Times New Roman" w:eastAsia="方正仿宋_GBK" w:cs="方正仿宋_GBK"/>
          <w:color w:val="auto"/>
          <w:sz w:val="32"/>
          <w:szCs w:val="32"/>
          <w:shd w:val="clear" w:color="auto" w:fill="FFFFFF"/>
          <w:lang w:eastAsia="zh-CN"/>
        </w:rPr>
        <w:t>、支</w:t>
      </w:r>
      <w:r>
        <w:rPr>
          <w:rFonts w:ascii="Times New Roman" w:hAnsi="Times New Roman" w:eastAsia="方正仿宋_GBK" w:cs="方正仿宋_GBK"/>
          <w:color w:val="auto"/>
          <w:sz w:val="32"/>
          <w:szCs w:val="32"/>
          <w:shd w:val="clear" w:color="auto" w:fill="FFFFFF"/>
        </w:rPr>
        <w:t>总计</w:t>
      </w:r>
      <w:r>
        <w:rPr>
          <w:rFonts w:hint="eastAsia" w:ascii="Times New Roman" w:hAnsi="Times New Roman"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96.64</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收、支与2023年度相比，减少4.99万元，下降4.9%</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退休职工</w:t>
      </w:r>
      <w:r>
        <w:rPr>
          <w:rFonts w:hint="eastAsia" w:ascii="Times New Roman" w:hAnsi="Times New Roman" w:eastAsia="方正仿宋_GBK" w:cs="方正仿宋_GBK"/>
          <w:color w:val="auto"/>
          <w:sz w:val="32"/>
          <w:szCs w:val="32"/>
          <w:shd w:val="clear" w:color="auto" w:fill="FFFFFF"/>
          <w:lang w:val="en-US" w:eastAsia="zh-CN"/>
        </w:rPr>
        <w:t>1人</w:t>
      </w:r>
      <w:r>
        <w:rPr>
          <w:rFonts w:hint="eastAsia" w:ascii="Times New Roman" w:hAnsi="Times New Roman" w:eastAsia="方正仿宋_GBK" w:cs="方正仿宋_GBK"/>
          <w:color w:val="auto"/>
          <w:sz w:val="32"/>
          <w:szCs w:val="32"/>
          <w:shd w:val="clear" w:color="auto" w:fill="FFFFFF"/>
          <w:lang w:eastAsia="zh-CN"/>
        </w:rPr>
        <w:t>，人员经费减少。</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2" w:firstLineChars="200"/>
        <w:jc w:val="both"/>
        <w:textAlignment w:val="auto"/>
        <w:rPr>
          <w:rFonts w:hint="default" w:ascii="Times New Roman" w:hAnsi="Times New Roman" w:eastAsia="方正仿宋_GBK" w:cs="方正仿宋_GBK"/>
          <w:color w:val="auto"/>
          <w:sz w:val="32"/>
          <w:szCs w:val="32"/>
          <w:shd w:val="clear" w:color="auto" w:fill="FFFFFF"/>
        </w:rPr>
      </w:pPr>
      <w:r>
        <w:rPr>
          <w:rStyle w:val="14"/>
          <w:rFonts w:hint="eastAsia" w:ascii="Times New Roman" w:hAnsi="Times New Roman" w:eastAsia="方正仿宋_GBK"/>
          <w:color w:val="auto"/>
          <w:sz w:val="32"/>
          <w:szCs w:val="32"/>
          <w:shd w:val="clear" w:color="auto" w:fill="FFFFFF"/>
          <w:lang w:val="en-US" w:eastAsia="zh-CN"/>
        </w:rPr>
        <w:t>1</w:t>
      </w:r>
      <w:r>
        <w:rPr>
          <w:rStyle w:val="14"/>
          <w:rFonts w:ascii="Times New Roman" w:hAnsi="Times New Roman"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96.64</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与2023年度相比，减少4.99万元，下降4.9%</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退休职工</w:t>
      </w:r>
      <w:r>
        <w:rPr>
          <w:rFonts w:hint="eastAsia" w:ascii="Times New Roman" w:hAnsi="Times New Roman" w:eastAsia="方正仿宋_GBK" w:cs="方正仿宋_GBK"/>
          <w:color w:val="auto"/>
          <w:sz w:val="32"/>
          <w:szCs w:val="32"/>
          <w:shd w:val="clear" w:color="auto" w:fill="FFFFFF"/>
          <w:lang w:val="en-US" w:eastAsia="zh-CN"/>
        </w:rPr>
        <w:t>1人</w:t>
      </w:r>
      <w:r>
        <w:rPr>
          <w:rFonts w:hint="eastAsia" w:ascii="Times New Roman" w:hAnsi="Times New Roman" w:eastAsia="方正仿宋_GBK" w:cs="方正仿宋_GBK"/>
          <w:color w:val="auto"/>
          <w:sz w:val="32"/>
          <w:szCs w:val="32"/>
          <w:shd w:val="clear" w:color="auto" w:fill="FFFFFF"/>
          <w:lang w:eastAsia="zh-CN"/>
        </w:rPr>
        <w:t>，人员经费减少。</w:t>
      </w:r>
      <w:r>
        <w:rPr>
          <w:rFonts w:ascii="Times New Roman" w:hAnsi="Times New Roman"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96.64</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Times New Roman" w:hAnsi="Times New Roman" w:eastAsia="方正仿宋_GBK" w:cs="方正仿宋_GBK"/>
          <w:color w:val="auto"/>
          <w:sz w:val="32"/>
          <w:szCs w:val="32"/>
          <w:shd w:val="clear" w:color="auto" w:fill="FFFFFF"/>
        </w:rPr>
        <w:t>；事业收入</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；经营收入</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；其他收入</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。此外，</w:t>
      </w:r>
      <w:r>
        <w:rPr>
          <w:rFonts w:hint="eastAsia" w:ascii="Times New Roman" w:hAnsi="Times New Roman" w:eastAsia="方正仿宋_GBK" w:cs="方正仿宋_GBK"/>
          <w:color w:val="auto"/>
          <w:sz w:val="32"/>
          <w:szCs w:val="32"/>
          <w:shd w:val="clear" w:color="auto" w:fill="FFFFFF"/>
        </w:rPr>
        <w:t>使用非财政拨款结余（含专用结余）</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，年初结转和结余</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2" w:firstLineChars="200"/>
        <w:jc w:val="both"/>
        <w:textAlignment w:val="auto"/>
        <w:rPr>
          <w:rFonts w:hint="default" w:ascii="Times New Roman" w:hAnsi="Times New Roman" w:eastAsia="方正仿宋_GBK" w:cs="方正仿宋_GBK"/>
          <w:color w:val="auto"/>
          <w:sz w:val="32"/>
          <w:szCs w:val="32"/>
          <w:shd w:val="clear" w:color="auto" w:fill="FFFFFF"/>
        </w:rPr>
      </w:pPr>
      <w:r>
        <w:rPr>
          <w:rStyle w:val="14"/>
          <w:rFonts w:hint="eastAsia" w:ascii="Times New Roman" w:hAnsi="Times New Roman" w:eastAsia="方正仿宋_GBK"/>
          <w:color w:val="auto"/>
          <w:sz w:val="32"/>
          <w:szCs w:val="32"/>
          <w:shd w:val="clear" w:color="auto" w:fill="FFFFFF"/>
          <w:lang w:val="en-US" w:eastAsia="zh-CN"/>
        </w:rPr>
        <w:t>2</w:t>
      </w:r>
      <w:r>
        <w:rPr>
          <w:rStyle w:val="14"/>
          <w:rFonts w:ascii="Times New Roman" w:hAnsi="Times New Roman"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96.64</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与2023年度相比，减少4.99万元，下降4.9%</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退休职工</w:t>
      </w:r>
      <w:r>
        <w:rPr>
          <w:rFonts w:hint="eastAsia" w:ascii="Times New Roman" w:hAnsi="Times New Roman" w:eastAsia="方正仿宋_GBK" w:cs="方正仿宋_GBK"/>
          <w:color w:val="auto"/>
          <w:sz w:val="32"/>
          <w:szCs w:val="32"/>
          <w:shd w:val="clear" w:color="auto" w:fill="FFFFFF"/>
          <w:lang w:val="en-US" w:eastAsia="zh-CN"/>
        </w:rPr>
        <w:t>1人</w:t>
      </w:r>
      <w:r>
        <w:rPr>
          <w:rFonts w:hint="eastAsia" w:ascii="Times New Roman" w:hAnsi="Times New Roman" w:eastAsia="方正仿宋_GBK" w:cs="方正仿宋_GBK"/>
          <w:color w:val="auto"/>
          <w:sz w:val="32"/>
          <w:szCs w:val="32"/>
          <w:shd w:val="clear" w:color="auto" w:fill="FFFFFF"/>
          <w:lang w:eastAsia="zh-CN"/>
        </w:rPr>
        <w:t>，人员经费减少。</w:t>
      </w:r>
      <w:r>
        <w:rPr>
          <w:rFonts w:ascii="Times New Roman" w:hAnsi="Times New Roman"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96.64</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Times New Roman" w:hAnsi="Times New Roman" w:eastAsia="方正仿宋_GBK" w:cs="方正仿宋_GBK"/>
          <w:color w:val="auto"/>
          <w:sz w:val="32"/>
          <w:szCs w:val="32"/>
          <w:shd w:val="clear" w:color="auto" w:fill="FFFFFF"/>
        </w:rPr>
        <w:t>；项目支出</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；经营支出</w:t>
      </w:r>
      <w:r>
        <w:rPr>
          <w:rFonts w:hint="eastAsia" w:ascii="Times New Roman" w:hAnsi="Times New Roman" w:eastAsia="方正仿宋_GBK"/>
          <w:color w:val="auto"/>
          <w:sz w:val="32"/>
          <w:szCs w:val="32"/>
          <w:lang w:eastAsia="zh-CN"/>
        </w:rPr>
        <w:t>0万元</w:t>
      </w:r>
      <w:r>
        <w:rPr>
          <w:rFonts w:ascii="Times New Roman" w:hAnsi="Times New Roman" w:eastAsia="方正仿宋_GBK" w:cs="方正仿宋_GBK"/>
          <w:color w:val="auto"/>
          <w:sz w:val="32"/>
          <w:szCs w:val="32"/>
          <w:shd w:val="clear" w:color="auto" w:fill="FFFFFF"/>
        </w:rPr>
        <w:t>，占</w:t>
      </w:r>
      <w:r>
        <w:rPr>
          <w:rFonts w:hint="default" w:ascii="Times New Roman" w:hAnsi="Times New Roman" w:eastAsia="方正仿宋_GBK"/>
          <w:color w:val="auto"/>
          <w:sz w:val="32"/>
          <w:szCs w:val="32"/>
          <w:shd w:val="clear" w:color="auto" w:fill="FFFFFF"/>
        </w:rPr>
        <w:t>0.0%</w:t>
      </w:r>
      <w:r>
        <w:rPr>
          <w:rFonts w:ascii="Times New Roman" w:hAnsi="Times New Roman" w:eastAsia="方正仿宋_GBK" w:cs="方正仿宋_GBK"/>
          <w:color w:val="auto"/>
          <w:sz w:val="32"/>
          <w:szCs w:val="32"/>
          <w:shd w:val="clear" w:color="auto" w:fill="FFFFFF"/>
        </w:rPr>
        <w:t>。此外，结余分配</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eastAsia" w:ascii="Times New Roman" w:hAnsi="Times New Roman" w:eastAsia="方正仿宋_GBK" w:cs="方正仿宋_GBK"/>
          <w:color w:val="auto"/>
          <w:sz w:val="32"/>
          <w:szCs w:val="32"/>
          <w:lang w:eastAsia="zh-CN"/>
        </w:rPr>
      </w:pPr>
      <w:r>
        <w:rPr>
          <w:rStyle w:val="14"/>
          <w:rFonts w:hint="eastAsia" w:ascii="Times New Roman" w:hAnsi="Times New Roman" w:eastAsia="方正仿宋_GBK"/>
          <w:color w:val="auto"/>
          <w:sz w:val="32"/>
          <w:szCs w:val="32"/>
          <w:shd w:val="clear" w:color="auto" w:fill="FFFFFF"/>
          <w:lang w:val="en-US" w:eastAsia="zh-CN"/>
        </w:rPr>
        <w:t>3</w:t>
      </w:r>
      <w:r>
        <w:rPr>
          <w:rStyle w:val="14"/>
          <w:rFonts w:ascii="Times New Roman" w:hAnsi="Times New Roman"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年度年末结转和结余</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与2023年度相比，无增减</w:t>
      </w:r>
      <w:r>
        <w:rPr>
          <w:rFonts w:hint="eastAsia" w:ascii="Times New Roman" w:hAnsi="Times New Roman" w:eastAsia="方正仿宋_GBK" w:cs="方正仿宋_GBK"/>
          <w:color w:val="auto"/>
          <w:sz w:val="32"/>
          <w:szCs w:val="32"/>
          <w:shd w:val="clear" w:color="auto" w:fill="FFFFFF"/>
          <w:lang w:eastAsia="zh-CN"/>
        </w:rPr>
        <w:t>。</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（二）财政拨款收入支出决算总体情况说明</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96.64</w:t>
      </w:r>
      <w:r>
        <w:rPr>
          <w:rFonts w:ascii="Times New Roman" w:hAnsi="Times New Roman"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Times New Roman" w:hAnsi="Times New Roman" w:eastAsia="方正仿宋_GBK" w:cs="方正仿宋_GBK"/>
          <w:color w:val="auto"/>
          <w:sz w:val="32"/>
          <w:szCs w:val="32"/>
          <w:shd w:val="clear" w:color="auto" w:fill="FFFFFF"/>
        </w:rPr>
        <w:t>年</w:t>
      </w:r>
      <w:r>
        <w:rPr>
          <w:rFonts w:hint="eastAsia" w:ascii="Times New Roman" w:hAnsi="Times New Roman" w:eastAsia="方正仿宋_GBK" w:cs="方正仿宋_GBK"/>
          <w:color w:val="auto"/>
          <w:sz w:val="32"/>
          <w:szCs w:val="32"/>
          <w:shd w:val="clear" w:color="auto" w:fill="FFFFFF"/>
          <w:lang w:eastAsia="zh-CN"/>
        </w:rPr>
        <w:t>度</w:t>
      </w:r>
      <w:r>
        <w:rPr>
          <w:rFonts w:ascii="Times New Roman" w:hAnsi="Times New Roman"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财政拨款收、支总计各减少4.99万元，下降4.9%</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退休职工</w:t>
      </w:r>
      <w:r>
        <w:rPr>
          <w:rFonts w:hint="eastAsia" w:ascii="Times New Roman" w:hAnsi="Times New Roman" w:eastAsia="方正仿宋_GBK" w:cs="方正仿宋_GBK"/>
          <w:color w:val="auto"/>
          <w:sz w:val="32"/>
          <w:szCs w:val="32"/>
          <w:shd w:val="clear" w:color="auto" w:fill="FFFFFF"/>
          <w:lang w:val="en-US" w:eastAsia="zh-CN"/>
        </w:rPr>
        <w:t>1人</w:t>
      </w:r>
      <w:r>
        <w:rPr>
          <w:rFonts w:hint="eastAsia" w:ascii="Times New Roman" w:hAnsi="Times New Roman" w:eastAsia="方正仿宋_GBK" w:cs="方正仿宋_GBK"/>
          <w:color w:val="auto"/>
          <w:sz w:val="32"/>
          <w:szCs w:val="32"/>
          <w:shd w:val="clear" w:color="auto" w:fill="FFFFFF"/>
          <w:lang w:eastAsia="zh-CN"/>
        </w:rPr>
        <w:t>，人员经费减少。</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（三）一般公共预算财政拨款收入支出决算情况说明</w:t>
      </w:r>
    </w:p>
    <w:p>
      <w:pPr>
        <w:pStyle w:val="10"/>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2" w:firstLineChars="200"/>
        <w:jc w:val="both"/>
        <w:textAlignment w:val="auto"/>
        <w:rPr>
          <w:rFonts w:hint="default" w:ascii="Times New Roman" w:hAnsi="Times New Roman" w:eastAsia="方正仿宋_GBK" w:cs="方正仿宋_GBK"/>
          <w:color w:val="auto"/>
          <w:sz w:val="32"/>
          <w:szCs w:val="32"/>
        </w:rPr>
      </w:pPr>
      <w:r>
        <w:rPr>
          <w:rStyle w:val="14"/>
          <w:rFonts w:hint="default" w:ascii="Times New Roman" w:hAnsi="Times New Roman" w:eastAsia="方正仿宋_GBK"/>
          <w:color w:val="auto"/>
          <w:sz w:val="32"/>
          <w:szCs w:val="32"/>
          <w:shd w:val="clear" w:color="auto" w:fill="FFFFFF"/>
        </w:rPr>
        <w:t>1</w:t>
      </w:r>
      <w:r>
        <w:rPr>
          <w:rStyle w:val="14"/>
          <w:rFonts w:ascii="Times New Roman" w:hAnsi="Times New Roman"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96.64</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与2023年度相比，减少4.99万元，下降4.9%</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退休职工</w:t>
      </w:r>
      <w:r>
        <w:rPr>
          <w:rFonts w:hint="eastAsia" w:ascii="Times New Roman" w:hAnsi="Times New Roman" w:eastAsia="方正仿宋_GBK" w:cs="方正仿宋_GBK"/>
          <w:color w:val="auto"/>
          <w:sz w:val="32"/>
          <w:szCs w:val="32"/>
          <w:shd w:val="clear" w:color="auto" w:fill="FFFFFF"/>
          <w:lang w:val="en-US" w:eastAsia="zh-CN"/>
        </w:rPr>
        <w:t>1人</w:t>
      </w:r>
      <w:r>
        <w:rPr>
          <w:rFonts w:hint="eastAsia" w:ascii="Times New Roman" w:hAnsi="Times New Roman" w:eastAsia="方正仿宋_GBK" w:cs="方正仿宋_GBK"/>
          <w:color w:val="auto"/>
          <w:sz w:val="32"/>
          <w:szCs w:val="32"/>
          <w:shd w:val="clear" w:color="auto" w:fill="FFFFFF"/>
          <w:lang w:eastAsia="zh-CN"/>
        </w:rPr>
        <w:t>，人员经费减少。</w:t>
      </w:r>
      <w:r>
        <w:rPr>
          <w:rFonts w:hint="default" w:ascii="Times New Roman" w:hAnsi="Times New Roman" w:eastAsia="方正仿宋_GBK"/>
          <w:color w:val="auto"/>
          <w:sz w:val="32"/>
          <w:szCs w:val="32"/>
          <w:shd w:val="clear" w:color="auto" w:fill="FFFFFF"/>
        </w:rPr>
        <w:t>较年初预算数增加5.96万元，增长6.6%</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主要原因是</w:t>
      </w:r>
      <w:r>
        <w:rPr>
          <w:rFonts w:hint="eastAsia" w:ascii="Times New Roman" w:hAnsi="Times New Roman" w:eastAsia="方正仿宋_GBK"/>
          <w:color w:val="auto"/>
          <w:sz w:val="32"/>
          <w:szCs w:val="32"/>
          <w:shd w:val="clear" w:color="auto" w:fill="FFFFFF"/>
          <w:lang w:eastAsia="zh-CN"/>
        </w:rPr>
        <w:t>其他商品服务费中劳务费新增</w:t>
      </w:r>
      <w:r>
        <w:rPr>
          <w:rFonts w:hint="eastAsia" w:ascii="Times New Roman" w:hAnsi="Times New Roman" w:eastAsia="方正仿宋_GBK"/>
          <w:color w:val="auto"/>
          <w:sz w:val="32"/>
          <w:szCs w:val="32"/>
          <w:shd w:val="clear" w:color="auto" w:fill="FFFFFF"/>
          <w:lang w:val="en-US" w:eastAsia="zh-CN"/>
        </w:rPr>
        <w:t>1.4万元。</w:t>
      </w:r>
      <w:r>
        <w:rPr>
          <w:rFonts w:hint="default" w:ascii="Times New Roman" w:hAnsi="Times New Roman" w:eastAsia="方正仿宋_GBK"/>
          <w:color w:val="auto"/>
          <w:sz w:val="32"/>
          <w:szCs w:val="32"/>
          <w:shd w:val="clear" w:color="auto" w:fill="FFFFFF"/>
        </w:rPr>
        <w:t>此外，</w:t>
      </w:r>
      <w:r>
        <w:rPr>
          <w:rFonts w:ascii="Times New Roman" w:hAnsi="Times New Roman" w:eastAsia="方正仿宋_GBK" w:cs="方正仿宋_GBK"/>
          <w:color w:val="auto"/>
          <w:sz w:val="32"/>
          <w:szCs w:val="32"/>
          <w:shd w:val="clear" w:color="auto" w:fill="FFFFFF"/>
        </w:rPr>
        <w:t>年初财政拨款结转和结余</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ascii="Times New Roman" w:hAnsi="Times New Roman" w:eastAsia="方正仿宋_GBK" w:cs="方正仿宋_GBK"/>
          <w:color w:val="auto"/>
          <w:sz w:val="32"/>
          <w:szCs w:val="32"/>
          <w:shd w:val="clear" w:color="auto" w:fill="FFFFFF"/>
        </w:rPr>
      </w:pPr>
      <w:r>
        <w:rPr>
          <w:rStyle w:val="14"/>
          <w:rFonts w:hint="default" w:ascii="Times New Roman" w:hAnsi="Times New Roman" w:eastAsia="方正仿宋_GBK"/>
          <w:color w:val="auto"/>
          <w:sz w:val="32"/>
          <w:szCs w:val="32"/>
          <w:shd w:val="clear" w:color="auto" w:fill="FFFFFF"/>
        </w:rPr>
        <w:t>2</w:t>
      </w:r>
      <w:r>
        <w:rPr>
          <w:rStyle w:val="14"/>
          <w:rFonts w:ascii="Times New Roman" w:hAnsi="Times New Roman"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96.64</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与2023年度相比，减少4.99万元，下降4.9%</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退休职工</w:t>
      </w:r>
      <w:r>
        <w:rPr>
          <w:rFonts w:hint="eastAsia" w:ascii="Times New Roman" w:hAnsi="Times New Roman" w:eastAsia="方正仿宋_GBK" w:cs="方正仿宋_GBK"/>
          <w:color w:val="auto"/>
          <w:sz w:val="32"/>
          <w:szCs w:val="32"/>
          <w:shd w:val="clear" w:color="auto" w:fill="FFFFFF"/>
          <w:lang w:val="en-US" w:eastAsia="zh-CN"/>
        </w:rPr>
        <w:t>1人</w:t>
      </w:r>
      <w:r>
        <w:rPr>
          <w:rFonts w:hint="eastAsia" w:ascii="Times New Roman" w:hAnsi="Times New Roman" w:eastAsia="方正仿宋_GBK" w:cs="方正仿宋_GBK"/>
          <w:color w:val="auto"/>
          <w:sz w:val="32"/>
          <w:szCs w:val="32"/>
          <w:shd w:val="clear" w:color="auto" w:fill="FFFFFF"/>
          <w:lang w:eastAsia="zh-CN"/>
        </w:rPr>
        <w:t>，人员经费减少。</w:t>
      </w:r>
      <w:r>
        <w:rPr>
          <w:rFonts w:hint="default" w:ascii="Times New Roman" w:hAnsi="Times New Roman" w:eastAsia="方正仿宋_GBK"/>
          <w:color w:val="auto"/>
          <w:sz w:val="32"/>
          <w:szCs w:val="32"/>
          <w:shd w:val="clear" w:color="auto" w:fill="FFFFFF"/>
        </w:rPr>
        <w:t>较年初预算数增加5.96万元，增长6.6%</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主要原因是</w:t>
      </w:r>
      <w:r>
        <w:rPr>
          <w:rFonts w:hint="eastAsia" w:ascii="Times New Roman" w:hAnsi="Times New Roman" w:eastAsia="方正仿宋_GBK"/>
          <w:color w:val="auto"/>
          <w:sz w:val="32"/>
          <w:szCs w:val="32"/>
          <w:shd w:val="clear" w:color="auto" w:fill="FFFFFF"/>
          <w:lang w:eastAsia="zh-CN"/>
        </w:rPr>
        <w:t>其他商品服务费中劳务费新增</w:t>
      </w:r>
      <w:r>
        <w:rPr>
          <w:rFonts w:hint="eastAsia" w:ascii="Times New Roman" w:hAnsi="Times New Roman" w:eastAsia="方正仿宋_GBK"/>
          <w:color w:val="auto"/>
          <w:sz w:val="32"/>
          <w:szCs w:val="32"/>
          <w:shd w:val="clear" w:color="auto" w:fill="FFFFFF"/>
          <w:lang w:val="en-US" w:eastAsia="zh-CN"/>
        </w:rPr>
        <w:t>1.4万元。</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color w:val="auto"/>
          <w:sz w:val="32"/>
          <w:szCs w:val="32"/>
          <w:highlight w:val="none"/>
          <w:shd w:val="clear" w:color="auto" w:fill="FFFFFF"/>
        </w:rPr>
      </w:pPr>
      <w:r>
        <w:rPr>
          <w:rFonts w:ascii="Times New Roman" w:hAnsi="Times New Roman" w:eastAsia="方正仿宋_GBK" w:cs="方正仿宋_GBK"/>
          <w:color w:val="auto"/>
          <w:sz w:val="32"/>
          <w:szCs w:val="32"/>
          <w:highlight w:val="none"/>
          <w:shd w:val="clear" w:color="auto" w:fill="FFFFFF"/>
        </w:rPr>
        <w:t>一般公共预算财政拨款支出主要</w:t>
      </w:r>
      <w:r>
        <w:rPr>
          <w:rFonts w:hint="eastAsia" w:ascii="Times New Roman" w:hAnsi="Times New Roman" w:eastAsia="方正仿宋_GBK" w:cs="方正仿宋_GBK"/>
          <w:color w:val="auto"/>
          <w:sz w:val="32"/>
          <w:szCs w:val="32"/>
          <w:highlight w:val="none"/>
          <w:shd w:val="clear" w:color="auto" w:fill="FFFFFF"/>
          <w:lang w:eastAsia="zh-CN"/>
        </w:rPr>
        <w:t>用途如下</w:t>
      </w:r>
      <w:r>
        <w:rPr>
          <w:rFonts w:ascii="Times New Roman" w:hAnsi="Times New Roman" w:eastAsia="方正仿宋_GBK" w:cs="方正仿宋_GBK"/>
          <w:color w:val="auto"/>
          <w:sz w:val="32"/>
          <w:szCs w:val="32"/>
          <w:highlight w:val="none"/>
          <w:shd w:val="clear" w:color="auto" w:fill="FFFFFF"/>
        </w:rPr>
        <w:t>：</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lang w:val="en-US" w:eastAsia="zh-CN"/>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1</w:t>
      </w:r>
      <w:r>
        <w:rPr>
          <w:rFonts w:ascii="Times New Roman" w:hAnsi="Times New Roman" w:eastAsia="方正仿宋_GBK" w:cs="方正仿宋_GBK"/>
          <w:color w:val="auto"/>
          <w:sz w:val="32"/>
          <w:szCs w:val="32"/>
          <w:shd w:val="clear" w:color="auto" w:fill="FFFFFF"/>
        </w:rPr>
        <w:t>）社会保障</w:t>
      </w:r>
      <w:r>
        <w:rPr>
          <w:rFonts w:hint="eastAsia" w:ascii="Times New Roman" w:hAnsi="Times New Roman" w:eastAsia="方正仿宋_GBK" w:cs="方正仿宋_GBK"/>
          <w:color w:val="auto"/>
          <w:sz w:val="32"/>
          <w:szCs w:val="32"/>
          <w:shd w:val="clear" w:color="auto" w:fill="FFFFFF"/>
          <w:lang w:eastAsia="zh-CN"/>
        </w:rPr>
        <w:t>和</w:t>
      </w:r>
      <w:r>
        <w:rPr>
          <w:rFonts w:ascii="Times New Roman" w:hAnsi="Times New Roman"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13.18</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13.6%</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较年初预算数增加3.18万元，增长31.8%</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职工薪资调整</w:t>
      </w:r>
      <w:r>
        <w:rPr>
          <w:rFonts w:hint="eastAsia" w:ascii="Times New Roman" w:hAnsi="Times New Roman" w:eastAsia="方正仿宋_GBK" w:cs="方正仿宋_GBK"/>
          <w:color w:val="auto"/>
          <w:sz w:val="32"/>
          <w:szCs w:val="32"/>
          <w:shd w:val="clear" w:color="auto" w:fill="FFFFFF"/>
          <w:lang w:val="en-US" w:eastAsia="zh-CN"/>
        </w:rPr>
        <w:t>。</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eastAsia="zh-CN"/>
        </w:rPr>
      </w:pPr>
      <w:r>
        <w:rPr>
          <w:rFonts w:ascii="Times New Roman" w:hAnsi="Times New Roman"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Times New Roman" w:hAnsi="Times New Roman"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4.92</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5.1%</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按规定发放职工基本医疗保险缴费支出。</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11</w:t>
      </w:r>
      <w:r>
        <w:rPr>
          <w:rFonts w:ascii="Times New Roman" w:hAnsi="Times New Roman" w:eastAsia="方正仿宋_GBK" w:cs="方正仿宋_GBK"/>
          <w:color w:val="auto"/>
          <w:sz w:val="32"/>
          <w:szCs w:val="32"/>
          <w:shd w:val="clear" w:color="auto" w:fill="FFFFFF"/>
        </w:rPr>
        <w:t>）城乡社区支出</w:t>
      </w:r>
      <w:r>
        <w:rPr>
          <w:rFonts w:hint="default" w:ascii="Times New Roman" w:hAnsi="Times New Roman" w:eastAsia="方正仿宋_GBK"/>
          <w:color w:val="auto"/>
          <w:sz w:val="32"/>
          <w:szCs w:val="32"/>
          <w:shd w:val="clear" w:color="auto" w:fill="FFFFFF"/>
        </w:rPr>
        <w:t>73.60</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76.2%</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较年初预算数增加2.78万元，增长3.9%</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新增劳务费</w:t>
      </w:r>
      <w:r>
        <w:rPr>
          <w:rFonts w:hint="eastAsia" w:ascii="Times New Roman" w:hAnsi="Times New Roman" w:eastAsia="方正仿宋_GBK" w:cs="方正仿宋_GBK"/>
          <w:color w:val="auto"/>
          <w:sz w:val="32"/>
          <w:szCs w:val="32"/>
          <w:shd w:val="clear" w:color="auto" w:fill="FFFFFF"/>
          <w:lang w:val="en-US" w:eastAsia="zh-CN"/>
        </w:rPr>
        <w:t>1.4万元。</w:t>
      </w:r>
    </w:p>
    <w:p>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19</w:t>
      </w:r>
      <w:r>
        <w:rPr>
          <w:rFonts w:ascii="Times New Roman" w:hAnsi="Times New Roman" w:eastAsia="方正仿宋_GBK" w:cs="方正仿宋_GBK"/>
          <w:color w:val="auto"/>
          <w:sz w:val="32"/>
          <w:szCs w:val="32"/>
          <w:shd w:val="clear" w:color="auto" w:fill="FFFFFF"/>
        </w:rPr>
        <w:t>）</w:t>
      </w:r>
      <w:r>
        <w:rPr>
          <w:rFonts w:ascii="Times New Roman" w:hAnsi="Times New Roman"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4.94</w:t>
      </w:r>
      <w:r>
        <w:rPr>
          <w:rFonts w:ascii="Times New Roman" w:hAnsi="Times New Roman"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5.1%</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按规定发放职工住房公积金支出。</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eastAsia" w:ascii="Times New Roman" w:hAnsi="Times New Roman" w:eastAsia="方正仿宋_GBK" w:cs="方正仿宋_GBK"/>
          <w:color w:val="auto"/>
          <w:sz w:val="32"/>
          <w:szCs w:val="32"/>
          <w:shd w:val="clear" w:color="auto" w:fill="FFFFFF"/>
          <w:lang w:eastAsia="zh-CN"/>
        </w:rPr>
      </w:pPr>
      <w:r>
        <w:rPr>
          <w:rStyle w:val="14"/>
          <w:rFonts w:hint="default" w:ascii="Times New Roman" w:hAnsi="Times New Roman" w:eastAsia="方正仿宋_GBK"/>
          <w:color w:val="auto"/>
          <w:sz w:val="32"/>
          <w:szCs w:val="32"/>
          <w:shd w:val="clear" w:color="auto" w:fill="FFFFFF"/>
        </w:rPr>
        <w:t>3</w:t>
      </w:r>
      <w:r>
        <w:rPr>
          <w:rStyle w:val="14"/>
          <w:rFonts w:ascii="Times New Roman" w:hAnsi="Times New Roman"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年度年末一般公共预算财政拨款结转和结余</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与2023年度相比，无增减</w:t>
      </w:r>
      <w:r>
        <w:rPr>
          <w:rFonts w:hint="eastAsia" w:ascii="Times New Roman" w:hAnsi="Times New Roman" w:eastAsia="方正仿宋_GBK" w:cs="方正仿宋_GBK"/>
          <w:color w:val="auto"/>
          <w:sz w:val="32"/>
          <w:szCs w:val="32"/>
          <w:shd w:val="clear" w:color="auto" w:fill="FFFFFF"/>
          <w:lang w:eastAsia="zh-CN"/>
        </w:rPr>
        <w:t>。</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（四）一般公共预算财政拨款基本支出决算情况说明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96.64</w:t>
      </w:r>
      <w:r>
        <w:rPr>
          <w:rFonts w:ascii="Times New Roman" w:hAnsi="Times New Roman" w:eastAsia="方正仿宋_GBK" w:cs="方正仿宋_GBK"/>
          <w:color w:val="auto"/>
          <w:sz w:val="32"/>
          <w:szCs w:val="32"/>
          <w:shd w:val="clear" w:color="auto" w:fill="FFFFFF"/>
        </w:rPr>
        <w:t>万元。</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0" w:firstLineChars="0"/>
        <w:jc w:val="both"/>
        <w:textAlignment w:val="auto"/>
        <w:rPr>
          <w:rFonts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其中：</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color w:val="auto"/>
          <w:sz w:val="32"/>
          <w:szCs w:val="32"/>
          <w:shd w:val="clear" w:color="auto" w:fill="FFFFFF"/>
        </w:rPr>
      </w:pPr>
      <w:r>
        <w:rPr>
          <w:rFonts w:ascii="Times New Roman" w:hAnsi="Times New Roman" w:eastAsia="方正仿宋_GBK" w:cs="方正仿宋_GBK"/>
          <w:color w:val="auto"/>
          <w:sz w:val="32"/>
          <w:szCs w:val="32"/>
          <w:shd w:val="clear" w:color="auto" w:fill="FFFFFF"/>
        </w:rPr>
        <w:t>人员经费</w:t>
      </w:r>
      <w:r>
        <w:rPr>
          <w:rFonts w:hint="default" w:ascii="Times New Roman" w:hAnsi="Times New Roman" w:eastAsia="方正仿宋_GBK"/>
          <w:color w:val="auto"/>
          <w:sz w:val="32"/>
          <w:szCs w:val="32"/>
          <w:shd w:val="clear" w:color="auto" w:fill="FFFFFF"/>
        </w:rPr>
        <w:t>92.50</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与2023年度相比，减少6.24万元，下降6.3%</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退休职工</w:t>
      </w:r>
      <w:r>
        <w:rPr>
          <w:rFonts w:hint="eastAsia" w:ascii="Times New Roman" w:hAnsi="Times New Roman" w:eastAsia="方正仿宋_GBK" w:cs="方正仿宋_GBK"/>
          <w:color w:val="auto"/>
          <w:sz w:val="32"/>
          <w:szCs w:val="32"/>
          <w:shd w:val="clear" w:color="auto" w:fill="FFFFFF"/>
          <w:lang w:val="en-US" w:eastAsia="zh-CN"/>
        </w:rPr>
        <w:t>1人</w:t>
      </w:r>
      <w:r>
        <w:rPr>
          <w:rFonts w:hint="eastAsia" w:ascii="Times New Roman" w:hAnsi="Times New Roman" w:eastAsia="方正仿宋_GBK" w:cs="方正仿宋_GBK"/>
          <w:color w:val="auto"/>
          <w:sz w:val="32"/>
          <w:szCs w:val="32"/>
          <w:shd w:val="clear" w:color="auto" w:fill="FFFFFF"/>
          <w:lang w:eastAsia="zh-CN"/>
        </w:rPr>
        <w:t>，人员经费减少。人员经费用途主要包括</w:t>
      </w:r>
      <w:r>
        <w:rPr>
          <w:rFonts w:hint="eastAsia" w:ascii="Times New Roman" w:hAnsi="Times New Roman" w:eastAsia="方正仿宋_GBK" w:cs="方正仿宋_GBK"/>
          <w:color w:val="auto"/>
          <w:sz w:val="32"/>
          <w:szCs w:val="32"/>
          <w:shd w:val="clear" w:color="auto" w:fill="FFFFFF"/>
          <w:lang w:val="en-US" w:eastAsia="zh-CN"/>
        </w:rPr>
        <w:t>在职事业人员工资、绩效、社保等福利待遇支出。</w:t>
      </w:r>
    </w:p>
    <w:p>
      <w:pPr>
        <w:pStyle w:val="10"/>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4.14</w:t>
      </w:r>
      <w:r>
        <w:rPr>
          <w:rFonts w:ascii="Times New Roman" w:hAnsi="Times New Roman"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与2023年度相比，增加1.25万元，增长43.3%</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新增劳务费</w:t>
      </w:r>
      <w:r>
        <w:rPr>
          <w:rFonts w:hint="eastAsia" w:ascii="Times New Roman" w:hAnsi="Times New Roman" w:eastAsia="方正仿宋_GBK" w:cs="方正仿宋_GBK"/>
          <w:color w:val="auto"/>
          <w:sz w:val="32"/>
          <w:szCs w:val="32"/>
          <w:shd w:val="clear" w:color="auto" w:fill="FFFFFF"/>
          <w:lang w:val="en-US" w:eastAsia="zh-CN"/>
        </w:rPr>
        <w:t>1.4万元</w:t>
      </w:r>
      <w:r>
        <w:rPr>
          <w:rFonts w:ascii="Times New Roman" w:hAnsi="Times New Roman" w:eastAsia="方正仿宋_GBK" w:cs="方正仿宋_GBK"/>
          <w:color w:val="auto"/>
          <w:sz w:val="32"/>
          <w:szCs w:val="32"/>
          <w:shd w:val="clear" w:color="auto" w:fill="FFFFFF"/>
        </w:rPr>
        <w:t>。公用经费用途主要包括</w:t>
      </w:r>
      <w:r>
        <w:rPr>
          <w:rFonts w:hint="eastAsia" w:ascii="Times New Roman" w:hAnsi="Times New Roman" w:eastAsia="方正仿宋_GBK" w:cs="方正仿宋_GBK"/>
          <w:color w:val="auto"/>
          <w:sz w:val="32"/>
          <w:szCs w:val="32"/>
          <w:shd w:val="clear" w:color="auto" w:fill="FFFFFF"/>
          <w:lang w:val="en-US" w:eastAsia="zh-CN"/>
        </w:rPr>
        <w:t>日常办公经费、差旅费、水费、电费、邮电费、劳务费等正常运行支出。</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（五）政府性基金预算收支决算情况说明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本部门2024年度无政府性基金预算财政拨款收支。</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（六）国有资本经营预算财政拨款支出决算情况说明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本部门2024年度无国有资本经营预算财政拨款支出。</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default" w:ascii="Times New Roman" w:hAnsi="Times New Roman" w:eastAsia="方正仿宋_GBK" w:cs="黑体"/>
          <w:color w:val="auto"/>
          <w:sz w:val="32"/>
          <w:szCs w:val="32"/>
          <w:shd w:val="clear" w:color="auto" w:fill="FFFFFF"/>
        </w:rPr>
      </w:pPr>
      <w:r>
        <w:rPr>
          <w:rStyle w:val="14"/>
          <w:rFonts w:ascii="Times New Roman" w:hAnsi="Times New Roman" w:eastAsia="方正仿宋_GBK" w:cs="黑体"/>
          <w:color w:val="auto"/>
          <w:sz w:val="32"/>
          <w:szCs w:val="32"/>
          <w:shd w:val="clear" w:color="auto" w:fill="FFFFFF"/>
        </w:rPr>
        <w:t>三、</w:t>
      </w:r>
      <w:r>
        <w:rPr>
          <w:rStyle w:val="14"/>
          <w:rFonts w:hint="eastAsia" w:ascii="Times New Roman" w:hAnsi="Times New Roman" w:eastAsia="方正仿宋_GBK" w:cs="黑体"/>
          <w:color w:val="auto"/>
          <w:sz w:val="32"/>
          <w:szCs w:val="32"/>
          <w:shd w:val="clear" w:color="auto" w:fill="FFFFFF"/>
          <w:lang w:eastAsia="zh-CN"/>
        </w:rPr>
        <w:t>财政拨款</w:t>
      </w:r>
      <w:r>
        <w:rPr>
          <w:rStyle w:val="14"/>
          <w:rFonts w:ascii="Times New Roman" w:hAnsi="Times New Roman" w:eastAsia="方正仿宋_GBK" w:cs="黑体"/>
          <w:color w:val="auto"/>
          <w:sz w:val="32"/>
          <w:szCs w:val="32"/>
          <w:shd w:val="clear" w:color="auto" w:fill="FFFFFF"/>
        </w:rPr>
        <w:t>“三公”经费情况说明</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（一）“三公”经费支出总体情况说明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年度“三公”经费支出共计</w:t>
      </w:r>
      <w:r>
        <w:rPr>
          <w:rFonts w:hint="eastAsia" w:ascii="Times New Roman" w:hAnsi="Times New Roman" w:eastAsia="方正仿宋_GBK"/>
          <w:color w:val="auto"/>
          <w:sz w:val="32"/>
          <w:szCs w:val="32"/>
          <w:shd w:val="clear" w:color="auto" w:fill="FFFFFF"/>
          <w:lang w:eastAsia="zh-CN"/>
        </w:rPr>
        <w:t>0万元</w:t>
      </w:r>
      <w:r>
        <w:rPr>
          <w:rFonts w:ascii="Times New Roman" w:hAnsi="Times New Roman"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较年初预算数减少1.00万元，下降100.0%</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按相关规定压缩</w:t>
      </w:r>
      <w:r>
        <w:rPr>
          <w:rFonts w:ascii="Times New Roman" w:hAnsi="Times New Roman" w:eastAsia="方正仿宋_GBK" w:cs="方正仿宋_GBK"/>
          <w:color w:val="auto"/>
          <w:sz w:val="32"/>
          <w:szCs w:val="32"/>
          <w:shd w:val="clear" w:color="auto" w:fill="FFFFFF"/>
        </w:rPr>
        <w:t>“三公”</w:t>
      </w:r>
      <w:r>
        <w:rPr>
          <w:rFonts w:hint="eastAsia" w:ascii="Times New Roman" w:hAnsi="Times New Roman" w:eastAsia="方正仿宋_GBK" w:cs="方正仿宋_GBK"/>
          <w:color w:val="auto"/>
          <w:sz w:val="32"/>
          <w:szCs w:val="32"/>
          <w:shd w:val="clear" w:color="auto" w:fill="FFFFFF"/>
          <w:lang w:val="en-US" w:eastAsia="zh-CN"/>
        </w:rPr>
        <w:t>经费支出。</w:t>
      </w:r>
      <w:r>
        <w:rPr>
          <w:rFonts w:hint="default" w:ascii="Times New Roman" w:hAnsi="Times New Roman" w:eastAsia="方正仿宋_GBK"/>
          <w:color w:val="auto"/>
          <w:sz w:val="32"/>
          <w:szCs w:val="32"/>
          <w:shd w:val="clear" w:color="auto" w:fill="FFFFFF"/>
        </w:rPr>
        <w:t>较上年支出数无增减</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val="en-US" w:eastAsia="zh-CN"/>
        </w:rPr>
        <w:t>按相关规定严控</w:t>
      </w:r>
      <w:r>
        <w:rPr>
          <w:rFonts w:ascii="Times New Roman" w:hAnsi="Times New Roman" w:eastAsia="方正仿宋_GBK" w:cs="方正仿宋_GBK"/>
          <w:color w:val="auto"/>
          <w:sz w:val="32"/>
          <w:szCs w:val="32"/>
          <w:shd w:val="clear" w:color="auto" w:fill="FFFFFF"/>
        </w:rPr>
        <w:t>“三公”</w:t>
      </w:r>
      <w:r>
        <w:rPr>
          <w:rFonts w:hint="eastAsia" w:ascii="Times New Roman" w:hAnsi="Times New Roman" w:eastAsia="方正仿宋_GBK" w:cs="方正仿宋_GBK"/>
          <w:color w:val="auto"/>
          <w:sz w:val="32"/>
          <w:szCs w:val="32"/>
          <w:shd w:val="clear" w:color="auto" w:fill="FFFFFF"/>
          <w:lang w:val="en-US" w:eastAsia="zh-CN"/>
        </w:rPr>
        <w:t>经费支出。</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（二）“三公”经费分项支出情况</w:t>
      </w:r>
    </w:p>
    <w:p>
      <w:pPr>
        <w:keepNext w:val="0"/>
        <w:keepLines w:val="0"/>
        <w:pageBreakBefore w:val="0"/>
        <w:widowControl w:val="0"/>
        <w:suppressLineNumbers w:val="0"/>
        <w:kinsoku/>
        <w:wordWrap/>
        <w:overflowPunct/>
        <w:topLinePunct w:val="0"/>
        <w:autoSpaceDN/>
        <w:bidi w:val="0"/>
        <w:adjustRightInd/>
        <w:spacing w:beforeAutospacing="0" w:afterAutospacing="0" w:line="600" w:lineRule="exact"/>
        <w:ind w:firstLine="620" w:firstLineChars="200"/>
        <w:jc w:val="left"/>
        <w:textAlignment w:val="auto"/>
        <w:rPr>
          <w:rFonts w:hint="default" w:ascii="Times New Roman" w:hAnsi="Times New Roman" w:eastAsia="方正仿宋_GBK" w:cs="方正仿宋_GBK"/>
          <w:color w:val="auto"/>
          <w:sz w:val="32"/>
          <w:szCs w:val="32"/>
        </w:rPr>
      </w:pPr>
      <w:r>
        <w:rPr>
          <w:rFonts w:hint="default" w:ascii="Times New Roman" w:hAnsi="Times New Roman" w:eastAsia="方正仿宋_GBK" w:cs="Times New Roman"/>
          <w:i w:val="0"/>
          <w:caps w:val="0"/>
          <w:color w:val="auto"/>
          <w:spacing w:val="0"/>
          <w:kern w:val="0"/>
          <w:sz w:val="31"/>
          <w:szCs w:val="31"/>
          <w:shd w:val="clear" w:fill="FFFFFF"/>
          <w:lang w:val="en-US" w:eastAsia="zh-CN" w:bidi="ar"/>
        </w:rPr>
        <w:t>202</w:t>
      </w:r>
      <w:r>
        <w:rPr>
          <w:rFonts w:hint="eastAsia" w:ascii="Times New Roman" w:hAnsi="Times New Roman" w:eastAsia="方正仿宋_GBK" w:cs="Times New Roman"/>
          <w:i w:val="0"/>
          <w:caps w:val="0"/>
          <w:color w:val="auto"/>
          <w:spacing w:val="0"/>
          <w:kern w:val="0"/>
          <w:sz w:val="31"/>
          <w:szCs w:val="31"/>
          <w:shd w:val="clear" w:fill="FFFFFF"/>
          <w:lang w:val="en-US" w:eastAsia="zh-CN" w:bidi="ar"/>
        </w:rPr>
        <w:t>4</w:t>
      </w:r>
      <w:r>
        <w:rPr>
          <w:rFonts w:hint="eastAsia" w:ascii="Times New Roman" w:hAnsi="Times New Roman" w:eastAsia="方正仿宋_GBK" w:cs="方正仿宋_GBK"/>
          <w:i w:val="0"/>
          <w:caps w:val="0"/>
          <w:color w:val="auto"/>
          <w:spacing w:val="0"/>
          <w:kern w:val="0"/>
          <w:sz w:val="31"/>
          <w:szCs w:val="31"/>
          <w:shd w:val="clear" w:fill="FFFFFF"/>
          <w:lang w:val="en-US" w:eastAsia="zh-CN" w:bidi="ar"/>
        </w:rPr>
        <w:t>年度本单位未发生因公出国（境）费用。</w:t>
      </w:r>
    </w:p>
    <w:p>
      <w:pPr>
        <w:keepNext w:val="0"/>
        <w:keepLines w:val="0"/>
        <w:pageBreakBefore w:val="0"/>
        <w:widowControl w:val="0"/>
        <w:suppressLineNumbers w:val="0"/>
        <w:kinsoku/>
        <w:wordWrap/>
        <w:overflowPunct/>
        <w:topLinePunct w:val="0"/>
        <w:autoSpaceDN/>
        <w:bidi w:val="0"/>
        <w:adjustRightInd/>
        <w:spacing w:beforeAutospacing="0" w:afterAutospacing="0" w:line="600" w:lineRule="exact"/>
        <w:ind w:firstLine="620" w:firstLineChars="200"/>
        <w:jc w:val="left"/>
        <w:textAlignment w:val="auto"/>
        <w:rPr>
          <w:rFonts w:hint="default" w:ascii="Times New Roman" w:hAnsi="Times New Roman" w:eastAsia="方正仿宋_GBK" w:cs="方正仿宋_GBK"/>
          <w:color w:val="auto"/>
          <w:sz w:val="32"/>
          <w:szCs w:val="32"/>
        </w:rPr>
      </w:pPr>
      <w:r>
        <w:rPr>
          <w:rFonts w:hint="default" w:ascii="Times New Roman" w:hAnsi="Times New Roman" w:eastAsia="方正仿宋_GBK" w:cs="Times New Roman"/>
          <w:i w:val="0"/>
          <w:caps w:val="0"/>
          <w:color w:val="auto"/>
          <w:spacing w:val="0"/>
          <w:kern w:val="0"/>
          <w:sz w:val="31"/>
          <w:szCs w:val="31"/>
          <w:shd w:val="clear" w:fill="FFFFFF"/>
          <w:lang w:val="en-US" w:eastAsia="zh-CN" w:bidi="ar"/>
        </w:rPr>
        <w:t>202</w:t>
      </w:r>
      <w:r>
        <w:rPr>
          <w:rFonts w:hint="eastAsia" w:ascii="Times New Roman" w:hAnsi="Times New Roman" w:eastAsia="方正仿宋_GBK" w:cs="Times New Roman"/>
          <w:i w:val="0"/>
          <w:caps w:val="0"/>
          <w:color w:val="auto"/>
          <w:spacing w:val="0"/>
          <w:kern w:val="0"/>
          <w:sz w:val="31"/>
          <w:szCs w:val="31"/>
          <w:shd w:val="clear" w:fill="FFFFFF"/>
          <w:lang w:val="en-US" w:eastAsia="zh-CN" w:bidi="ar"/>
        </w:rPr>
        <w:t>4</w:t>
      </w:r>
      <w:r>
        <w:rPr>
          <w:rFonts w:hint="eastAsia" w:ascii="Times New Roman" w:hAnsi="Times New Roman" w:eastAsia="方正仿宋_GBK" w:cs="方正仿宋_GBK"/>
          <w:i w:val="0"/>
          <w:caps w:val="0"/>
          <w:color w:val="auto"/>
          <w:spacing w:val="0"/>
          <w:kern w:val="0"/>
          <w:sz w:val="31"/>
          <w:szCs w:val="31"/>
          <w:shd w:val="clear" w:fill="FFFFFF"/>
          <w:lang w:val="en-US" w:eastAsia="zh-CN" w:bidi="ar"/>
        </w:rPr>
        <w:t>年度本单位未发生公务车购置费。</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20" w:firstLineChars="200"/>
        <w:jc w:val="both"/>
        <w:textAlignment w:val="auto"/>
        <w:rPr>
          <w:rFonts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s="Times New Roman"/>
          <w:i w:val="0"/>
          <w:caps w:val="0"/>
          <w:color w:val="auto"/>
          <w:spacing w:val="0"/>
          <w:kern w:val="0"/>
          <w:sz w:val="31"/>
          <w:szCs w:val="31"/>
          <w:shd w:val="clear" w:fill="FFFFFF"/>
          <w:lang w:val="en-US" w:eastAsia="zh-CN" w:bidi="ar"/>
        </w:rPr>
        <w:t>202</w:t>
      </w:r>
      <w:r>
        <w:rPr>
          <w:rFonts w:hint="eastAsia" w:ascii="Times New Roman" w:hAnsi="Times New Roman" w:eastAsia="方正仿宋_GBK" w:cs="Times New Roman"/>
          <w:i w:val="0"/>
          <w:caps w:val="0"/>
          <w:color w:val="auto"/>
          <w:spacing w:val="0"/>
          <w:kern w:val="0"/>
          <w:sz w:val="31"/>
          <w:szCs w:val="31"/>
          <w:shd w:val="clear" w:fill="FFFFFF"/>
          <w:lang w:val="en-US" w:eastAsia="zh-CN" w:bidi="ar"/>
        </w:rPr>
        <w:t>4</w:t>
      </w:r>
      <w:r>
        <w:rPr>
          <w:rFonts w:hint="eastAsia" w:ascii="Times New Roman" w:hAnsi="Times New Roman" w:eastAsia="方正仿宋_GBK" w:cs="方正仿宋_GBK"/>
          <w:i w:val="0"/>
          <w:caps w:val="0"/>
          <w:color w:val="auto"/>
          <w:spacing w:val="0"/>
          <w:kern w:val="0"/>
          <w:sz w:val="31"/>
          <w:szCs w:val="31"/>
          <w:shd w:val="clear" w:fill="FFFFFF"/>
          <w:lang w:val="en-US" w:eastAsia="zh-CN" w:bidi="ar"/>
        </w:rPr>
        <w:t>年度本单位未发生</w:t>
      </w:r>
      <w:r>
        <w:rPr>
          <w:rFonts w:ascii="Times New Roman" w:hAnsi="Times New Roman" w:eastAsia="方正仿宋_GBK" w:cs="方正仿宋_GBK"/>
          <w:color w:val="auto"/>
          <w:sz w:val="32"/>
          <w:szCs w:val="32"/>
          <w:shd w:val="clear" w:color="auto" w:fill="FFFFFF"/>
        </w:rPr>
        <w:t>公务车运行维护费</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20" w:firstLineChars="200"/>
        <w:jc w:val="both"/>
        <w:textAlignment w:val="auto"/>
        <w:rPr>
          <w:rFonts w:hint="default" w:ascii="Times New Roman" w:hAnsi="Times New Roman" w:eastAsia="方正仿宋_GBK" w:cs="方正仿宋_GBK"/>
          <w:color w:val="auto"/>
          <w:sz w:val="32"/>
          <w:szCs w:val="32"/>
          <w:shd w:val="clear" w:color="auto" w:fill="FFFFFF"/>
        </w:rPr>
      </w:pPr>
      <w:r>
        <w:rPr>
          <w:rFonts w:hint="default" w:ascii="Times New Roman" w:hAnsi="Times New Roman" w:eastAsia="方正仿宋_GBK" w:cs="Times New Roman"/>
          <w:i w:val="0"/>
          <w:caps w:val="0"/>
          <w:color w:val="auto"/>
          <w:spacing w:val="0"/>
          <w:kern w:val="0"/>
          <w:sz w:val="31"/>
          <w:szCs w:val="31"/>
          <w:shd w:val="clear" w:fill="FFFFFF"/>
          <w:lang w:val="en-US" w:eastAsia="zh-CN" w:bidi="ar"/>
        </w:rPr>
        <w:t>202</w:t>
      </w:r>
      <w:r>
        <w:rPr>
          <w:rFonts w:hint="eastAsia" w:ascii="Times New Roman" w:hAnsi="Times New Roman" w:eastAsia="方正仿宋_GBK" w:cs="Times New Roman"/>
          <w:i w:val="0"/>
          <w:caps w:val="0"/>
          <w:color w:val="auto"/>
          <w:spacing w:val="0"/>
          <w:kern w:val="0"/>
          <w:sz w:val="31"/>
          <w:szCs w:val="31"/>
          <w:shd w:val="clear" w:fill="FFFFFF"/>
          <w:lang w:val="en-US" w:eastAsia="zh-CN" w:bidi="ar"/>
        </w:rPr>
        <w:t>4</w:t>
      </w:r>
      <w:r>
        <w:rPr>
          <w:rFonts w:hint="eastAsia" w:ascii="Times New Roman" w:hAnsi="Times New Roman" w:eastAsia="方正仿宋_GBK" w:cs="方正仿宋_GBK"/>
          <w:i w:val="0"/>
          <w:caps w:val="0"/>
          <w:color w:val="auto"/>
          <w:spacing w:val="0"/>
          <w:kern w:val="0"/>
          <w:sz w:val="31"/>
          <w:szCs w:val="31"/>
          <w:shd w:val="clear" w:fill="FFFFFF"/>
          <w:lang w:val="en-US" w:eastAsia="zh-CN" w:bidi="ar"/>
        </w:rPr>
        <w:t>年度本单位未发生</w:t>
      </w:r>
      <w:r>
        <w:rPr>
          <w:rFonts w:hint="eastAsia" w:ascii="Times New Roman" w:hAnsi="Times New Roman" w:eastAsia="方正仿宋_GBK" w:cs="方正仿宋_GBK"/>
          <w:color w:val="auto"/>
          <w:sz w:val="32"/>
          <w:szCs w:val="32"/>
          <w:shd w:val="clear" w:color="auto" w:fill="FFFFFF"/>
          <w:lang w:eastAsia="zh-CN"/>
        </w:rPr>
        <w:t>公务接待</w:t>
      </w:r>
      <w:r>
        <w:rPr>
          <w:rFonts w:ascii="Times New Roman" w:hAnsi="Times New Roman" w:eastAsia="方正仿宋_GBK" w:cs="方正仿宋_GBK"/>
          <w:color w:val="auto"/>
          <w:sz w:val="32"/>
          <w:szCs w:val="32"/>
          <w:shd w:val="clear" w:color="auto" w:fill="FFFFFF"/>
        </w:rPr>
        <w:t>费</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（三）“三公”经费实物量情况</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年度本部门因公出国（境）共计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年本部门人均接待费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万元。</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default" w:ascii="Times New Roman" w:hAnsi="Times New Roman" w:eastAsia="方正仿宋_GBK" w:cs="黑体"/>
          <w:color w:val="auto"/>
          <w:sz w:val="32"/>
          <w:szCs w:val="32"/>
          <w:shd w:val="clear" w:color="auto" w:fill="FFFFFF"/>
        </w:rPr>
      </w:pPr>
      <w:r>
        <w:rPr>
          <w:rStyle w:val="14"/>
          <w:rFonts w:ascii="Times New Roman" w:hAnsi="Times New Roman" w:eastAsia="方正仿宋_GBK" w:cs="黑体"/>
          <w:color w:val="auto"/>
          <w:sz w:val="32"/>
          <w:szCs w:val="32"/>
          <w:shd w:val="clear" w:color="auto" w:fill="FFFFFF"/>
        </w:rPr>
        <w:t>四、其他需要说明的事项</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rPr>
          <w:rFonts w:hint="default" w:ascii="Times New Roman" w:hAnsi="Times New Roman" w:eastAsia="方正仿宋_GBK" w:cs="楷体"/>
          <w:b/>
          <w:bCs/>
          <w:color w:val="auto"/>
          <w:sz w:val="32"/>
          <w:szCs w:val="32"/>
          <w:shd w:val="clear" w:color="auto" w:fill="FFFFFF"/>
        </w:rPr>
      </w:pPr>
      <w:r>
        <w:rPr>
          <w:rFonts w:ascii="Times New Roman" w:hAnsi="Times New Roman" w:eastAsia="方正仿宋_GBK" w:cs="楷体"/>
          <w:b/>
          <w:bCs/>
          <w:color w:val="auto"/>
          <w:sz w:val="32"/>
          <w:szCs w:val="32"/>
          <w:shd w:val="clear" w:color="auto" w:fill="FFFFFF"/>
        </w:rPr>
        <w:t>（一）财政拨款会议费、培训费和差旅费情况说明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shd w:val="clear" w:color="auto" w:fill="FFFFFF"/>
          <w:lang w:val="en-US" w:eastAsia="zh-CN"/>
        </w:rPr>
        <w:t>本单位2024年度无</w:t>
      </w:r>
      <w:r>
        <w:rPr>
          <w:rFonts w:ascii="Times New Roman" w:hAnsi="Times New Roman" w:eastAsia="方正仿宋_GBK" w:cs="方正仿宋_GBK"/>
          <w:color w:val="auto"/>
          <w:sz w:val="32"/>
          <w:szCs w:val="32"/>
          <w:shd w:val="clear" w:color="auto" w:fill="FFFFFF"/>
        </w:rPr>
        <w:t>会议费</w:t>
      </w:r>
      <w:r>
        <w:rPr>
          <w:rFonts w:hint="eastAsia" w:ascii="Times New Roman" w:hAnsi="Times New Roman" w:eastAsia="方正仿宋_GBK" w:cs="方正仿宋_GBK"/>
          <w:color w:val="auto"/>
          <w:sz w:val="32"/>
          <w:szCs w:val="32"/>
          <w:shd w:val="clear" w:color="auto" w:fill="FFFFFF"/>
          <w:lang w:eastAsia="zh-CN"/>
        </w:rPr>
        <w:t>和培训费</w:t>
      </w:r>
      <w:r>
        <w:rPr>
          <w:rFonts w:ascii="Times New Roman" w:hAnsi="Times New Roman" w:eastAsia="方正仿宋_GBK" w:cs="方正仿宋_GBK"/>
          <w:color w:val="auto"/>
          <w:sz w:val="32"/>
          <w:szCs w:val="32"/>
          <w:shd w:val="clear" w:color="auto" w:fill="FFFFFF"/>
        </w:rPr>
        <w:t>支出</w:t>
      </w:r>
      <w:r>
        <w:rPr>
          <w:rFonts w:hint="eastAsia" w:ascii="Times New Roman" w:hAnsi="Times New Roman" w:eastAsia="方正仿宋_GBK" w:cs="方正仿宋_GBK"/>
          <w:color w:val="auto"/>
          <w:sz w:val="32"/>
          <w:szCs w:val="32"/>
          <w:shd w:val="clear" w:color="auto" w:fill="FFFFFF"/>
          <w:lang w:val="en-US" w:eastAsia="zh-CN"/>
        </w:rPr>
        <w:t>。</w:t>
      </w:r>
      <w:r>
        <w:rPr>
          <w:rFonts w:ascii="Times New Roman" w:hAnsi="Times New Roman"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0.02</w:t>
      </w:r>
      <w:r>
        <w:rPr>
          <w:rFonts w:ascii="Times New Roman" w:hAnsi="Times New Roman"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与2023年度相比，减少0.20万元，下降90.9%</w:t>
      </w:r>
      <w:r>
        <w:rPr>
          <w:rFonts w:ascii="Times New Roman" w:hAnsi="Times New Roman" w:eastAsia="方正仿宋_GBK" w:cs="方正仿宋_GBK"/>
          <w:color w:val="auto"/>
          <w:sz w:val="32"/>
          <w:szCs w:val="32"/>
          <w:shd w:val="clear" w:color="auto" w:fill="FFFFFF"/>
        </w:rPr>
        <w:t>，主要原因是</w:t>
      </w:r>
      <w:r>
        <w:rPr>
          <w:rFonts w:hint="eastAsia" w:ascii="Times New Roman" w:hAnsi="Times New Roman" w:eastAsia="方正仿宋_GBK" w:cs="方正仿宋_GBK"/>
          <w:color w:val="auto"/>
          <w:sz w:val="32"/>
          <w:szCs w:val="32"/>
          <w:shd w:val="clear" w:color="auto" w:fill="FFFFFF"/>
          <w:lang w:eastAsia="zh-CN"/>
        </w:rPr>
        <w:t>严格落实差旅报销实报实销政策。</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（二）机关运行经费情况说明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auto"/>
          <w:sz w:val="32"/>
          <w:szCs w:val="32"/>
          <w:shd w:val="clear" w:color="auto" w:fill="FFFFFF"/>
          <w:lang w:val="en-US" w:eastAsia="zh-CN"/>
        </w:rPr>
      </w:pPr>
      <w:r>
        <w:rPr>
          <w:rFonts w:hint="default" w:ascii="Times New Roman" w:hAnsi="Times New Roman" w:eastAsia="方正仿宋_GBK" w:cs="方正仿宋_GBK"/>
          <w:color w:val="auto"/>
          <w:sz w:val="32"/>
          <w:szCs w:val="32"/>
          <w:shd w:val="clear" w:color="auto" w:fill="FFFFFF"/>
          <w:lang w:val="en-US" w:eastAsia="zh-CN"/>
        </w:rPr>
        <w:t>按照部门决算列报口径，我单位不在机关运行经费统计范围之内</w:t>
      </w:r>
      <w:r>
        <w:rPr>
          <w:rFonts w:hint="eastAsia" w:ascii="Times New Roman" w:hAnsi="Times New Roman" w:eastAsia="方正仿宋_GBK" w:cs="方正仿宋_GBK"/>
          <w:color w:val="auto"/>
          <w:sz w:val="32"/>
          <w:szCs w:val="32"/>
          <w:shd w:val="clear" w:color="auto" w:fill="FFFFFF"/>
          <w:lang w:val="en-US" w:eastAsia="zh-CN"/>
        </w:rPr>
        <w:t>。</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（三）国有资产占用情况说明</w:t>
      </w:r>
    </w:p>
    <w:p>
      <w:pPr>
        <w:pStyle w:val="10"/>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color w:val="auto"/>
          <w:sz w:val="32"/>
          <w:szCs w:val="32"/>
        </w:rPr>
      </w:pPr>
      <w:r>
        <w:rPr>
          <w:rFonts w:ascii="Times New Roman" w:hAnsi="Times New Roman"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Times New Roman" w:hAnsi="Times New Roman"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Times New Roman" w:hAnsi="Times New Roman"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Times New Roman" w:hAnsi="Times New Roman" w:eastAsia="方正仿宋_GBK" w:cs="方正仿宋_GBK"/>
          <w:color w:val="auto"/>
          <w:sz w:val="32"/>
          <w:szCs w:val="32"/>
          <w:shd w:val="clear" w:color="auto" w:fill="FFFFFF"/>
        </w:rPr>
        <w:t>日，本部门共有车辆</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Times New Roman" w:hAnsi="Times New Roman"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Times New Roman" w:hAnsi="Times New Roman" w:eastAsia="方正仿宋_GBK" w:cs="方正仿宋_GBK"/>
          <w:color w:val="auto"/>
          <w:sz w:val="32"/>
          <w:szCs w:val="32"/>
          <w:shd w:val="clear" w:color="auto" w:fill="FFFFFF"/>
        </w:rPr>
        <w:t>台（套）。</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2" w:firstLineChars="200"/>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（四）政府采购支出情况说明</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2024年度我部门未发生政府采购事项，无相关经费支出。</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2" w:firstLineChars="200"/>
        <w:textAlignment w:val="auto"/>
        <w:rPr>
          <w:rStyle w:val="14"/>
          <w:rFonts w:hint="eastAsia" w:ascii="Times New Roman" w:hAnsi="Times New Roman" w:eastAsia="方正仿宋_GBK" w:cs="黑体"/>
          <w:color w:val="auto"/>
          <w:sz w:val="32"/>
          <w:szCs w:val="32"/>
          <w:shd w:val="clear" w:color="auto" w:fill="FFFFFF"/>
          <w:lang w:val="en-US" w:eastAsia="zh-CN" w:bidi="ar-SA"/>
        </w:rPr>
      </w:pPr>
      <w:r>
        <w:rPr>
          <w:rStyle w:val="14"/>
          <w:rFonts w:hint="eastAsia" w:ascii="Times New Roman" w:hAnsi="Times New Roman" w:eastAsia="方正仿宋_GBK" w:cs="黑体"/>
          <w:color w:val="auto"/>
          <w:sz w:val="32"/>
          <w:szCs w:val="32"/>
          <w:shd w:val="clear" w:color="auto" w:fill="FFFFFF"/>
          <w:lang w:val="en-US" w:eastAsia="zh-CN" w:bidi="ar-SA"/>
        </w:rPr>
        <w:t>五、2024年度预算绩效管理情况说明</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（一）单位自评情况</w:t>
      </w:r>
    </w:p>
    <w:p>
      <w:pPr>
        <w:pStyle w:val="16"/>
        <w:keepNext w:val="0"/>
        <w:keepLines w:val="0"/>
        <w:pageBreakBefore w:val="0"/>
        <w:widowControl w:val="0"/>
        <w:kinsoku/>
        <w:wordWrap/>
        <w:overflowPunct/>
        <w:topLinePunct w:val="0"/>
        <w:autoSpaceDE w:val="0"/>
        <w:autoSpaceDN/>
        <w:bidi w:val="0"/>
        <w:adjustRightInd/>
        <w:spacing w:before="0"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我单位无财政拨款项目支出。</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（二）单位绩效评价情况</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我单位未组织开展绩效评价。</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ascii="Times New Roman" w:hAnsi="Times New Roman" w:eastAsia="方正仿宋_GBK" w:cs="楷体"/>
          <w:b/>
          <w:bCs/>
          <w:color w:val="auto"/>
          <w:sz w:val="32"/>
          <w:szCs w:val="32"/>
          <w:shd w:val="clear" w:color="auto" w:fill="FFFFFF"/>
        </w:rPr>
      </w:pPr>
      <w:r>
        <w:rPr>
          <w:rFonts w:hint="eastAsia" w:ascii="Times New Roman" w:hAnsi="Times New Roman" w:eastAsia="方正仿宋_GBK" w:cs="楷体"/>
          <w:b/>
          <w:bCs/>
          <w:color w:val="auto"/>
          <w:sz w:val="32"/>
          <w:szCs w:val="32"/>
          <w:shd w:val="clear" w:color="auto" w:fill="FFFFFF"/>
        </w:rPr>
        <w:t>（三）财政绩效评价情况</w:t>
      </w:r>
    </w:p>
    <w:p>
      <w:pPr>
        <w:pStyle w:val="15"/>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3"/>
        <w:textAlignment w:val="auto"/>
        <w:rPr>
          <w:rFonts w:hint="eastAsia" w:ascii="Times New Roman" w:hAnsi="Times New Roman" w:eastAsia="方正仿宋_GBK" w:cs="方正仿宋_GBK"/>
          <w:color w:val="auto"/>
          <w:kern w:val="0"/>
          <w:sz w:val="32"/>
          <w:szCs w:val="32"/>
          <w:shd w:val="clear" w:fill="FFFFFF"/>
        </w:rPr>
      </w:pPr>
      <w:r>
        <w:rPr>
          <w:rFonts w:hint="eastAsia" w:ascii="Times New Roman" w:hAnsi="Times New Roman" w:eastAsia="方正仿宋_GBK" w:cs="方正仿宋_GBK"/>
          <w:color w:val="auto"/>
          <w:sz w:val="32"/>
          <w:szCs w:val="32"/>
          <w:shd w:val="clear" w:color="auto" w:fill="FFFFFF"/>
          <w:lang w:val="en-US" w:eastAsia="zh-CN" w:bidi="ar-SA"/>
        </w:rPr>
        <w:t>区财政局未委托第三方对我单位开展绩效评价。</w:t>
      </w:r>
    </w:p>
    <w:p>
      <w:pPr>
        <w:pStyle w:val="16"/>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textAlignment w:val="auto"/>
        <w:rPr>
          <w:rFonts w:hint="eastAsia" w:ascii="Times New Roman" w:hAnsi="Times New Roman" w:eastAsia="方正仿宋_GBK" w:cs="方正仿宋_GBK"/>
          <w:color w:val="auto"/>
          <w:kern w:val="0"/>
          <w:sz w:val="32"/>
          <w:szCs w:val="32"/>
        </w:rPr>
      </w:pPr>
      <w:r>
        <w:rPr>
          <w:rStyle w:val="17"/>
          <w:rFonts w:hint="eastAsia" w:ascii="Times New Roman" w:hAnsi="Times New Roman" w:eastAsia="方正仿宋_GBK" w:cs="方正仿宋_GBK"/>
          <w:b/>
          <w:bCs/>
          <w:color w:val="auto"/>
          <w:sz w:val="32"/>
          <w:szCs w:val="32"/>
          <w:shd w:val="clear" w:fill="FFFFFF"/>
        </w:rPr>
        <w:t xml:space="preserve"> </w:t>
      </w:r>
      <w:r>
        <w:rPr>
          <w:rStyle w:val="17"/>
          <w:rFonts w:hint="eastAsia" w:ascii="Times New Roman" w:hAnsi="Times New Roman" w:eastAsia="方正仿宋_GBK" w:cs="方正仿宋_GBK"/>
          <w:b/>
          <w:bCs/>
          <w:color w:val="auto"/>
          <w:sz w:val="32"/>
          <w:szCs w:val="32"/>
          <w:shd w:val="clear" w:fill="FFFFFF"/>
          <w:lang w:val="en-US" w:eastAsia="zh-CN"/>
        </w:rPr>
        <w:t xml:space="preserve">  </w:t>
      </w:r>
      <w:r>
        <w:rPr>
          <w:rStyle w:val="14"/>
          <w:rFonts w:hint="eastAsia" w:ascii="Times New Roman" w:hAnsi="Times New Roman" w:eastAsia="方正仿宋_GBK" w:cs="黑体"/>
          <w:color w:val="auto"/>
          <w:sz w:val="32"/>
          <w:szCs w:val="32"/>
          <w:shd w:val="clear" w:color="auto" w:fill="FFFFFF"/>
          <w:lang w:val="en-US" w:eastAsia="zh-CN" w:bidi="ar-SA"/>
        </w:rPr>
        <w:t xml:space="preserve"> 六、专业名词解释</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（一）财政拨款收入：</w:t>
      </w:r>
      <w:r>
        <w:rPr>
          <w:rFonts w:hint="eastAsia" w:ascii="Times New Roman" w:hAnsi="Times New Roman" w:eastAsia="方正仿宋_GBK" w:cs="方正仿宋_GBK"/>
          <w:color w:val="auto"/>
          <w:kern w:val="0"/>
          <w:sz w:val="32"/>
          <w:szCs w:val="32"/>
          <w:shd w:val="clear" w:fill="FFFFFF"/>
        </w:rPr>
        <w:t>指本年度从本级财政部门取得的财政拨款，包括一般公共预算财政拨款和政府性基金预算财政拨款。</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（二）事业收入：</w:t>
      </w:r>
      <w:r>
        <w:rPr>
          <w:rFonts w:hint="eastAsia" w:ascii="Times New Roman" w:hAnsi="Times New Roman" w:eastAsia="方正仿宋_GBK" w:cs="方正仿宋_GBK"/>
          <w:color w:val="auto"/>
          <w:kern w:val="0"/>
          <w:sz w:val="32"/>
          <w:szCs w:val="32"/>
          <w:shd w:val="clear" w:fill="FFFFFF"/>
        </w:rPr>
        <w:t>指事业单位开展专业业务活动及其辅助活动取得的现金流入；事业单位收到的财政专户实际核拨的教育收费等资金在此反映。</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（三）经营收入：</w:t>
      </w:r>
      <w:r>
        <w:rPr>
          <w:rFonts w:hint="eastAsia" w:ascii="Times New Roman" w:hAnsi="Times New Roman" w:eastAsia="方正仿宋_GBK" w:cs="方正仿宋_GBK"/>
          <w:color w:val="auto"/>
          <w:kern w:val="0"/>
          <w:sz w:val="32"/>
          <w:szCs w:val="32"/>
          <w:shd w:val="clear" w:fill="FFFFFF"/>
        </w:rPr>
        <w:t>指事业单位在专业业务活动及其辅助活动之外开展非独立核算经营活动取得的现金流入。</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（四）其他收入：</w:t>
      </w:r>
      <w:r>
        <w:rPr>
          <w:rFonts w:hint="eastAsia" w:ascii="Times New Roman" w:hAnsi="Times New Roman" w:eastAsia="方正仿宋_GBK" w:cs="方正仿宋_GBK"/>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（五）使用非财政拨款结余（含专用结余）：</w:t>
      </w:r>
      <w:r>
        <w:rPr>
          <w:rFonts w:hint="eastAsia" w:ascii="Times New Roman" w:hAnsi="Times New Roman" w:eastAsia="方正仿宋_GBK" w:cs="方正仿宋_GBK"/>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（六）年初结转和结余：</w:t>
      </w:r>
      <w:r>
        <w:rPr>
          <w:rFonts w:hint="eastAsia" w:ascii="Times New Roman" w:hAnsi="Times New Roman" w:eastAsia="方正仿宋_GBK" w:cs="方正仿宋_GBK"/>
          <w:color w:val="auto"/>
          <w:kern w:val="0"/>
          <w:sz w:val="32"/>
          <w:szCs w:val="32"/>
          <w:shd w:val="clear" w:fill="FFFFFF"/>
        </w:rPr>
        <w:t>指单位上年结转本年使用的基本支出结转、项目支出结转和结余、经营结余。</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（七）结余分配：</w:t>
      </w:r>
      <w:r>
        <w:rPr>
          <w:rFonts w:hint="eastAsia" w:ascii="Times New Roman" w:hAnsi="Times New Roman" w:eastAsia="方正仿宋_GBK" w:cs="方正仿宋_GBK"/>
          <w:color w:val="auto"/>
          <w:kern w:val="0"/>
          <w:sz w:val="32"/>
          <w:szCs w:val="32"/>
          <w:shd w:val="clear" w:fill="FFFFFF"/>
        </w:rPr>
        <w:t>指单位按照国家有关规定，缴纳所得税、提取专用基金、转入非财政拨款结余等当年结余的分配情况。</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（八）年末结转和结余：</w:t>
      </w:r>
      <w:r>
        <w:rPr>
          <w:rFonts w:hint="eastAsia" w:ascii="Times New Roman" w:hAnsi="Times New Roman" w:eastAsia="方正仿宋_GBK" w:cs="方正仿宋_GBK"/>
          <w:color w:val="auto"/>
          <w:kern w:val="0"/>
          <w:sz w:val="32"/>
          <w:szCs w:val="32"/>
          <w:shd w:val="clear" w:fill="FFFFFF"/>
        </w:rPr>
        <w:t>指单位结转下年的基本支出结转、项目支出结转和结余、经营结余。</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（九）基本支出：</w:t>
      </w:r>
      <w:r>
        <w:rPr>
          <w:rFonts w:hint="eastAsia" w:ascii="Times New Roman" w:hAnsi="Times New Roman" w:eastAsia="方正仿宋_GBK" w:cs="方正仿宋_GBK"/>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（十）项目支出：</w:t>
      </w:r>
      <w:r>
        <w:rPr>
          <w:rFonts w:hint="eastAsia" w:ascii="Times New Roman" w:hAnsi="Times New Roman" w:eastAsia="方正仿宋_GBK" w:cs="方正仿宋_GBK"/>
          <w:color w:val="auto"/>
          <w:kern w:val="0"/>
          <w:sz w:val="32"/>
          <w:szCs w:val="32"/>
          <w:shd w:val="clear" w:fill="FFFFFF"/>
        </w:rPr>
        <w:t>指在基本支出之外为完成特定行政任务和事业发展目标所发生的支出。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（十一）经营支出：</w:t>
      </w:r>
      <w:r>
        <w:rPr>
          <w:rFonts w:hint="eastAsia" w:ascii="Times New Roman" w:hAnsi="Times New Roman" w:eastAsia="方正仿宋_GBK" w:cs="方正仿宋_GBK"/>
          <w:color w:val="auto"/>
          <w:kern w:val="0"/>
          <w:sz w:val="32"/>
          <w:szCs w:val="32"/>
          <w:shd w:val="clear" w:fill="FFFFFF"/>
        </w:rPr>
        <w:t>指事业单位在专业业务活动及其辅助活动之外开展非独立核算经营活动发生的支出。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（十二）“三公”经费：</w:t>
      </w:r>
      <w:r>
        <w:rPr>
          <w:rFonts w:hint="eastAsia" w:ascii="Times New Roman" w:hAnsi="Times New Roman" w:eastAsia="方正仿宋_GBK" w:cs="方正仿宋_GBK"/>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（十三）机关运行经费：</w:t>
      </w:r>
      <w:r>
        <w:rPr>
          <w:rFonts w:hint="eastAsia" w:ascii="Times New Roman" w:hAnsi="Times New Roman" w:eastAsia="方正仿宋_GBK" w:cs="方正仿宋_GBK"/>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color w:val="auto"/>
          <w:kern w:val="0"/>
          <w:sz w:val="32"/>
          <w:szCs w:val="32"/>
          <w:shd w:val="clear" w:fill="FFFFFF"/>
        </w:rPr>
        <w:t>反映单位开支的在职职工和编制外长期聘用人员的各类劳动报酬，以及为上述人员缴纳的各项社会保险费等。</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color w:val="auto"/>
          <w:kern w:val="0"/>
          <w:sz w:val="32"/>
          <w:szCs w:val="32"/>
          <w:shd w:val="clear" w:fill="FFFFFF"/>
        </w:rPr>
        <w:t>反映单位购买商品和服务的支出（不包括用于购置固定资产的支出、战略性和应急储备支出）。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color w:val="auto"/>
          <w:kern w:val="0"/>
          <w:sz w:val="32"/>
          <w:szCs w:val="32"/>
          <w:shd w:val="clear" w:fill="FFFFFF"/>
        </w:rPr>
        <w:t>反映用于对个人和家庭的补助支出。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楷体"/>
          <w:color w:val="auto"/>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方正仿宋_GBK"/>
          <w:color w:val="auto"/>
          <w:kern w:val="0"/>
          <w:sz w:val="32"/>
          <w:szCs w:val="32"/>
        </w:rPr>
      </w:pPr>
      <w:r>
        <w:rPr>
          <w:rStyle w:val="14"/>
          <w:rFonts w:hint="eastAsia" w:ascii="Times New Roman" w:hAnsi="Times New Roman" w:eastAsia="方正仿宋_GBK" w:cs="黑体"/>
          <w:color w:val="auto"/>
          <w:sz w:val="32"/>
          <w:szCs w:val="32"/>
          <w:shd w:val="clear" w:color="auto" w:fill="FFFFFF"/>
          <w:lang w:val="en-US" w:eastAsia="zh-CN" w:bidi="ar-SA"/>
        </w:rPr>
        <w:t>七、决算公开联系方式及信息反馈渠道</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kern w:val="0"/>
          <w:sz w:val="32"/>
          <w:szCs w:val="32"/>
        </w:rPr>
      </w:pPr>
      <w:r>
        <w:rPr>
          <w:rFonts w:hint="eastAsia" w:ascii="Times New Roman" w:hAnsi="Times New Roman" w:eastAsia="方正仿宋_GBK" w:cs="方正仿宋_GBK"/>
          <w:color w:val="auto"/>
          <w:kern w:val="0"/>
          <w:sz w:val="32"/>
          <w:szCs w:val="32"/>
          <w:shd w:val="clear" w:fill="FFFFFF"/>
        </w:rPr>
        <w:t>本单位决算公开信息反馈和联系方式：</w:t>
      </w:r>
    </w:p>
    <w:p>
      <w:pPr>
        <w:pStyle w:val="16"/>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方正仿宋_GBK"/>
          <w:color w:val="auto"/>
          <w:kern w:val="0"/>
          <w:sz w:val="32"/>
          <w:szCs w:val="32"/>
          <w:lang w:val="en-US" w:eastAsia="zh-CN"/>
        </w:rPr>
      </w:pPr>
      <w:r>
        <w:rPr>
          <w:rFonts w:hint="eastAsia" w:ascii="Times New Roman" w:hAnsi="Times New Roman" w:eastAsia="方正仿宋_GBK" w:cs="方正仿宋_GBK"/>
          <w:color w:val="auto"/>
          <w:kern w:val="0"/>
          <w:sz w:val="32"/>
          <w:szCs w:val="32"/>
          <w:shd w:val="clear" w:fill="FFFFFF"/>
          <w:lang w:eastAsia="zh-CN"/>
        </w:rPr>
        <w:t>周训涛</w:t>
      </w:r>
      <w:r>
        <w:rPr>
          <w:rFonts w:hint="eastAsia" w:ascii="Times New Roman" w:hAnsi="Times New Roman" w:eastAsia="方正仿宋_GBK" w:cs="方正仿宋_GBK"/>
          <w:color w:val="auto"/>
          <w:kern w:val="0"/>
          <w:sz w:val="32"/>
          <w:szCs w:val="32"/>
          <w:shd w:val="clear" w:fill="FFFFFF"/>
        </w:rPr>
        <w:t xml:space="preserve">   023-</w:t>
      </w:r>
      <w:r>
        <w:rPr>
          <w:rFonts w:hint="eastAsia" w:ascii="Times New Roman" w:hAnsi="Times New Roman" w:eastAsia="方正仿宋_GBK" w:cs="方正仿宋_GBK"/>
          <w:color w:val="auto"/>
          <w:kern w:val="0"/>
          <w:sz w:val="32"/>
          <w:szCs w:val="32"/>
          <w:shd w:val="clear" w:fill="FFFFFF"/>
          <w:lang w:val="en-US" w:eastAsia="zh-CN"/>
        </w:rPr>
        <w:t>43786579</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firstLine="640"/>
        <w:jc w:val="both"/>
        <w:textAlignment w:val="auto"/>
        <w:rPr>
          <w:rStyle w:val="14"/>
          <w:rFonts w:ascii="Times New Roman" w:hAnsi="Times New Roman"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重庆市大足区智凤街道村居建设服务中心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96.64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96.64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96.64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96.64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重庆市大足区智凤街道村居建设服务中心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96.64</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96.64</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重庆市大足区智凤街道村居建设服务中心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96.64</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96.64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73.60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重庆市大足区智凤街道村居建设服务中心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重庆市大足区智凤街道村居建设服务中心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96.64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73.60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重庆市大足区智凤街道村居建设服务中心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92.50</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重庆市大足区智凤街道村居建设服务中心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重庆市大足区智凤街道村居建设服务中心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重庆市大足区智凤街道村居建设服务中心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7"/>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B449C2"/>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49ACA3"/>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FD712C"/>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BCB9343"/>
    <w:rsid w:val="6C0A5AC5"/>
    <w:rsid w:val="6C560CAE"/>
    <w:rsid w:val="6C576495"/>
    <w:rsid w:val="6D903FF5"/>
    <w:rsid w:val="6DA955B8"/>
    <w:rsid w:val="6DE346AB"/>
    <w:rsid w:val="6DE5391A"/>
    <w:rsid w:val="6EFD1324"/>
    <w:rsid w:val="6F3FD9B2"/>
    <w:rsid w:val="6F5A53AC"/>
    <w:rsid w:val="6FAC003D"/>
    <w:rsid w:val="6FD926BF"/>
    <w:rsid w:val="6FE55E12"/>
    <w:rsid w:val="6FFB2E76"/>
    <w:rsid w:val="708F6F7F"/>
    <w:rsid w:val="70D94BD3"/>
    <w:rsid w:val="71574775"/>
    <w:rsid w:val="71C34D91"/>
    <w:rsid w:val="71F569A7"/>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78CAB2"/>
    <w:rsid w:val="7DE94331"/>
    <w:rsid w:val="7F446A19"/>
    <w:rsid w:val="7F7452B9"/>
    <w:rsid w:val="A623DAA0"/>
    <w:rsid w:val="C7FF036E"/>
    <w:rsid w:val="F6FF1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index 6"/>
    <w:basedOn w:val="1"/>
    <w:next w:val="1"/>
    <w:qFormat/>
    <w:uiPriority w:val="0"/>
    <w:pPr>
      <w:ind w:left="2100"/>
    </w:pPr>
  </w:style>
  <w:style w:type="paragraph" w:styleId="6">
    <w:name w:val="Balloon Text"/>
    <w:basedOn w:val="1"/>
    <w:link w:val="19"/>
    <w:qFormat/>
    <w:uiPriority w:val="0"/>
    <w:rPr>
      <w:sz w:val="18"/>
      <w:szCs w:val="18"/>
    </w:rPr>
  </w:style>
  <w:style w:type="paragraph" w:styleId="7">
    <w:name w:val="footer"/>
    <w:basedOn w:val="1"/>
    <w:next w:val="5"/>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3"/>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3"/>
    <w:link w:val="6"/>
    <w:qFormat/>
    <w:uiPriority w:val="0"/>
    <w:rPr>
      <w:rFonts w:ascii="宋体" w:hAnsi="宋体"/>
      <w:sz w:val="18"/>
      <w:szCs w:val="18"/>
    </w:rPr>
  </w:style>
  <w:style w:type="paragraph" w:customStyle="1" w:styleId="20">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7875</Words>
  <Characters>9990</Characters>
  <Lines>186</Lines>
  <Paragraphs>52</Paragraphs>
  <TotalTime>1</TotalTime>
  <ScaleCrop>false</ScaleCrop>
  <LinksUpToDate>false</LinksUpToDate>
  <CharactersWithSpaces>11031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2024-07-12T18:00:00Z</dcterms:created>
  <dc:creator>Administrator</dc:creator>
  <cp:lastModifiedBy>greatwall</cp:lastModifiedBy>
  <dcterms:modified xsi:type="dcterms:W3CDTF">2025-10-23T09:15:49Z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BB46EABDBB2749749395447164B066B3_12</vt:lpwstr>
  </property>
  <property fmtid="{D5CDD505-2E9C-101B-9397-08002B2CF9AE}" pid="4" name="KSOTemplateDocerSaveRecord">
    <vt:lpwstr>eyJoZGlkIjoiMzg0N2RmMjE1MjcwYjYzYzI4NTUyZDZmY2E5NzEzZDQifQ==</vt:lpwstr>
  </property>
</Properties>
</file>