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Times New Roman" w:eastAsia="方正仿宋_GBK" w:cs="方正小标宋_GBK"/>
          <w:b/>
          <w:bCs/>
          <w:sz w:val="44"/>
          <w:szCs w:val="44"/>
        </w:rPr>
      </w:pPr>
      <w:bookmarkStart w:id="0" w:name="_GoBack"/>
      <w:bookmarkEnd w:id="0"/>
      <w:r>
        <w:rPr>
          <w:rFonts w:ascii="Times New Roman" w:hAnsi="Times New Roman" w:eastAsia="方正仿宋_GBK" w:cs="方正小标宋_GBK"/>
          <w:b/>
          <w:bCs/>
          <w:sz w:val="44"/>
          <w:szCs w:val="44"/>
        </w:rPr>
        <w:t>重庆市大足区智凤街道农业服务中心</w:t>
      </w:r>
    </w:p>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仿宋_GBK" w:cs="方正小标宋_GBK"/>
          <w:b/>
          <w:bCs/>
          <w:sz w:val="44"/>
          <w:szCs w:val="44"/>
          <w:shd w:val="clear" w:color="auto" w:fill="FFFFFF"/>
        </w:rPr>
      </w:pPr>
      <w:r>
        <w:rPr>
          <w:rFonts w:hint="default" w:ascii="Times New Roman" w:hAnsi="Times New Roman" w:eastAsia="方正仿宋_GBK" w:cs="Times New Roman"/>
          <w:b/>
          <w:bCs/>
          <w:sz w:val="44"/>
          <w:szCs w:val="44"/>
          <w:shd w:val="clear" w:color="auto" w:fill="FFFFFF"/>
        </w:rPr>
        <w:t>2024</w:t>
      </w:r>
      <w:r>
        <w:rPr>
          <w:rFonts w:ascii="Times New Roman" w:hAnsi="Times New Roman" w:eastAsia="方正仿宋_GBK" w:cs="方正小标宋_GBK"/>
          <w:b/>
          <w:bCs/>
          <w:sz w:val="44"/>
          <w:szCs w:val="44"/>
          <w:shd w:val="clear" w:color="auto" w:fill="FFFFFF"/>
        </w:rPr>
        <w:t>年度决算公开说明</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ascii="Times New Roman" w:hAnsi="Times New Roman" w:eastAsia="方正仿宋_GBK" w:cs="黑体"/>
          <w:color w:val="auto"/>
          <w:sz w:val="32"/>
          <w:szCs w:val="32"/>
          <w:shd w:val="clear" w:color="auto" w:fill="FFFFFF"/>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一、</w:t>
      </w:r>
      <w:r>
        <w:rPr>
          <w:rStyle w:val="14"/>
          <w:rFonts w:hint="eastAsia" w:ascii="Times New Roman" w:hAnsi="Times New Roman" w:eastAsia="方正仿宋_GBK" w:cs="黑体"/>
          <w:color w:val="auto"/>
          <w:sz w:val="32"/>
          <w:szCs w:val="32"/>
          <w:shd w:val="clear" w:color="auto" w:fill="FFFFFF"/>
          <w:lang w:eastAsia="zh-CN"/>
        </w:rPr>
        <w:t>单位</w:t>
      </w:r>
      <w:r>
        <w:rPr>
          <w:rStyle w:val="14"/>
          <w:rFonts w:ascii="Times New Roman" w:hAnsi="Times New Roman" w:eastAsia="方正仿宋_GBK" w:cs="黑体"/>
          <w:color w:val="auto"/>
          <w:sz w:val="32"/>
          <w:szCs w:val="32"/>
          <w:shd w:val="clear" w:color="auto" w:fill="FFFFFF"/>
        </w:rPr>
        <w:t>基本情况</w:t>
      </w:r>
    </w:p>
    <w:p>
      <w:pPr>
        <w:pStyle w:val="10"/>
        <w:keepNext w:val="0"/>
        <w:keepLines w:val="0"/>
        <w:pageBreakBefore w:val="0"/>
        <w:widowControl w:val="0"/>
        <w:shd w:val="clear" w:color="auto" w:fill="FFFFFF"/>
        <w:kinsoku/>
        <w:wordWrap/>
        <w:overflowPunct/>
        <w:topLinePunct w:val="0"/>
        <w:autoSpaceDN/>
        <w:bidi w:val="0"/>
        <w:adjustRightInd/>
        <w:spacing w:beforeAutospacing="0" w:afterAutospacing="0" w:line="600" w:lineRule="exact"/>
        <w:ind w:firstLine="420"/>
        <w:textAlignment w:val="auto"/>
        <w:rPr>
          <w:rFonts w:hint="default" w:ascii="Times New Roman" w:hAnsi="Times New Roman" w:eastAsia="方正仿宋_GBK" w:cs="方正仿宋_GBK"/>
          <w:color w:val="auto"/>
          <w:sz w:val="32"/>
          <w:szCs w:val="32"/>
        </w:rPr>
      </w:pPr>
      <w:r>
        <w:rPr>
          <w:rStyle w:val="14"/>
          <w:rFonts w:ascii="Times New Roman" w:hAnsi="Times New Roman" w:eastAsia="方正仿宋_GBK" w:cs="楷体"/>
          <w:color w:val="auto"/>
          <w:sz w:val="32"/>
          <w:szCs w:val="32"/>
          <w:shd w:val="clear" w:color="auto" w:fill="FFFFFF"/>
        </w:rPr>
        <w:t>（一）职能职责</w:t>
      </w:r>
    </w:p>
    <w:p>
      <w:pPr>
        <w:keepNext w:val="0"/>
        <w:keepLines w:val="0"/>
        <w:pageBreakBefore w:val="0"/>
        <w:widowControl w:val="0"/>
        <w:kinsoku/>
        <w:wordWrap/>
        <w:overflowPunct/>
        <w:topLinePunct w:val="0"/>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主要职能。（1）承担农业投入品使用、农业科技推广、农机推广、农产品质量服务、农业产业结构调整、农业产业化经营、林业科技推广、林业生产经营、林业资源保护、野生动植物保护、森林防火、森林病虫害防治、水资源管理和保护、水土保持、农田水利基本建设、水污染防治、防汛抗旱、扶贫开发培训、扶贫对象监测、扶贫资金和物资落实、扶贫项目实施、扶贫信息系统维护等农业农村、林业、水利、扶贫领域的事务性工作。（2）承担行政辖区内动物疫病的防疫、强制免疫、动物产品检疫等事务性工作，实施动物疫情调查、动物疫病监测、动物疫情报告和畜禽圈舍环境消毒等工作；指导饲料、饲料添加剂、兽药等投入品在养殖环节的使用；承担畜牧兽医技术、种畜禽推广工作，畜牧业生产统计等工作。</w:t>
      </w:r>
    </w:p>
    <w:p>
      <w:pPr>
        <w:pStyle w:val="10"/>
        <w:keepNext w:val="0"/>
        <w:keepLines w:val="0"/>
        <w:pageBreakBefore w:val="0"/>
        <w:widowControl w:val="0"/>
        <w:shd w:val="clear" w:color="auto" w:fill="FFFFFF"/>
        <w:kinsoku/>
        <w:wordWrap/>
        <w:overflowPunct/>
        <w:topLinePunct w:val="0"/>
        <w:autoSpaceDN/>
        <w:bidi w:val="0"/>
        <w:adjustRightInd/>
        <w:spacing w:beforeAutospacing="0" w:afterAutospacing="0" w:line="600" w:lineRule="exact"/>
        <w:ind w:firstLine="420"/>
        <w:textAlignment w:val="auto"/>
        <w:rPr>
          <w:rFonts w:hint="default" w:ascii="Times New Roman" w:hAnsi="Times New Roman" w:eastAsia="方正仿宋_GBK" w:cs="楷体"/>
          <w:color w:val="auto"/>
          <w:sz w:val="32"/>
          <w:szCs w:val="32"/>
        </w:rPr>
      </w:pPr>
      <w:r>
        <w:rPr>
          <w:rStyle w:val="14"/>
          <w:rFonts w:ascii="Times New Roman" w:hAnsi="Times New Roman" w:eastAsia="方正仿宋_GBK" w:cs="楷体"/>
          <w:color w:val="auto"/>
          <w:sz w:val="32"/>
          <w:szCs w:val="32"/>
          <w:shd w:val="clear" w:color="auto" w:fill="FFFFFF"/>
        </w:rPr>
        <w:t>（二）机构设置</w:t>
      </w:r>
    </w:p>
    <w:p>
      <w:pPr>
        <w:keepNext w:val="0"/>
        <w:keepLines w:val="0"/>
        <w:pageBreakBefore w:val="0"/>
        <w:widowControl w:val="0"/>
        <w:kinsoku/>
        <w:wordWrap/>
        <w:overflowPunct/>
        <w:topLinePunct w:val="0"/>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机构数上年度1个，本年度1个</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智凤街道</w:t>
      </w:r>
      <w:r>
        <w:rPr>
          <w:rFonts w:hint="default" w:ascii="Times New Roman" w:hAnsi="Times New Roman" w:eastAsia="方正仿宋_GBK" w:cs="Times New Roman"/>
          <w:color w:val="auto"/>
          <w:sz w:val="32"/>
          <w:szCs w:val="32"/>
        </w:rPr>
        <w:t>农业服务中心本年人数</w:t>
      </w:r>
      <w:r>
        <w:rPr>
          <w:rFonts w:hint="eastAsia"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人，上年人数</w:t>
      </w: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主要原因是</w:t>
      </w:r>
      <w:r>
        <w:rPr>
          <w:rFonts w:hint="eastAsia" w:ascii="Times New Roman" w:hAnsi="Times New Roman" w:eastAsia="方正仿宋_GBK" w:cs="Times New Roman"/>
          <w:color w:val="auto"/>
          <w:sz w:val="32"/>
          <w:szCs w:val="32"/>
          <w:lang w:eastAsia="zh-CN"/>
        </w:rPr>
        <w:t>退休</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人</w:t>
      </w:r>
      <w:r>
        <w:rPr>
          <w:rFonts w:hint="eastAsia" w:ascii="Times New Roman" w:hAnsi="Times New Roman" w:eastAsia="方正仿宋_GBK" w:cs="Times New Roman"/>
          <w:color w:val="auto"/>
          <w:sz w:val="32"/>
          <w:szCs w:val="32"/>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二、</w:t>
      </w:r>
      <w:r>
        <w:rPr>
          <w:rStyle w:val="14"/>
          <w:rFonts w:hint="eastAsia" w:ascii="Times New Roman" w:hAnsi="Times New Roman" w:eastAsia="方正仿宋_GBK" w:cs="黑体"/>
          <w:color w:val="auto"/>
          <w:sz w:val="32"/>
          <w:szCs w:val="32"/>
          <w:shd w:val="clear" w:color="auto" w:fill="FFFFFF"/>
          <w:lang w:eastAsia="zh-CN"/>
        </w:rPr>
        <w:t>单位</w:t>
      </w:r>
      <w:r>
        <w:rPr>
          <w:rStyle w:val="14"/>
          <w:rFonts w:ascii="Times New Roman" w:hAnsi="Times New Roman" w:eastAsia="方正仿宋_GBK" w:cs="黑体"/>
          <w:color w:val="auto"/>
          <w:sz w:val="32"/>
          <w:szCs w:val="32"/>
          <w:shd w:val="clear" w:color="auto" w:fill="FFFFFF"/>
        </w:rPr>
        <w:t>决算</w:t>
      </w:r>
      <w:r>
        <w:rPr>
          <w:rStyle w:val="14"/>
          <w:rFonts w:hint="eastAsia" w:ascii="Times New Roman" w:hAnsi="Times New Roman" w:eastAsia="方正仿宋_GBK" w:cs="黑体"/>
          <w:color w:val="auto"/>
          <w:sz w:val="32"/>
          <w:szCs w:val="32"/>
          <w:shd w:val="clear" w:color="auto" w:fill="FFFFFF"/>
          <w:lang w:eastAsia="zh-CN"/>
        </w:rPr>
        <w:t>收支</w:t>
      </w:r>
      <w:r>
        <w:rPr>
          <w:rStyle w:val="14"/>
          <w:rFonts w:ascii="Times New Roman" w:hAnsi="Times New Roman" w:eastAsia="方正仿宋_GBK" w:cs="黑体"/>
          <w:color w:val="auto"/>
          <w:sz w:val="32"/>
          <w:szCs w:val="32"/>
          <w:shd w:val="clear" w:color="auto" w:fill="FFFFFF"/>
        </w:rPr>
        <w:t>情况说明</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（一）收入支出决算总体情况说明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485.75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收、支与2023年度相比，增加76.09万元，增长18.6%</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人员薪资调整，商品服务费增加；其中由于预算指标调整的原因，导致本年度工资福利支出中基本工资支出增加2.3万元、绩效工资支出增加52.3万元、养老保险缴费支出新增6.2万元、职业年金支出新增3万元、医疗保险缴费支出新增1.8万元、住房公积金支出新增2.2万元。其中商品服务费中计提福利费支出新增5.7万元。</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14"/>
          <w:rFonts w:hint="eastAsia" w:ascii="Times New Roman" w:hAnsi="Times New Roman" w:eastAsia="方正仿宋_GBK"/>
          <w:color w:val="auto"/>
          <w:sz w:val="32"/>
          <w:szCs w:val="32"/>
          <w:shd w:val="clear" w:color="auto" w:fill="FFFFFF"/>
          <w:lang w:val="en-US" w:eastAsia="zh-CN"/>
        </w:rPr>
        <w:t>1</w:t>
      </w:r>
      <w:r>
        <w:rPr>
          <w:rStyle w:val="14"/>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485.75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与2023年度相比，增加76.09万元，增长18.6%</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人员薪资调整，商品服务费增加；其中由于预算指标调整的原因，导致本年度工资福利支出中基本工资支出增加2.3万元、绩效工资支出增加52.3万元、养老保险缴费支出新增6.2万元、职业年金支出新增3万元、医疗保险缴费支出新增1.8万元、住房公积金支出新增2.2万元。其中商品服务费中计提福利费支出新增5.7万元。</w:t>
      </w:r>
      <w:r>
        <w:rPr>
          <w:rFonts w:ascii="Times New Roman" w:hAnsi="Times New Roman"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485.75</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；事业收入</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；经营收入</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；其他收入</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，年初结转和结余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14"/>
          <w:rFonts w:hint="eastAsia" w:ascii="Times New Roman" w:hAnsi="Times New Roman" w:eastAsia="方正仿宋_GBK"/>
          <w:color w:val="auto"/>
          <w:sz w:val="32"/>
          <w:szCs w:val="32"/>
          <w:shd w:val="clear" w:color="auto" w:fill="FFFFFF"/>
          <w:lang w:val="en-US" w:eastAsia="zh-CN"/>
        </w:rPr>
        <w:t>2</w:t>
      </w:r>
      <w:r>
        <w:rPr>
          <w:rStyle w:val="14"/>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485.75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与2023年度相比，增加76.09万元，增长18.6%</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人员薪资调整，商品服务费增加；其中由于预算指标调整的原因，导致本年度工资福利支出中基本工资支出增加2.3万元、绩效工资支出增加52.3万元、养老保险缴费支出新增6.2万元、职业年金支出新增3万元、医疗保险缴费支出新增1.8万元、住房公积金支出新增2.2万元。其中商品服务费中计提福利费支出新增5.7万元。</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485.75</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；项目支出</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；经营支出</w:t>
      </w:r>
      <w:r>
        <w:rPr>
          <w:rFonts w:hint="eastAsia" w:ascii="Times New Roman" w:hAnsi="Times New Roman" w:eastAsia="方正仿宋_GBK"/>
          <w:color w:val="auto"/>
          <w:sz w:val="32"/>
          <w:szCs w:val="32"/>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color w:val="auto"/>
          <w:sz w:val="32"/>
          <w:szCs w:val="32"/>
          <w:lang w:eastAsia="zh-CN"/>
        </w:rPr>
      </w:pPr>
      <w:r>
        <w:rPr>
          <w:rStyle w:val="14"/>
          <w:rFonts w:hint="eastAsia" w:ascii="Times New Roman" w:hAnsi="Times New Roman" w:eastAsia="方正仿宋_GBK"/>
          <w:color w:val="auto"/>
          <w:sz w:val="32"/>
          <w:szCs w:val="32"/>
          <w:shd w:val="clear" w:color="auto" w:fill="FFFFFF"/>
          <w:lang w:val="en-US" w:eastAsia="zh-CN"/>
        </w:rPr>
        <w:t>3</w:t>
      </w:r>
      <w:r>
        <w:rPr>
          <w:rStyle w:val="14"/>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（二）财政拨款收入支出决算总体情况说明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485.75</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财政拨款收、支总计各增加76.09万元，增长18.6%</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人员薪资调整，商品服务费增加；其中由于预算指标调整的原因，导致本年度工资福利支出中基本工资支出增加2.3万元、绩效工资支出增加52.3万元、养老保险缴费支出新增6.2万元、职业年金支出新增3万元、医疗保险缴费支出新增1.8万元、住房公积金支出新增2.2万元。其中商品服务费中计提福利费支出新增5.7万元。</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（三）一般公共预算财政拨款收入支出决算情况说明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color w:val="auto"/>
          <w:sz w:val="32"/>
          <w:szCs w:val="32"/>
        </w:rPr>
      </w:pPr>
      <w:r>
        <w:rPr>
          <w:rStyle w:val="14"/>
          <w:rFonts w:hint="default" w:ascii="Times New Roman" w:hAnsi="Times New Roman" w:eastAsia="方正仿宋_GBK"/>
          <w:color w:val="auto"/>
          <w:sz w:val="32"/>
          <w:szCs w:val="32"/>
          <w:shd w:val="clear" w:color="auto" w:fill="FFFFFF"/>
        </w:rPr>
        <w:t>1</w:t>
      </w:r>
      <w:r>
        <w:rPr>
          <w:rStyle w:val="14"/>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485.75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与2023年度相比，增加76.09万元，增长18.6%</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人员薪资调整，商品服务费增加；其中由于预算指标调整的原因，导致本年度工资福利支出中基本工资支出增加2.3万元、绩效工资支出增加52.3万元、养老保险缴费支出新增6.2万元、职业年金支出新增3万元、医疗保险缴费支出新增1.8万元、住房公积金支出新增2.2万元。其中商品服务费中计提福利费支出新增5.7万元。</w:t>
      </w:r>
      <w:r>
        <w:rPr>
          <w:rFonts w:hint="default" w:ascii="Times New Roman" w:hAnsi="Times New Roman" w:eastAsia="方正仿宋_GBK"/>
          <w:color w:val="auto"/>
          <w:sz w:val="32"/>
          <w:szCs w:val="32"/>
          <w:shd w:val="clear" w:color="auto" w:fill="FFFFFF"/>
        </w:rPr>
        <w:t>较年初预算数增加30.40万元，增长6.7%</w:t>
      </w:r>
      <w:r>
        <w:rPr>
          <w:rFonts w:hint="eastAsia" w:ascii="Times New Roman" w:hAnsi="Times New Roman" w:eastAsia="方正仿宋_GBK" w:cs="方正仿宋_GBK"/>
          <w:color w:val="auto"/>
          <w:sz w:val="32"/>
          <w:szCs w:val="32"/>
          <w:shd w:val="clear" w:color="auto" w:fill="FFFFFF"/>
        </w:rPr>
        <w:t>主要原因是人员薪资调整，商品服务费增加；其中由于预算指标调整的原因，导致本年度工资福利支出中基本工资支出增加2.3万元、绩效工资支出增加52.3万元、养老保险缴费支出新增6.2万元、职业年金支出新增3万元、医疗保险缴费支出新增1.8万元、住房公积金支出新增2.2万元。其中商品服务费中计提福利费支出新增5.7万元。</w:t>
      </w:r>
      <w:r>
        <w:rPr>
          <w:rFonts w:ascii="Times New Roman" w:hAnsi="Times New Roman" w:eastAsia="方正仿宋_GBK" w:cs="方正仿宋_GBK"/>
          <w:color w:val="auto"/>
          <w:sz w:val="32"/>
          <w:szCs w:val="32"/>
          <w:shd w:val="clear" w:color="auto" w:fill="FFFFFF"/>
        </w:rPr>
        <w:t>此外，年初财政拨款结转和结余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ascii="Times New Roman" w:hAnsi="Times New Roman" w:eastAsia="方正仿宋_GBK" w:cs="方正仿宋_GBK"/>
          <w:color w:val="auto"/>
          <w:sz w:val="32"/>
          <w:szCs w:val="32"/>
          <w:shd w:val="clear" w:color="auto" w:fill="FFFFFF"/>
        </w:rPr>
      </w:pPr>
      <w:r>
        <w:rPr>
          <w:rStyle w:val="14"/>
          <w:rFonts w:hint="default" w:ascii="Times New Roman" w:hAnsi="Times New Roman" w:eastAsia="方正仿宋_GBK"/>
          <w:color w:val="auto"/>
          <w:sz w:val="32"/>
          <w:szCs w:val="32"/>
          <w:shd w:val="clear" w:color="auto" w:fill="FFFFFF"/>
        </w:rPr>
        <w:t>2</w:t>
      </w:r>
      <w:r>
        <w:rPr>
          <w:rStyle w:val="14"/>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485.75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与2023年度相比，增加76.09万元，增长18.6%</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人员薪资调整，商品服务费增加；其中由于预算指标调整的原因，导致本年度工资福利支出中基本工资支出增加2.3万元、绩效工资支出增加52.3万元、养老保险缴费支出新增6.2万元、职业年金支出新增3万元、医疗保险缴费支出新增1.8万元、住房公积金支出新增2.2万元。其中商品服务费中计提福利费支出新增5.7万元。</w:t>
      </w:r>
      <w:r>
        <w:rPr>
          <w:rFonts w:hint="default" w:ascii="Times New Roman" w:hAnsi="Times New Roman" w:eastAsia="方正仿宋_GBK"/>
          <w:color w:val="auto"/>
          <w:sz w:val="32"/>
          <w:szCs w:val="32"/>
          <w:shd w:val="clear" w:color="auto" w:fill="FFFFFF"/>
        </w:rPr>
        <w:t>较年初预算数增加30.40万元，增长6.7%</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人员薪资调整，商品服务费增加；其中由于预算指标调整的原因，导致本年度工资福利支出中基本工资支出增加2.3万元、绩效工资支出增加52.3万元、养老保险缴费支出新增6.2万元、职业年金支出新增3万元、医疗保险缴费支出新增1.8万元、住房公积金支出新增2.2万元。其中商品服务费中计提福利费支出新增5.7万元。</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55.67</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11.5%</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较年初预算数增加5.08万元，增长10.0%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按规定发放职工养老保险及职业年金支出。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24.66</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5.1%</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按规定发放职工基本医疗保险缴费支出。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380.43</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78.3%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较年初预算数增加25.32万元，增长7.1%</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主要原因是人员薪资调整，商品服务费增加。</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24.98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5.1%</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按规定发放职工住房公积金支出。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Style w:val="14"/>
          <w:rFonts w:hint="default" w:ascii="Times New Roman" w:hAnsi="Times New Roman" w:eastAsia="方正仿宋_GBK"/>
          <w:color w:val="auto"/>
          <w:sz w:val="32"/>
          <w:szCs w:val="32"/>
          <w:shd w:val="clear" w:color="auto" w:fill="FFFFFF"/>
        </w:rPr>
        <w:t>3</w:t>
      </w:r>
      <w:r>
        <w:rPr>
          <w:rStyle w:val="14"/>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（四）一般公共预算财政拨款基本支出决算情况说明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485.75</w:t>
      </w:r>
      <w:r>
        <w:rPr>
          <w:rFonts w:ascii="Times New Roman" w:hAnsi="Times New Roman" w:eastAsia="方正仿宋_GBK" w:cs="方正仿宋_GBK"/>
          <w:color w:val="auto"/>
          <w:sz w:val="32"/>
          <w:szCs w:val="32"/>
          <w:shd w:val="clear" w:color="auto" w:fill="FFFFFF"/>
        </w:rPr>
        <w:t>万元。</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467.97</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与2023年度相比，增加70.04万元，增长17.6%</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人员薪资调整；其中由于预算指标调整的原因，导致本年度工资福利支出中基本工资支出增加2.3万元、绩效工资支出增加52.3万元、养老保险缴费支出新增6.2万元、职业年金支出新增3万元、医疗保险缴费支出新增1.8万元、住房公积金支出新增2.2万元。人员经费用途主要包括</w:t>
      </w:r>
      <w:r>
        <w:rPr>
          <w:rFonts w:hint="eastAsia" w:ascii="Times New Roman" w:hAnsi="Times New Roman" w:eastAsia="方正仿宋_GBK" w:cs="方正仿宋_GBK"/>
          <w:color w:val="auto"/>
          <w:sz w:val="32"/>
          <w:szCs w:val="32"/>
          <w:shd w:val="clear" w:color="auto" w:fill="FFFFFF"/>
          <w:lang w:val="en-US" w:eastAsia="zh-CN"/>
        </w:rPr>
        <w:t>在职事业人员工资、绩效、社保等福利待遇支出。</w:t>
      </w: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17.78</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与2023年度相比，增加6.04万元，增长51.5%</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主要原因是商品服务费增加</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其中商品服务费中计提福利费支出新增5.7万元。</w:t>
      </w:r>
      <w:r>
        <w:rPr>
          <w:rFonts w:ascii="Times New Roman" w:hAnsi="Times New Roman" w:eastAsia="方正仿宋_GBK" w:cs="方正仿宋_GBK"/>
          <w:color w:val="auto"/>
          <w:sz w:val="32"/>
          <w:szCs w:val="32"/>
          <w:shd w:val="clear" w:color="auto" w:fill="FFFFFF"/>
        </w:rPr>
        <w:t>公用经费用途主要包括</w:t>
      </w:r>
      <w:r>
        <w:rPr>
          <w:rFonts w:hint="eastAsia" w:ascii="Times New Roman" w:hAnsi="Times New Roman" w:eastAsia="方正仿宋_GBK" w:cs="方正仿宋_GBK"/>
          <w:color w:val="auto"/>
          <w:sz w:val="32"/>
          <w:szCs w:val="32"/>
          <w:shd w:val="clear" w:color="auto" w:fill="FFFFFF"/>
          <w:lang w:val="en-US" w:eastAsia="zh-CN"/>
        </w:rPr>
        <w:t>日常办公经费、差旅费、水费、电费、邮电费、劳务费等正常运行支出。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（五）政府性基金预算收支决算情况说明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本部门2024年度无政府性基金预算财政拨款收支。</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（六）国有资本经营预算财政拨款支出决算情况说明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本部门2024年度无国有资本经营预算财政拨款支出。</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三、</w:t>
      </w:r>
      <w:r>
        <w:rPr>
          <w:rStyle w:val="14"/>
          <w:rFonts w:hint="eastAsia" w:ascii="Times New Roman" w:hAnsi="Times New Roman" w:eastAsia="方正仿宋_GBK" w:cs="黑体"/>
          <w:color w:val="auto"/>
          <w:sz w:val="32"/>
          <w:szCs w:val="32"/>
          <w:shd w:val="clear" w:color="auto" w:fill="FFFFFF"/>
          <w:lang w:eastAsia="zh-CN"/>
        </w:rPr>
        <w:t>财政拨款</w:t>
      </w:r>
      <w:r>
        <w:rPr>
          <w:rStyle w:val="14"/>
          <w:rFonts w:ascii="Times New Roman" w:hAnsi="Times New Roman" w:eastAsia="方正仿宋_GBK" w:cs="黑体"/>
          <w:color w:val="auto"/>
          <w:sz w:val="32"/>
          <w:szCs w:val="32"/>
          <w:shd w:val="clear" w:color="auto" w:fill="FFFFFF"/>
        </w:rPr>
        <w:t>“三公”经费情况说明</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（一）“三公”经费支出总体情况说明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0.30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较年初预算数减少8.50万元，下降96.6%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按相关规定压缩</w:t>
      </w:r>
      <w:r>
        <w:rPr>
          <w:rFonts w:ascii="Times New Roman" w:hAnsi="Times New Roman" w:eastAsia="方正仿宋_GBK" w:cs="方正仿宋_GBK"/>
          <w:color w:val="auto"/>
          <w:sz w:val="32"/>
          <w:szCs w:val="32"/>
          <w:shd w:val="clear" w:color="auto" w:fill="FFFFFF"/>
        </w:rPr>
        <w:t>“三公”</w:t>
      </w:r>
      <w:r>
        <w:rPr>
          <w:rFonts w:hint="eastAsia" w:ascii="Times New Roman" w:hAnsi="Times New Roman" w:eastAsia="方正仿宋_GBK" w:cs="方正仿宋_GBK"/>
          <w:color w:val="auto"/>
          <w:sz w:val="32"/>
          <w:szCs w:val="32"/>
          <w:shd w:val="clear" w:color="auto" w:fill="FFFFFF"/>
          <w:lang w:val="en-US" w:eastAsia="zh-CN"/>
        </w:rPr>
        <w:t>经费支出。</w:t>
      </w:r>
      <w:r>
        <w:rPr>
          <w:rFonts w:hint="default" w:ascii="Times New Roman" w:hAnsi="Times New Roman" w:eastAsia="方正仿宋_GBK"/>
          <w:color w:val="auto"/>
          <w:sz w:val="32"/>
          <w:szCs w:val="32"/>
          <w:shd w:val="clear" w:color="auto" w:fill="FFFFFF"/>
        </w:rPr>
        <w:t>较上年支出数减少0.01万元，下降3.2%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按相关规定严控</w:t>
      </w:r>
      <w:r>
        <w:rPr>
          <w:rFonts w:ascii="Times New Roman" w:hAnsi="Times New Roman" w:eastAsia="方正仿宋_GBK" w:cs="方正仿宋_GBK"/>
          <w:color w:val="auto"/>
          <w:sz w:val="32"/>
          <w:szCs w:val="32"/>
          <w:shd w:val="clear" w:color="auto" w:fill="FFFFFF"/>
        </w:rPr>
        <w:t>“三公”</w:t>
      </w:r>
      <w:r>
        <w:rPr>
          <w:rFonts w:hint="eastAsia" w:ascii="Times New Roman" w:hAnsi="Times New Roman" w:eastAsia="方正仿宋_GBK" w:cs="方正仿宋_GBK"/>
          <w:color w:val="auto"/>
          <w:sz w:val="32"/>
          <w:szCs w:val="32"/>
          <w:shd w:val="clear" w:color="auto" w:fill="FFFFFF"/>
          <w:lang w:val="en-US" w:eastAsia="zh-CN"/>
        </w:rPr>
        <w:t>经费支出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（二）“三公”经费分项支出情况</w:t>
      </w:r>
    </w:p>
    <w:p>
      <w:pPr>
        <w:keepNext w:val="0"/>
        <w:keepLines w:val="0"/>
        <w:pageBreakBefore w:val="0"/>
        <w:widowControl w:val="0"/>
        <w:suppressLineNumbers w:val="0"/>
        <w:kinsoku/>
        <w:wordWrap/>
        <w:overflowPunct/>
        <w:topLinePunct w:val="0"/>
        <w:autoSpaceDN/>
        <w:bidi w:val="0"/>
        <w:adjustRightInd/>
        <w:spacing w:beforeAutospacing="0" w:afterAutospacing="0" w:line="600" w:lineRule="exact"/>
        <w:ind w:firstLine="620" w:firstLineChars="200"/>
        <w:jc w:val="left"/>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年度本单位未发生因公出国（境）费用。</w:t>
      </w:r>
    </w:p>
    <w:p>
      <w:pPr>
        <w:keepNext w:val="0"/>
        <w:keepLines w:val="0"/>
        <w:pageBreakBefore w:val="0"/>
        <w:widowControl w:val="0"/>
        <w:suppressLineNumbers w:val="0"/>
        <w:kinsoku/>
        <w:wordWrap/>
        <w:overflowPunct/>
        <w:topLinePunct w:val="0"/>
        <w:autoSpaceDN/>
        <w:bidi w:val="0"/>
        <w:adjustRightInd/>
        <w:spacing w:beforeAutospacing="0" w:afterAutospacing="0" w:line="600" w:lineRule="exact"/>
        <w:ind w:firstLine="620" w:firstLineChars="200"/>
        <w:jc w:val="left"/>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年度本单位未发生公务车购置费。</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2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w:t>
      </w:r>
      <w:r>
        <w:rPr>
          <w:rFonts w:ascii="Times New Roman" w:hAnsi="Times New Roman" w:eastAsia="方正仿宋_GBK" w:cs="方正仿宋_GBK"/>
          <w:color w:val="auto"/>
          <w:sz w:val="32"/>
          <w:szCs w:val="32"/>
          <w:shd w:val="clear" w:color="auto" w:fill="FFFFFF"/>
        </w:rPr>
        <w:t>公务车运行维护费</w:t>
      </w:r>
      <w:r>
        <w:rPr>
          <w:rFonts w:hint="eastAsia" w:ascii="Times New Roman" w:hAnsi="Times New Roman" w:eastAsia="方正仿宋_GBK" w:cs="方正仿宋_GBK"/>
          <w:color w:val="auto"/>
          <w:sz w:val="32"/>
          <w:szCs w:val="32"/>
          <w:shd w:val="clear" w:color="auto" w:fill="FFFFFF"/>
          <w:lang w:eastAsia="zh-CN"/>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0.30</w:t>
      </w:r>
      <w:r>
        <w:rPr>
          <w:rFonts w:ascii="Times New Roman" w:hAnsi="Times New Roman" w:eastAsia="方正仿宋_GBK" w:cs="方正仿宋_GBK"/>
          <w:color w:val="auto"/>
          <w:sz w:val="32"/>
          <w:szCs w:val="32"/>
          <w:shd w:val="clear" w:color="auto" w:fill="FFFFFF"/>
        </w:rPr>
        <w:t>万元，主要用于接待</w:t>
      </w:r>
      <w:r>
        <w:rPr>
          <w:rFonts w:hint="eastAsia" w:ascii="Times New Roman" w:hAnsi="Times New Roman" w:eastAsia="方正仿宋_GBK" w:cs="方正仿宋_GBK"/>
          <w:color w:val="auto"/>
          <w:sz w:val="32"/>
          <w:szCs w:val="32"/>
          <w:shd w:val="clear" w:color="auto" w:fill="FFFFFF"/>
          <w:lang w:val="en-US" w:eastAsia="zh-CN"/>
        </w:rPr>
        <w:t>接待各部门检查、工作会议等工作用餐及职工加班餐。</w:t>
      </w:r>
      <w:r>
        <w:rPr>
          <w:rFonts w:ascii="Times New Roman" w:hAnsi="Times New Roman"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较年初预算数减少4.50万元，下降93.8%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按相关规定压缩</w:t>
      </w:r>
      <w:r>
        <w:rPr>
          <w:rFonts w:ascii="Times New Roman" w:hAnsi="Times New Roman" w:eastAsia="方正仿宋_GBK" w:cs="方正仿宋_GBK"/>
          <w:color w:val="auto"/>
          <w:sz w:val="32"/>
          <w:szCs w:val="32"/>
          <w:shd w:val="clear" w:color="auto" w:fill="FFFFFF"/>
        </w:rPr>
        <w:t>公务接待费</w:t>
      </w:r>
      <w:r>
        <w:rPr>
          <w:rFonts w:hint="eastAsia" w:ascii="Times New Roman" w:hAnsi="Times New Roman" w:eastAsia="方正仿宋_GBK" w:cs="方正仿宋_GBK"/>
          <w:color w:val="auto"/>
          <w:sz w:val="32"/>
          <w:szCs w:val="32"/>
          <w:shd w:val="clear" w:color="auto" w:fill="FFFFFF"/>
          <w:lang w:val="en-US" w:eastAsia="zh-CN"/>
        </w:rPr>
        <w:t>支出。</w:t>
      </w:r>
      <w:r>
        <w:rPr>
          <w:rFonts w:hint="default" w:ascii="Times New Roman" w:hAnsi="Times New Roman" w:eastAsia="方正仿宋_GBK"/>
          <w:color w:val="auto"/>
          <w:sz w:val="32"/>
          <w:szCs w:val="32"/>
          <w:shd w:val="clear" w:color="auto" w:fill="FFFFFF"/>
        </w:rPr>
        <w:t>较上年支出数减少0.01万元，下降3.2%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按相关规定严控</w:t>
      </w:r>
      <w:r>
        <w:rPr>
          <w:rFonts w:ascii="Times New Roman" w:hAnsi="Times New Roman" w:eastAsia="方正仿宋_GBK" w:cs="方正仿宋_GBK"/>
          <w:color w:val="auto"/>
          <w:sz w:val="32"/>
          <w:szCs w:val="32"/>
          <w:shd w:val="clear" w:color="auto" w:fill="FFFFFF"/>
        </w:rPr>
        <w:t>公务接待费</w:t>
      </w:r>
      <w:r>
        <w:rPr>
          <w:rFonts w:hint="eastAsia" w:ascii="Times New Roman" w:hAnsi="Times New Roman" w:eastAsia="方正仿宋_GBK" w:cs="方正仿宋_GBK"/>
          <w:color w:val="auto"/>
          <w:sz w:val="32"/>
          <w:szCs w:val="32"/>
          <w:shd w:val="clear" w:color="auto" w:fill="FFFFFF"/>
          <w:lang w:val="en-US" w:eastAsia="zh-CN"/>
        </w:rPr>
        <w:t>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（三）“三公”经费实物量情况</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15</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80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38.06</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四、其他需要说明的事项</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Times New Roman" w:hAnsi="Times New Roman" w:eastAsia="方正仿宋_GBK" w:cs="楷体"/>
          <w:b/>
          <w:bCs/>
          <w:color w:val="auto"/>
          <w:sz w:val="32"/>
          <w:szCs w:val="32"/>
          <w:shd w:val="clear" w:color="auto" w:fill="FFFFFF"/>
        </w:rPr>
      </w:pPr>
      <w:r>
        <w:rPr>
          <w:rFonts w:ascii="Times New Roman" w:hAnsi="Times New Roman" w:eastAsia="方正仿宋_GBK" w:cs="楷体"/>
          <w:b/>
          <w:bCs/>
          <w:color w:val="auto"/>
          <w:sz w:val="32"/>
          <w:szCs w:val="32"/>
          <w:shd w:val="clear" w:color="auto" w:fill="FFFFFF"/>
        </w:rPr>
        <w:t>（一）财政拨款会议费、培训费和差旅费情况说明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shd w:val="clear" w:color="auto" w:fill="FFFFFF"/>
          <w:lang w:val="en-US" w:eastAsia="zh-CN"/>
        </w:rPr>
        <w:t>本单位2024年度无</w:t>
      </w:r>
      <w:r>
        <w:rPr>
          <w:rFonts w:ascii="Times New Roman" w:hAnsi="Times New Roman" w:eastAsia="方正仿宋_GBK" w:cs="方正仿宋_GBK"/>
          <w:color w:val="auto"/>
          <w:sz w:val="32"/>
          <w:szCs w:val="32"/>
          <w:shd w:val="clear" w:color="auto" w:fill="FFFFFF"/>
        </w:rPr>
        <w:t>会议费</w:t>
      </w:r>
      <w:r>
        <w:rPr>
          <w:rFonts w:hint="eastAsia" w:ascii="Times New Roman" w:hAnsi="Times New Roman" w:eastAsia="方正仿宋_GBK" w:cs="方正仿宋_GBK"/>
          <w:color w:val="auto"/>
          <w:sz w:val="32"/>
          <w:szCs w:val="32"/>
          <w:shd w:val="clear" w:color="auto" w:fill="FFFFFF"/>
          <w:lang w:eastAsia="zh-CN"/>
        </w:rPr>
        <w:t>和培训费</w:t>
      </w:r>
      <w:r>
        <w:rPr>
          <w:rFonts w:ascii="Times New Roman" w:hAnsi="Times New Roman" w:eastAsia="方正仿宋_GBK" w:cs="方正仿宋_GBK"/>
          <w:color w:val="auto"/>
          <w:sz w:val="32"/>
          <w:szCs w:val="32"/>
          <w:shd w:val="clear" w:color="auto" w:fill="FFFFFF"/>
        </w:rPr>
        <w:t>支出</w:t>
      </w:r>
      <w:r>
        <w:rPr>
          <w:rFonts w:hint="eastAsia" w:ascii="Times New Roman" w:hAnsi="Times New Roman" w:eastAsia="方正仿宋_GBK" w:cs="方正仿宋_GBK"/>
          <w:color w:val="auto"/>
          <w:sz w:val="32"/>
          <w:szCs w:val="32"/>
          <w:shd w:val="clear" w:color="auto" w:fill="FFFFFF"/>
          <w:lang w:val="en-US" w:eastAsia="zh-CN"/>
        </w:rPr>
        <w:t>。</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0.39</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与2023年度相比，减少0.94万元，下降70.7%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严格落实差旅报销实报实销政策。</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（二）机关运行经费情况说明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rPr>
      </w:pPr>
      <w:r>
        <w:rPr>
          <w:rFonts w:hint="default" w:ascii="Times New Roman" w:hAnsi="Times New Roman" w:eastAsia="方正仿宋_GBK" w:cs="方正仿宋_GBK"/>
          <w:color w:val="auto"/>
          <w:sz w:val="32"/>
          <w:szCs w:val="32"/>
          <w:shd w:val="clear" w:color="auto" w:fill="FFFFFF"/>
          <w:lang w:val="en-US" w:eastAsia="zh-CN"/>
        </w:rPr>
        <w:t>按照部门决算列报口径，我单位不在机关运行经费统计范围之内</w:t>
      </w:r>
      <w:r>
        <w:rPr>
          <w:rFonts w:hint="eastAsia" w:ascii="Times New Roman" w:hAnsi="Times New Roman" w:eastAsia="方正仿宋_GBK" w:cs="方正仿宋_GBK"/>
          <w:color w:val="auto"/>
          <w:sz w:val="32"/>
          <w:szCs w:val="32"/>
          <w:shd w:val="clear" w:color="auto" w:fill="FFFFFF"/>
          <w:lang w:val="en-US"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（三）国有资产占用情况说明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（四）政府采购支出情况说明</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2024年度我部门未发生政府采购事项，无相关经费支出。</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eastAsia" w:ascii="Times New Roman" w:hAnsi="Times New Roman" w:eastAsia="方正仿宋_GBK" w:cs="黑体"/>
          <w:color w:val="auto"/>
          <w:sz w:val="32"/>
          <w:szCs w:val="32"/>
          <w:shd w:val="clear" w:color="auto" w:fill="FFFFFF"/>
          <w:lang w:val="en-US" w:eastAsia="zh-CN" w:bidi="ar-SA"/>
        </w:rPr>
      </w:pPr>
      <w:r>
        <w:rPr>
          <w:rStyle w:val="14"/>
          <w:rFonts w:hint="eastAsia" w:ascii="Times New Roman" w:hAnsi="Times New Roman" w:eastAsia="方正仿宋_GBK" w:cs="黑体"/>
          <w:color w:val="auto"/>
          <w:sz w:val="32"/>
          <w:szCs w:val="32"/>
          <w:shd w:val="clear" w:color="auto" w:fill="FFFFFF"/>
          <w:lang w:val="en-US" w:eastAsia="zh-CN" w:bidi="ar-SA"/>
        </w:rPr>
        <w:t>五、2024年度预算绩效管理情况说明</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（一）单位自评情况</w:t>
      </w:r>
    </w:p>
    <w:p>
      <w:pPr>
        <w:pStyle w:val="16"/>
        <w:keepNext w:val="0"/>
        <w:keepLines w:val="0"/>
        <w:pageBreakBefore w:val="0"/>
        <w:widowControl w:val="0"/>
        <w:kinsoku/>
        <w:wordWrap/>
        <w:overflowPunct/>
        <w:topLinePunct w:val="0"/>
        <w:autoSpaceDE w:val="0"/>
        <w:autoSpaceDN/>
        <w:bidi w:val="0"/>
        <w:adjustRightInd/>
        <w:spacing w:before="0"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我单位无财政拨款项目支出。</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（二）单位绩效评价情况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（三）财政绩效评价情况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hint="eastAsia" w:ascii="Times New Roman" w:hAnsi="Times New Roman" w:eastAsia="方正仿宋_GBK" w:cs="方正仿宋_GBK"/>
          <w:color w:val="auto"/>
          <w:kern w:val="0"/>
          <w:sz w:val="32"/>
          <w:szCs w:val="32"/>
          <w:shd w:val="clear" w:fill="FFFFFF"/>
        </w:rPr>
      </w:pPr>
      <w:r>
        <w:rPr>
          <w:rFonts w:hint="eastAsia" w:ascii="Times New Roman" w:hAnsi="Times New Roman" w:eastAsia="方正仿宋_GBK" w:cs="方正仿宋_GBK"/>
          <w:color w:val="auto"/>
          <w:sz w:val="32"/>
          <w:szCs w:val="32"/>
          <w:shd w:val="clear" w:color="auto" w:fill="FFFFFF"/>
          <w:lang w:val="en-US" w:eastAsia="zh-CN" w:bidi="ar-SA"/>
        </w:rPr>
        <w:t>区财政局未委托第三方对我单位开展绩效评价。</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textAlignment w:val="auto"/>
        <w:rPr>
          <w:rFonts w:hint="eastAsia" w:ascii="Times New Roman" w:hAnsi="Times New Roman" w:eastAsia="方正仿宋_GBK" w:cs="方正仿宋_GBK"/>
          <w:color w:val="auto"/>
          <w:kern w:val="0"/>
          <w:sz w:val="32"/>
          <w:szCs w:val="32"/>
        </w:rPr>
      </w:pPr>
      <w:r>
        <w:rPr>
          <w:rStyle w:val="17"/>
          <w:rFonts w:hint="eastAsia" w:ascii="Times New Roman" w:hAnsi="Times New Roman" w:eastAsia="方正仿宋_GBK" w:cs="方正仿宋_GBK"/>
          <w:b/>
          <w:bCs/>
          <w:color w:val="auto"/>
          <w:sz w:val="32"/>
          <w:szCs w:val="32"/>
          <w:shd w:val="clear" w:fill="FFFFFF"/>
        </w:rPr>
        <w:t xml:space="preserve"> </w:t>
      </w:r>
      <w:r>
        <w:rPr>
          <w:rStyle w:val="17"/>
          <w:rFonts w:hint="eastAsia" w:ascii="Times New Roman" w:hAnsi="Times New Roman" w:eastAsia="方正仿宋_GBK" w:cs="方正仿宋_GBK"/>
          <w:b/>
          <w:bCs/>
          <w:color w:val="auto"/>
          <w:sz w:val="32"/>
          <w:szCs w:val="32"/>
          <w:shd w:val="clear" w:fill="FFFFFF"/>
          <w:lang w:val="en-US" w:eastAsia="zh-CN"/>
        </w:rPr>
        <w:t xml:space="preserve">  </w:t>
      </w:r>
      <w:r>
        <w:rPr>
          <w:rStyle w:val="14"/>
          <w:rFonts w:hint="eastAsia" w:ascii="Times New Roman" w:hAnsi="Times New Roman" w:eastAsia="方正仿宋_GBK" w:cs="黑体"/>
          <w:color w:val="auto"/>
          <w:sz w:val="32"/>
          <w:szCs w:val="32"/>
          <w:shd w:val="clear" w:color="auto" w:fill="FFFFFF"/>
          <w:lang w:val="en-US" w:eastAsia="zh-CN" w:bidi="ar-SA"/>
        </w:rPr>
        <w:t xml:space="preserve"> 六、专业名词解释</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（一）财政拨款收入：</w:t>
      </w:r>
      <w:r>
        <w:rPr>
          <w:rFonts w:hint="eastAsia" w:ascii="Times New Roman" w:hAnsi="Times New Roman" w:eastAsia="方正仿宋_GBK" w:cs="方正仿宋_GBK"/>
          <w:color w:val="auto"/>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（二）事业收入：</w:t>
      </w:r>
      <w:r>
        <w:rPr>
          <w:rFonts w:hint="eastAsia" w:ascii="Times New Roman" w:hAnsi="Times New Roman"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（三）经营收入：</w:t>
      </w:r>
      <w:r>
        <w:rPr>
          <w:rFonts w:hint="eastAsia" w:ascii="Times New Roman" w:hAnsi="Times New Roman" w:eastAsia="方正仿宋_GBK" w:cs="方正仿宋_GBK"/>
          <w:color w:val="auto"/>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（四）其他收入：</w:t>
      </w:r>
      <w:r>
        <w:rPr>
          <w:rFonts w:hint="eastAsia" w:ascii="Times New Roman" w:hAnsi="Times New Roman"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（六）年初结转和结余：</w:t>
      </w:r>
      <w:r>
        <w:rPr>
          <w:rFonts w:hint="eastAsia" w:ascii="Times New Roman" w:hAnsi="Times New Roman" w:eastAsia="方正仿宋_GBK" w:cs="方正仿宋_GBK"/>
          <w:color w:val="auto"/>
          <w:kern w:val="0"/>
          <w:sz w:val="32"/>
          <w:szCs w:val="32"/>
          <w:shd w:val="clear" w:fill="FFFFFF"/>
        </w:rPr>
        <w:t>指单位上年结转本年使用的基本支出结转、项目支出结转和结余、经营结余。</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（七）结余分配：</w:t>
      </w:r>
      <w:r>
        <w:rPr>
          <w:rFonts w:hint="eastAsia" w:ascii="Times New Roman" w:hAnsi="Times New Roman"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（八）年末结转和结余：</w:t>
      </w:r>
      <w:r>
        <w:rPr>
          <w:rFonts w:hint="eastAsia" w:ascii="Times New Roman" w:hAnsi="Times New Roman" w:eastAsia="方正仿宋_GBK" w:cs="方正仿宋_GBK"/>
          <w:color w:val="auto"/>
          <w:kern w:val="0"/>
          <w:sz w:val="32"/>
          <w:szCs w:val="32"/>
          <w:shd w:val="clear" w:fill="FFFFFF"/>
        </w:rPr>
        <w:t>指单位结转下年的基本支出结转、项目支出结转和结余、经营结余。</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（九）基本支出：</w:t>
      </w:r>
      <w:r>
        <w:rPr>
          <w:rFonts w:hint="eastAsia" w:ascii="Times New Roman" w:hAnsi="Times New Roman"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（十）项目支出：</w:t>
      </w:r>
      <w:r>
        <w:rPr>
          <w:rFonts w:hint="eastAsia" w:ascii="Times New Roman" w:hAnsi="Times New Roman" w:eastAsia="方正仿宋_GBK" w:cs="方正仿宋_GBK"/>
          <w:color w:val="auto"/>
          <w:kern w:val="0"/>
          <w:sz w:val="32"/>
          <w:szCs w:val="32"/>
          <w:shd w:val="clear" w:fill="FFFFFF"/>
        </w:rPr>
        <w:t>指在基本支出之外为完成特定行政任务和事业发展目标所发生的支出。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（十一）经营支出：</w:t>
      </w:r>
      <w:r>
        <w:rPr>
          <w:rFonts w:hint="eastAsia" w:ascii="Times New Roman" w:hAnsi="Times New Roman" w:eastAsia="方正仿宋_GBK" w:cs="方正仿宋_GBK"/>
          <w:color w:val="auto"/>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（十二）“三公”经费：</w:t>
      </w:r>
      <w:r>
        <w:rPr>
          <w:rFonts w:hint="eastAsia" w:ascii="Times New Roman" w:hAnsi="Times New Roman"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（十三）机关运行经费：</w:t>
      </w:r>
      <w:r>
        <w:rPr>
          <w:rFonts w:hint="eastAsia" w:ascii="Times New Roman" w:hAnsi="Times New Roman"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color w:val="auto"/>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color w:val="auto"/>
          <w:kern w:val="0"/>
          <w:sz w:val="32"/>
          <w:szCs w:val="32"/>
          <w:shd w:val="clear" w:fill="FFFFFF"/>
        </w:rPr>
        <w:t>反映用于对个人和家庭的补助支出。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黑体"/>
          <w:color w:val="auto"/>
          <w:sz w:val="32"/>
          <w:szCs w:val="32"/>
          <w:shd w:val="clear" w:color="auto" w:fill="FFFFFF"/>
          <w:lang w:val="en-US" w:eastAsia="zh-CN" w:bidi="ar-SA"/>
        </w:rPr>
        <w:t>七、决算公开联系方式及信息反馈渠道</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shd w:val="clear" w:fill="FFFFFF"/>
        </w:rPr>
        <w:t>本单位决算公开信息反馈和联系方式：</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方正仿宋_GBK"/>
          <w:color w:val="auto"/>
          <w:kern w:val="0"/>
          <w:sz w:val="32"/>
          <w:szCs w:val="32"/>
          <w:lang w:val="en-US" w:eastAsia="zh-CN"/>
        </w:rPr>
      </w:pPr>
      <w:r>
        <w:rPr>
          <w:rFonts w:hint="eastAsia" w:ascii="Times New Roman" w:hAnsi="Times New Roman" w:eastAsia="方正仿宋_GBK" w:cs="方正仿宋_GBK"/>
          <w:color w:val="auto"/>
          <w:kern w:val="0"/>
          <w:sz w:val="32"/>
          <w:szCs w:val="32"/>
          <w:shd w:val="clear" w:fill="FFFFFF"/>
          <w:lang w:eastAsia="zh-CN"/>
        </w:rPr>
        <w:t>周训涛</w:t>
      </w:r>
      <w:r>
        <w:rPr>
          <w:rFonts w:hint="eastAsia" w:ascii="Times New Roman" w:hAnsi="Times New Roman" w:eastAsia="方正仿宋_GBK" w:cs="方正仿宋_GBK"/>
          <w:color w:val="auto"/>
          <w:kern w:val="0"/>
          <w:sz w:val="32"/>
          <w:szCs w:val="32"/>
          <w:shd w:val="clear" w:fill="FFFFFF"/>
        </w:rPr>
        <w:t xml:space="preserve">   023-</w:t>
      </w:r>
      <w:r>
        <w:rPr>
          <w:rFonts w:hint="eastAsia" w:ascii="Times New Roman" w:hAnsi="Times New Roman" w:eastAsia="方正仿宋_GBK" w:cs="方正仿宋_GBK"/>
          <w:color w:val="auto"/>
          <w:kern w:val="0"/>
          <w:sz w:val="32"/>
          <w:szCs w:val="32"/>
          <w:shd w:val="clear" w:fill="FFFFFF"/>
          <w:lang w:val="en-US" w:eastAsia="zh-CN"/>
        </w:rPr>
        <w:t>43786579</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jc w:val="both"/>
        <w:textAlignment w:val="auto"/>
        <w:rPr>
          <w:rStyle w:val="14"/>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重庆市大足区智凤街道农业服务中心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重庆市大足区智凤街道农业服务中心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485.75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485.75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重庆市大足区智凤街道农业服务中心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485.75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485.75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重庆市大足区智凤街道农业服务中心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485.75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485.75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重庆市大足区智凤街道农业服务中心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467.97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重庆市大足区智凤街道农业服务中心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7FBAD39"/>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C44328"/>
    <w:rsid w:val="37FF899D"/>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955EBF"/>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FF9E36"/>
    <w:rsid w:val="BF773DF4"/>
    <w:rsid w:val="BFCFC464"/>
    <w:rsid w:val="E5FD1520"/>
    <w:rsid w:val="FDDEA607"/>
    <w:rsid w:val="FE572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index 6"/>
    <w:basedOn w:val="1"/>
    <w:next w:val="1"/>
    <w:qFormat/>
    <w:uiPriority w:val="0"/>
    <w:pPr>
      <w:ind w:left="2100"/>
    </w:pPr>
  </w:style>
  <w:style w:type="paragraph" w:styleId="6">
    <w:name w:val="Balloon Text"/>
    <w:basedOn w:val="1"/>
    <w:link w:val="19"/>
    <w:qFormat/>
    <w:uiPriority w:val="0"/>
    <w:rPr>
      <w:sz w:val="18"/>
      <w:szCs w:val="18"/>
    </w:rPr>
  </w:style>
  <w:style w:type="paragraph" w:styleId="7">
    <w:name w:val="footer"/>
    <w:basedOn w:val="1"/>
    <w:next w:val="5"/>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5600</Words>
  <Characters>6167</Characters>
  <Lines>186</Lines>
  <Paragraphs>52</Paragraphs>
  <TotalTime>1</TotalTime>
  <ScaleCrop>false</ScaleCrop>
  <LinksUpToDate>false</LinksUpToDate>
  <CharactersWithSpaces>6222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greatwall</cp:lastModifiedBy>
  <dcterms:modified xsi:type="dcterms:W3CDTF">2025-10-23T09:15:37Z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eyJoZGlkIjoiMzg0N2RmMjE1MjcwYjYzYzI4NTUyZDZmY2E5NzEzZDQifQ==</vt:lpwstr>
  </property>
</Properties>
</file>