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Times New Roman" w:hAnsi="Times New Roman" w:eastAsia="方正仿宋_GBK" w:cs="方正小标宋_GBK"/>
          <w:b/>
          <w:bCs/>
          <w:sz w:val="44"/>
          <w:szCs w:val="44"/>
        </w:rPr>
      </w:pPr>
      <w:bookmarkStart w:id="0" w:name="_GoBack"/>
      <w:bookmarkEnd w:id="0"/>
      <w:r>
        <w:rPr>
          <w:rFonts w:ascii="Times New Roman" w:hAnsi="Times New Roman" w:eastAsia="方正仿宋_GBK" w:cs="方正小标宋_GBK"/>
          <w:b/>
          <w:bCs/>
          <w:sz w:val="44"/>
          <w:szCs w:val="44"/>
        </w:rPr>
        <w:t>重庆市大足区智凤街道劳动就业和社会保障服务所</w:t>
      </w:r>
    </w:p>
    <w:p>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仿宋_GBK" w:cs="方正小标宋_GBK"/>
          <w:b/>
          <w:bCs/>
          <w:sz w:val="44"/>
          <w:szCs w:val="44"/>
          <w:shd w:val="clear" w:color="auto" w:fill="FFFFFF"/>
        </w:rPr>
      </w:pPr>
      <w:r>
        <w:rPr>
          <w:rFonts w:hint="default" w:ascii="Times New Roman" w:hAnsi="Times New Roman" w:eastAsia="方正仿宋_GBK" w:cs="Times New Roman"/>
          <w:b/>
          <w:bCs/>
          <w:sz w:val="44"/>
          <w:szCs w:val="44"/>
          <w:shd w:val="clear" w:color="auto" w:fill="FFFFFF"/>
        </w:rPr>
        <w:t>2024</w:t>
      </w:r>
      <w:r>
        <w:rPr>
          <w:rFonts w:ascii="Times New Roman" w:hAnsi="Times New Roman" w:eastAsia="方正仿宋_GBK" w:cs="方正小标宋_GBK"/>
          <w:b/>
          <w:bCs/>
          <w:sz w:val="44"/>
          <w:szCs w:val="44"/>
          <w:shd w:val="clear" w:color="auto" w:fill="FFFFFF"/>
        </w:rPr>
        <w:t>年度决算公开说明</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ascii="Times New Roman" w:hAnsi="Times New Roman" w:eastAsia="方正仿宋_GBK" w:cs="黑体"/>
          <w:sz w:val="32"/>
          <w:szCs w:val="32"/>
          <w:shd w:val="clear" w:color="auto" w:fill="FFFFFF"/>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default" w:ascii="Times New Roman" w:hAnsi="Times New Roman" w:eastAsia="方正仿宋_GBK" w:cs="黑体"/>
          <w:sz w:val="32"/>
          <w:szCs w:val="32"/>
          <w:shd w:val="clear" w:color="auto" w:fill="FFFFFF"/>
        </w:rPr>
      </w:pPr>
      <w:r>
        <w:rPr>
          <w:rStyle w:val="14"/>
          <w:rFonts w:ascii="Times New Roman" w:hAnsi="Times New Roman" w:eastAsia="方正仿宋_GBK" w:cs="黑体"/>
          <w:sz w:val="32"/>
          <w:szCs w:val="32"/>
          <w:shd w:val="clear" w:color="auto" w:fill="FFFFFF"/>
        </w:rPr>
        <w:t>一、</w:t>
      </w:r>
      <w:r>
        <w:rPr>
          <w:rStyle w:val="14"/>
          <w:rFonts w:hint="eastAsia" w:ascii="Times New Roman" w:hAnsi="Times New Roman" w:eastAsia="方正仿宋_GBK" w:cs="黑体"/>
          <w:sz w:val="32"/>
          <w:szCs w:val="32"/>
          <w:shd w:val="clear" w:color="auto" w:fill="FFFFFF"/>
          <w:lang w:eastAsia="zh-CN"/>
        </w:rPr>
        <w:t>单位</w:t>
      </w:r>
      <w:r>
        <w:rPr>
          <w:rStyle w:val="14"/>
          <w:rFonts w:ascii="Times New Roman" w:hAnsi="Times New Roman" w:eastAsia="方正仿宋_GBK" w:cs="黑体"/>
          <w:sz w:val="32"/>
          <w:szCs w:val="32"/>
          <w:shd w:val="clear" w:color="auto" w:fill="FFFFFF"/>
        </w:rPr>
        <w:t>基本情况</w:t>
      </w:r>
    </w:p>
    <w:p>
      <w:pPr>
        <w:pStyle w:val="10"/>
        <w:keepNext w:val="0"/>
        <w:keepLines w:val="0"/>
        <w:pageBreakBefore w:val="0"/>
        <w:widowControl w:val="0"/>
        <w:shd w:val="clear" w:color="auto" w:fill="FFFFFF"/>
        <w:kinsoku/>
        <w:wordWrap/>
        <w:overflowPunct/>
        <w:topLinePunct w:val="0"/>
        <w:autoSpaceDN/>
        <w:bidi w:val="0"/>
        <w:adjustRightInd/>
        <w:spacing w:beforeAutospacing="0" w:afterAutospacing="0" w:line="600" w:lineRule="exact"/>
        <w:ind w:firstLine="420"/>
        <w:textAlignment w:val="auto"/>
        <w:rPr>
          <w:rFonts w:hint="default" w:ascii="Times New Roman" w:hAnsi="Times New Roman" w:eastAsia="方正仿宋_GBK" w:cs="方正仿宋_GBK"/>
          <w:sz w:val="32"/>
          <w:szCs w:val="32"/>
        </w:rPr>
      </w:pPr>
      <w:r>
        <w:rPr>
          <w:rStyle w:val="14"/>
          <w:rFonts w:ascii="Times New Roman" w:hAnsi="Times New Roman" w:eastAsia="方正仿宋_GBK" w:cs="楷体"/>
          <w:sz w:val="32"/>
          <w:szCs w:val="32"/>
          <w:shd w:val="clear" w:color="auto" w:fill="FFFFFF"/>
        </w:rPr>
        <w:t>（一）职能职责</w:t>
      </w:r>
    </w:p>
    <w:p>
      <w:pPr>
        <w:keepNext w:val="0"/>
        <w:keepLines w:val="0"/>
        <w:pageBreakBefore w:val="0"/>
        <w:widowControl w:val="0"/>
        <w:kinsoku/>
        <w:wordWrap/>
        <w:overflowPunct/>
        <w:topLinePunct w:val="0"/>
        <w:autoSpaceDN/>
        <w:bidi w:val="0"/>
        <w:adjustRightInd/>
        <w:snapToGrid w:val="0"/>
        <w:spacing w:beforeAutospacing="0" w:afterAutospacing="0"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1．主要职能。</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宗旨：开展劳动就业、社会保障、医疗保障工作，为人民群众提供服务。</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主要职责任务：</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承担劳动就业、社会保障和医疗保障等事务性工作。</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具体职责任务：</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（1）承担劳动、就业创业、农民工综合服务、农村劳动力转移等事务性工作。</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rPr>
      </w:pPr>
      <w:r>
        <w:rPr>
          <w:rFonts w:hint="eastAsia" w:ascii="Times New Roman" w:hAnsi="Times New Roman" w:eastAsia="方正仿宋_GBK" w:cs="方正仿宋_GBK"/>
          <w:sz w:val="32"/>
          <w:szCs w:val="32"/>
        </w:rPr>
        <w:t>（2）承担养老保险、失业保险、医疗保险、工伤保险、生育保险、城镇居民最低生活保障、优抚救济、社会救助、医疗救助、残疾人保障、老龄工作等方面的事务性工作。</w:t>
      </w:r>
    </w:p>
    <w:p>
      <w:pPr>
        <w:pStyle w:val="10"/>
        <w:keepNext w:val="0"/>
        <w:keepLines w:val="0"/>
        <w:pageBreakBefore w:val="0"/>
        <w:widowControl w:val="0"/>
        <w:shd w:val="clear" w:color="auto" w:fill="FFFFFF"/>
        <w:kinsoku/>
        <w:wordWrap/>
        <w:overflowPunct/>
        <w:topLinePunct w:val="0"/>
        <w:autoSpaceDN/>
        <w:bidi w:val="0"/>
        <w:adjustRightInd/>
        <w:spacing w:beforeAutospacing="0" w:afterAutospacing="0" w:line="600" w:lineRule="exact"/>
        <w:ind w:firstLine="420"/>
        <w:textAlignment w:val="auto"/>
        <w:rPr>
          <w:rFonts w:hint="default" w:ascii="Times New Roman" w:hAnsi="Times New Roman" w:eastAsia="方正仿宋_GBK" w:cs="楷体"/>
          <w:sz w:val="32"/>
          <w:szCs w:val="32"/>
        </w:rPr>
      </w:pPr>
      <w:r>
        <w:rPr>
          <w:rStyle w:val="14"/>
          <w:rFonts w:ascii="Times New Roman" w:hAnsi="Times New Roman" w:eastAsia="方正仿宋_GBK" w:cs="楷体"/>
          <w:sz w:val="32"/>
          <w:szCs w:val="32"/>
          <w:shd w:val="clear" w:color="auto" w:fill="FFFFFF"/>
        </w:rPr>
        <w:t>（二）机构设置</w:t>
      </w:r>
    </w:p>
    <w:p>
      <w:pPr>
        <w:keepNext w:val="0"/>
        <w:keepLines w:val="0"/>
        <w:pageBreakBefore w:val="0"/>
        <w:widowControl w:val="0"/>
        <w:numPr>
          <w:ilvl w:val="0"/>
          <w:numId w:val="0"/>
        </w:numPr>
        <w:kinsoku/>
        <w:wordWrap/>
        <w:overflowPunct/>
        <w:topLinePunct w:val="0"/>
        <w:autoSpaceDN/>
        <w:bidi w:val="0"/>
        <w:adjustRightInd/>
        <w:snapToGrid w:val="0"/>
        <w:spacing w:beforeAutospacing="0" w:afterAutospacing="0" w:line="600"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cs="宋体"/>
          <w:sz w:val="32"/>
          <w:szCs w:val="32"/>
          <w:lang w:val="en-US" w:eastAsia="zh-CN"/>
        </w:rPr>
        <w:t>机构数上年度1个，本年度1个</w:t>
      </w:r>
      <w:r>
        <w:rPr>
          <w:rFonts w:hint="eastAsia" w:ascii="Times New Roman" w:hAnsi="Times New Roman" w:eastAsia="方正仿宋_GBK"/>
          <w:sz w:val="32"/>
          <w:szCs w:val="32"/>
          <w:lang w:eastAsia="zh-CN"/>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智凤街道智凤街道劳动就业和社会保障服务所</w:t>
      </w:r>
      <w:r>
        <w:rPr>
          <w:rFonts w:hint="eastAsia" w:ascii="Times New Roman" w:hAnsi="Times New Roman" w:eastAsia="方正仿宋_GBK" w:cs="方正仿宋_GBK"/>
          <w:sz w:val="32"/>
          <w:szCs w:val="32"/>
        </w:rPr>
        <w:t>本年人数</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人。</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default" w:ascii="Times New Roman" w:hAnsi="Times New Roman" w:eastAsia="方正仿宋_GBK" w:cs="黑体"/>
          <w:sz w:val="32"/>
          <w:szCs w:val="32"/>
          <w:shd w:val="clear" w:color="auto" w:fill="FFFFFF"/>
        </w:rPr>
      </w:pPr>
      <w:r>
        <w:rPr>
          <w:rStyle w:val="14"/>
          <w:rFonts w:ascii="Times New Roman" w:hAnsi="Times New Roman" w:eastAsia="方正仿宋_GBK" w:cs="黑体"/>
          <w:sz w:val="32"/>
          <w:szCs w:val="32"/>
          <w:shd w:val="clear" w:color="auto" w:fill="FFFFFF"/>
        </w:rPr>
        <w:t>二、</w:t>
      </w:r>
      <w:r>
        <w:rPr>
          <w:rStyle w:val="14"/>
          <w:rFonts w:hint="eastAsia" w:ascii="Times New Roman" w:hAnsi="Times New Roman" w:eastAsia="方正仿宋_GBK" w:cs="黑体"/>
          <w:sz w:val="32"/>
          <w:szCs w:val="32"/>
          <w:shd w:val="clear" w:color="auto" w:fill="FFFFFF"/>
          <w:lang w:eastAsia="zh-CN"/>
        </w:rPr>
        <w:t>单位</w:t>
      </w:r>
      <w:r>
        <w:rPr>
          <w:rStyle w:val="14"/>
          <w:rFonts w:ascii="Times New Roman" w:hAnsi="Times New Roman" w:eastAsia="方正仿宋_GBK" w:cs="黑体"/>
          <w:sz w:val="32"/>
          <w:szCs w:val="32"/>
          <w:shd w:val="clear" w:color="auto" w:fill="FFFFFF"/>
        </w:rPr>
        <w:t>决算</w:t>
      </w:r>
      <w:r>
        <w:rPr>
          <w:rStyle w:val="14"/>
          <w:rFonts w:hint="eastAsia" w:ascii="Times New Roman" w:hAnsi="Times New Roman" w:eastAsia="方正仿宋_GBK" w:cs="黑体"/>
          <w:sz w:val="32"/>
          <w:szCs w:val="32"/>
          <w:shd w:val="clear" w:color="auto" w:fill="FFFFFF"/>
          <w:lang w:eastAsia="zh-CN"/>
        </w:rPr>
        <w:t>收支</w:t>
      </w:r>
      <w:r>
        <w:rPr>
          <w:rStyle w:val="14"/>
          <w:rFonts w:ascii="Times New Roman" w:hAnsi="Times New Roman" w:eastAsia="方正仿宋_GBK" w:cs="黑体"/>
          <w:sz w:val="32"/>
          <w:szCs w:val="32"/>
          <w:shd w:val="clear" w:color="auto" w:fill="FFFFFF"/>
        </w:rPr>
        <w:t>情况说明</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（一）收入支出决算总体情况说明</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w:t>
      </w:r>
      <w:r>
        <w:rPr>
          <w:rFonts w:hint="eastAsia" w:ascii="Times New Roman" w:hAnsi="Times New Roman" w:eastAsia="方正仿宋_GBK" w:cs="方正仿宋_GBK"/>
          <w:sz w:val="32"/>
          <w:szCs w:val="32"/>
          <w:shd w:val="clear" w:color="auto" w:fill="FFFFFF"/>
          <w:lang w:eastAsia="zh-CN"/>
        </w:rPr>
        <w:t>、支</w:t>
      </w:r>
      <w:r>
        <w:rPr>
          <w:rFonts w:ascii="Times New Roman" w:hAnsi="Times New Roman" w:eastAsia="方正仿宋_GBK" w:cs="方正仿宋_GBK"/>
          <w:sz w:val="32"/>
          <w:szCs w:val="32"/>
          <w:shd w:val="clear" w:color="auto" w:fill="FFFFFF"/>
        </w:rPr>
        <w:t>总计</w:t>
      </w:r>
      <w:r>
        <w:rPr>
          <w:rFonts w:hint="eastAsia" w:ascii="Times New Roman" w:hAnsi="Times New Roman"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116.46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收、支与2023年度相比，增加15.73万元，增长15.6%</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主要原因是职工薪资调整和商品服务费支出增加，,其中工资福利支出中职业年金缴费新增8.5万元、基本工资支出新增1.8万元，绩效工资新增3万元。其中商品服务费中新增临时劳务费1.2万元、新增其他商品服务费0.8万元等</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2" w:firstLineChars="200"/>
        <w:jc w:val="both"/>
        <w:textAlignment w:val="auto"/>
        <w:rPr>
          <w:rFonts w:hint="default" w:ascii="Times New Roman" w:hAnsi="Times New Roman" w:eastAsia="方正仿宋_GBK" w:cs="方正仿宋_GBK"/>
          <w:sz w:val="32"/>
          <w:szCs w:val="32"/>
          <w:shd w:val="clear" w:color="auto" w:fill="FFFFFF"/>
        </w:rPr>
      </w:pPr>
      <w:r>
        <w:rPr>
          <w:rStyle w:val="14"/>
          <w:rFonts w:hint="eastAsia" w:ascii="Times New Roman" w:hAnsi="Times New Roman" w:eastAsia="方正仿宋_GBK"/>
          <w:sz w:val="32"/>
          <w:szCs w:val="32"/>
          <w:shd w:val="clear" w:color="auto" w:fill="FFFFFF"/>
          <w:lang w:val="en-US" w:eastAsia="zh-CN"/>
        </w:rPr>
        <w:t>1</w:t>
      </w:r>
      <w:r>
        <w:rPr>
          <w:rStyle w:val="14"/>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116.46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与2023年度相比，增加15.73万元，增长15.6%</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主要原因是职工薪资调整和商品服务费支出增加，其中工资福利支出中职业年金缴费新增8.5万元、基本工资支出新增1.8万元，绩效工资新增3万元。其中商品服务费中新增临时劳务费1.2万元、新增其他商品服务费0.8万元等</w:t>
      </w:r>
      <w:r>
        <w:rPr>
          <w:rFonts w:ascii="Times New Roman" w:hAnsi="Times New Roman"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116.46</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w:t>
      </w:r>
      <w:r>
        <w:rPr>
          <w:rFonts w:hint="eastAsia" w:ascii="Times New Roman" w:hAnsi="Times New Roman" w:eastAsia="方正仿宋_GBK" w:cs="方正仿宋_GBK"/>
          <w:sz w:val="32"/>
          <w:szCs w:val="32"/>
          <w:shd w:val="clear" w:color="auto" w:fill="FFFFFF"/>
        </w:rPr>
        <w:t>使用非财政拨款结余（含专用结余）</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，年初结转和结余</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方正仿宋_GBK"/>
          <w:sz w:val="32"/>
          <w:szCs w:val="32"/>
          <w:shd w:val="clear" w:color="auto" w:fill="FFFFFF"/>
        </w:rPr>
      </w:pPr>
      <w:r>
        <w:rPr>
          <w:rStyle w:val="14"/>
          <w:rFonts w:hint="eastAsia" w:ascii="Times New Roman" w:hAnsi="Times New Roman" w:eastAsia="方正仿宋_GBK"/>
          <w:sz w:val="32"/>
          <w:szCs w:val="32"/>
          <w:shd w:val="clear" w:color="auto" w:fill="FFFFFF"/>
          <w:lang w:val="en-US" w:eastAsia="zh-CN"/>
        </w:rPr>
        <w:t>2</w:t>
      </w:r>
      <w:r>
        <w:rPr>
          <w:rStyle w:val="14"/>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116.46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与2023年度相比，增加15.73万元，增长15.6%</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主要原因是职工薪资调整和商品服务费支出增加，其中工资福利支出中职业年金缴费新增8.5万元、基本工资支出新增1.8万元，绩效工资新增3万元。其中商品服务费中新增临时劳务费1.2万元、新增其他商品服务费0.8万元等</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116.46</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；项目支出</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；经营支出</w:t>
      </w:r>
      <w:r>
        <w:rPr>
          <w:rFonts w:hint="eastAsia" w:ascii="Times New Roman" w:hAnsi="Times New Roman" w:eastAsia="方正仿宋_GBK"/>
          <w:sz w:val="32"/>
          <w:szCs w:val="32"/>
          <w:lang w:eastAsia="zh-CN"/>
        </w:rPr>
        <w:t>0万元</w:t>
      </w:r>
      <w:r>
        <w:rPr>
          <w:rFonts w:ascii="Times New Roman" w:hAnsi="Times New Roman" w:eastAsia="方正仿宋_GBK" w:cs="方正仿宋_GBK"/>
          <w:sz w:val="32"/>
          <w:szCs w:val="32"/>
          <w:shd w:val="clear" w:color="auto" w:fill="FFFFFF"/>
        </w:rPr>
        <w:t>，占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方正仿宋_GBK"/>
          <w:sz w:val="32"/>
          <w:szCs w:val="32"/>
          <w:lang w:eastAsia="zh-CN"/>
        </w:rPr>
      </w:pPr>
      <w:r>
        <w:rPr>
          <w:rStyle w:val="14"/>
          <w:rFonts w:hint="eastAsia" w:ascii="Times New Roman" w:hAnsi="Times New Roman" w:eastAsia="方正仿宋_GBK"/>
          <w:sz w:val="32"/>
          <w:szCs w:val="32"/>
          <w:shd w:val="clear" w:color="auto" w:fill="FFFFFF"/>
          <w:lang w:val="en-US" w:eastAsia="zh-CN"/>
        </w:rPr>
        <w:t>3</w:t>
      </w:r>
      <w:r>
        <w:rPr>
          <w:rStyle w:val="14"/>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cs="方正仿宋_GBK"/>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（二）财政拨款收入支出决算总体情况说明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116.46</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eastAsia="zh-CN"/>
        </w:rPr>
        <w:t>度</w:t>
      </w:r>
      <w:r>
        <w:rPr>
          <w:rFonts w:ascii="Times New Roman" w:hAnsi="Times New Roman"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财政拨款收、支总计各增加15.73万元，增长15.6%</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主要原因是职工薪资调整和商品服务费支出增加，其中工资福利支出中职业年金缴费新增8.5万元、基本工资支出新增1.8万元，绩效工资新增3万元。其中商品服务费中新增临时劳务费1.2万元、新增其他商品服务费0.8万元等</w:t>
      </w:r>
      <w:r>
        <w:rPr>
          <w:rFonts w:hint="eastAsia" w:ascii="Times New Roman" w:hAnsi="Times New Roman" w:eastAsia="方正仿宋_GBK" w:cs="方正仿宋_GBK"/>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（三）一般公共预算财政拨款收入支出决算情况说明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方正仿宋_GBK"/>
          <w:sz w:val="32"/>
          <w:szCs w:val="32"/>
        </w:rPr>
      </w:pPr>
      <w:r>
        <w:rPr>
          <w:rStyle w:val="14"/>
          <w:rFonts w:hint="default" w:ascii="Times New Roman" w:hAnsi="Times New Roman" w:eastAsia="方正仿宋_GBK"/>
          <w:sz w:val="32"/>
          <w:szCs w:val="32"/>
          <w:shd w:val="clear" w:color="auto" w:fill="FFFFFF"/>
        </w:rPr>
        <w:t>1</w:t>
      </w:r>
      <w:r>
        <w:rPr>
          <w:rStyle w:val="14"/>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116.46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与2023年度相比，增加15.73万元，增长15.6%</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主要原因是职工薪资调整和商品服务费支出增加，其中工资福利支出中职业年金缴费新增8.5万元、基本工资支出新增1.8万元，绩效工资新增3万元。其中商品服务费中新增临时劳务费1.2万元、新增其他商品服务费0.8万元等</w:t>
      </w:r>
      <w:r>
        <w:rPr>
          <w:rFonts w:hint="eastAsia" w:ascii="Times New Roman" w:hAnsi="Times New Roman"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较年初预算数增加8.45万元，增长7.8%</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主要原因是职工薪资调整和商品服务费支出增加，</w:t>
      </w:r>
      <w:r>
        <w:rPr>
          <w:rFonts w:ascii="Times New Roman" w:hAnsi="Times New Roman" w:eastAsia="方正仿宋_GBK" w:cs="方正仿宋_GBK"/>
          <w:sz w:val="32"/>
          <w:szCs w:val="32"/>
          <w:shd w:val="clear" w:color="auto" w:fill="FFFFFF"/>
        </w:rPr>
        <w:t>此外，年初财政拨款结转和结余</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Style w:val="14"/>
          <w:rFonts w:hint="default" w:ascii="Times New Roman" w:hAnsi="Times New Roman" w:eastAsia="方正仿宋_GBK"/>
          <w:sz w:val="32"/>
          <w:szCs w:val="32"/>
          <w:shd w:val="clear" w:color="auto" w:fill="FFFFFF"/>
        </w:rPr>
        <w:t>2</w:t>
      </w:r>
      <w:r>
        <w:rPr>
          <w:rStyle w:val="14"/>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116.46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与2023年度相比，增加15.73万元，增长15.6%</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主要原因是职工薪资调整和商品服务费支出增加，其中工资福利支出中职业年金缴费新增8.5万元、基本工资支出新增1.8万元，绩效工资新增3万元。其中商品服务费中新增临时劳务费1.2万元、新增其他商品服务费0.8万元等</w:t>
      </w:r>
      <w:r>
        <w:rPr>
          <w:rFonts w:hint="eastAsia" w:ascii="Times New Roman" w:hAnsi="Times New Roman"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较年初预算数增加8.45万元，增长7.8%</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主要原因是职工薪资调整和商品服务费支出增加</w:t>
      </w:r>
      <w:r>
        <w:rPr>
          <w:rFonts w:hint="eastAsia" w:ascii="Times New Roman" w:hAnsi="Times New Roman" w:eastAsia="方正仿宋_GBK" w:cs="方正仿宋_GBK"/>
          <w:sz w:val="32"/>
          <w:szCs w:val="32"/>
          <w:shd w:val="clear" w:color="auto" w:fill="FFFFFF"/>
          <w:lang w:eastAsia="zh-CN"/>
        </w:rPr>
        <w:t>。</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highlight w:val="none"/>
          <w:shd w:val="clear" w:color="auto" w:fill="FFFFFF"/>
        </w:rPr>
      </w:pPr>
      <w:r>
        <w:rPr>
          <w:rFonts w:ascii="Times New Roman" w:hAnsi="Times New Roman" w:eastAsia="方正仿宋_GBK" w:cs="方正仿宋_GBK"/>
          <w:sz w:val="32"/>
          <w:szCs w:val="32"/>
          <w:highlight w:val="none"/>
          <w:shd w:val="clear" w:color="auto" w:fill="FFFFFF"/>
        </w:rPr>
        <w:t>一般公共预算财政拨款支出主要</w:t>
      </w:r>
      <w:r>
        <w:rPr>
          <w:rFonts w:hint="eastAsia" w:ascii="Times New Roman" w:hAnsi="Times New Roman" w:eastAsia="方正仿宋_GBK" w:cs="方正仿宋_GBK"/>
          <w:sz w:val="32"/>
          <w:szCs w:val="32"/>
          <w:highlight w:val="none"/>
          <w:shd w:val="clear" w:color="auto" w:fill="FFFFFF"/>
          <w:lang w:eastAsia="zh-CN"/>
        </w:rPr>
        <w:t>用途如下</w:t>
      </w:r>
      <w:r>
        <w:rPr>
          <w:rFonts w:ascii="Times New Roman" w:hAnsi="Times New Roman" w:eastAsia="方正仿宋_GBK" w:cs="方正仿宋_GBK"/>
          <w:sz w:val="32"/>
          <w:szCs w:val="32"/>
          <w:highlight w:val="none"/>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CN"/>
        </w:rPr>
        <w:t>和</w:t>
      </w:r>
      <w:r>
        <w:rPr>
          <w:rFonts w:ascii="Times New Roman" w:hAnsi="Times New Roman"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104.74</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89.9%</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较年初预算数增加8.44万元，增长8.8%</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主要原因是职工薪资调整和商品服务费支出增加</w:t>
      </w:r>
      <w:r>
        <w:rPr>
          <w:rFonts w:hint="eastAsia" w:ascii="Times New Roman" w:hAnsi="Times New Roman" w:eastAsia="方正仿宋_GBK" w:cs="方正仿宋_GBK"/>
          <w:sz w:val="32"/>
          <w:szCs w:val="32"/>
          <w:shd w:val="clear" w:color="auto" w:fill="FFFFFF"/>
          <w:lang w:eastAsia="zh-CN"/>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5.85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按规定发放职工养老保险及职业年金支出。</w:t>
      </w:r>
    </w:p>
    <w:p>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5.87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按规定发放职工基本医疗保险缴费支出。</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Style w:val="14"/>
          <w:rFonts w:hint="default" w:ascii="Times New Roman" w:hAnsi="Times New Roman" w:eastAsia="方正仿宋_GBK"/>
          <w:sz w:val="32"/>
          <w:szCs w:val="32"/>
          <w:shd w:val="clear" w:color="auto" w:fill="FFFFFF"/>
        </w:rPr>
        <w:t>3</w:t>
      </w:r>
      <w:r>
        <w:rPr>
          <w:rStyle w:val="14"/>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cs="方正仿宋_GBK"/>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（四）一般公共预算财政拨款基本支出决算情况说明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116.46</w:t>
      </w:r>
      <w:r>
        <w:rPr>
          <w:rFonts w:ascii="Times New Roman" w:hAnsi="Times New Roman" w:eastAsia="方正仿宋_GBK" w:cs="方正仿宋_GBK"/>
          <w:sz w:val="32"/>
          <w:szCs w:val="32"/>
          <w:shd w:val="clear" w:color="auto" w:fill="FFFFFF"/>
        </w:rPr>
        <w:t>万元。</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0" w:firstLineChars="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人员经费111.65万元，与2023年度相比，增加13.64万元，增长13.9%，</w:t>
      </w:r>
      <w:r>
        <w:rPr>
          <w:rFonts w:hint="eastAsia" w:ascii="Times New Roman" w:hAnsi="Times New Roman" w:eastAsia="方正仿宋_GBK"/>
          <w:sz w:val="32"/>
          <w:szCs w:val="32"/>
          <w:shd w:val="clear" w:color="auto" w:fill="FFFFFF"/>
        </w:rPr>
        <w:t>主要原因是职工薪资调整</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rPr>
        <w:t>其中工资福利支出中职业年金缴费新增8.5万元、基本工资支出新增1.8万元，绩效工资新增3万元</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人员经费用途主要包括</w:t>
      </w:r>
      <w:r>
        <w:rPr>
          <w:rFonts w:hint="eastAsia" w:ascii="Times New Roman" w:hAnsi="Times New Roman" w:eastAsia="方正仿宋_GBK"/>
          <w:sz w:val="32"/>
          <w:szCs w:val="32"/>
          <w:shd w:val="clear" w:color="auto" w:fill="FFFFFF"/>
          <w:lang w:val="en-US" w:eastAsia="zh-CN"/>
        </w:rPr>
        <w:t>在职事业人员工资、绩效、社保等福利待遇支出。</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公用经费4.81万元，与2023年度相比，增加2.09万元，增长76.8%，</w:t>
      </w:r>
      <w:r>
        <w:rPr>
          <w:rFonts w:hint="eastAsia" w:ascii="Times New Roman" w:hAnsi="Times New Roman" w:eastAsia="方正仿宋_GBK"/>
          <w:sz w:val="32"/>
          <w:szCs w:val="32"/>
          <w:shd w:val="clear" w:color="auto" w:fill="FFFFFF"/>
        </w:rPr>
        <w:t>主要原因是商品服务费支出增加，新增临时劳务费1.2万元、新增其他商品服务费0.8万元等</w:t>
      </w:r>
      <w:r>
        <w:rPr>
          <w:rFonts w:hint="eastAsia" w:ascii="Times New Roman" w:hAnsi="Times New Roman" w:eastAsia="方正仿宋_GBK"/>
          <w:sz w:val="32"/>
          <w:szCs w:val="32"/>
          <w:shd w:val="clear" w:color="auto" w:fill="FFFFFF"/>
          <w:lang w:eastAsia="zh-CN"/>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rPr>
        <w:t>公用经费用途主要包括</w:t>
      </w:r>
      <w:r>
        <w:rPr>
          <w:rFonts w:hint="eastAsia" w:ascii="Times New Roman" w:hAnsi="Times New Roman" w:eastAsia="方正仿宋_GBK"/>
          <w:sz w:val="32"/>
          <w:szCs w:val="32"/>
          <w:shd w:val="clear" w:color="auto" w:fill="FFFFFF"/>
          <w:lang w:val="en-US" w:eastAsia="zh-CN"/>
        </w:rPr>
        <w:t>日常办公经费、差旅费、水费、电费、邮电费、劳务费等正常运行支出。</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（五）政府性基金预算收支决算情况说明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本部门</w:t>
      </w:r>
      <w:r>
        <w:rPr>
          <w:rFonts w:hint="default" w:ascii="Times New Roman" w:hAnsi="Times New Roman" w:eastAsia="方正仿宋_GBK"/>
          <w:sz w:val="32"/>
          <w:szCs w:val="32"/>
          <w:shd w:val="clear" w:color="auto" w:fill="FFFFFF"/>
        </w:rPr>
        <w:t>2024</w:t>
      </w:r>
      <w:r>
        <w:rPr>
          <w:rFonts w:hint="eastAsia" w:ascii="Times New Roman" w:hAnsi="Times New Roman" w:eastAsia="方正仿宋_GBK"/>
          <w:sz w:val="32"/>
          <w:szCs w:val="32"/>
          <w:shd w:val="clear" w:color="auto" w:fill="FFFFFF"/>
        </w:rPr>
        <w:t>年度无政府性基金预算财政拨款收支。</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（六）国有资本经营预算财政拨款支出决算情况说明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本部门</w:t>
      </w:r>
      <w:r>
        <w:rPr>
          <w:rFonts w:hint="default" w:ascii="Times New Roman" w:hAnsi="Times New Roman" w:eastAsia="方正仿宋_GBK"/>
          <w:sz w:val="32"/>
          <w:szCs w:val="32"/>
          <w:shd w:val="clear" w:color="auto" w:fill="FFFFFF"/>
        </w:rPr>
        <w:t>2024</w:t>
      </w:r>
      <w:r>
        <w:rPr>
          <w:rFonts w:hint="eastAsia" w:ascii="Times New Roman" w:hAnsi="Times New Roman" w:eastAsia="方正仿宋_GBK"/>
          <w:sz w:val="32"/>
          <w:szCs w:val="32"/>
          <w:shd w:val="clear" w:color="auto" w:fill="FFFFFF"/>
        </w:rPr>
        <w:t>年度无国有资本经营预算财政拨款支出。</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default" w:ascii="Times New Roman" w:hAnsi="Times New Roman" w:eastAsia="方正仿宋_GBK" w:cs="黑体"/>
          <w:sz w:val="32"/>
          <w:szCs w:val="32"/>
          <w:shd w:val="clear" w:color="auto" w:fill="FFFFFF"/>
        </w:rPr>
      </w:pPr>
      <w:r>
        <w:rPr>
          <w:rStyle w:val="14"/>
          <w:rFonts w:ascii="Times New Roman" w:hAnsi="Times New Roman" w:eastAsia="方正仿宋_GBK" w:cs="黑体"/>
          <w:sz w:val="32"/>
          <w:szCs w:val="32"/>
          <w:shd w:val="clear" w:color="auto" w:fill="FFFFFF"/>
        </w:rPr>
        <w:t>三、</w:t>
      </w:r>
      <w:r>
        <w:rPr>
          <w:rStyle w:val="14"/>
          <w:rFonts w:hint="eastAsia" w:ascii="Times New Roman" w:hAnsi="Times New Roman" w:eastAsia="方正仿宋_GBK" w:cs="黑体"/>
          <w:sz w:val="32"/>
          <w:szCs w:val="32"/>
          <w:shd w:val="clear" w:color="auto" w:fill="FFFFFF"/>
          <w:lang w:eastAsia="zh-CN"/>
        </w:rPr>
        <w:t>财政拨款</w:t>
      </w:r>
      <w:r>
        <w:rPr>
          <w:rStyle w:val="14"/>
          <w:rFonts w:ascii="Times New Roman" w:hAnsi="Times New Roman" w:eastAsia="方正仿宋_GBK" w:cs="黑体"/>
          <w:sz w:val="32"/>
          <w:szCs w:val="32"/>
          <w:shd w:val="clear" w:color="auto" w:fill="FFFFFF"/>
        </w:rPr>
        <w:t>“三公”经费情况说明</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（一）“三公”经费支出总体情况说明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0.16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较年初预算数减少1.04万元，下降86.7%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按相关规定压缩“三公”经费支出。</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按相关规定严控“三公”经费支出。</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（二）“三公”经费分项支出情况</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lang w:val="en-US" w:eastAsia="zh-CN"/>
        </w:rPr>
        <w:t>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lang w:val="en-US" w:eastAsia="zh-CN"/>
        </w:rPr>
        <w:t>年度本单位未发生因公出国（境）费用。</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lang w:val="en-US" w:eastAsia="zh-CN"/>
        </w:rPr>
        <w:t>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lang w:val="en-US" w:eastAsia="zh-CN"/>
        </w:rPr>
        <w:t>年度本单位未发生公务车购置费。</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lang w:val="en-US" w:eastAsia="zh-CN"/>
        </w:rPr>
        <w:t>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lang w:val="en-US" w:eastAsia="zh-CN"/>
        </w:rPr>
        <w:t>年度本单位未发生</w:t>
      </w:r>
      <w:r>
        <w:rPr>
          <w:rFonts w:hint="default" w:ascii="Times New Roman" w:hAnsi="Times New Roman" w:eastAsia="方正仿宋_GBK"/>
          <w:sz w:val="32"/>
          <w:szCs w:val="32"/>
          <w:shd w:val="clear" w:color="auto" w:fill="FFFFFF"/>
        </w:rPr>
        <w:t>公务车运行维护费</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0.16</w:t>
      </w:r>
      <w:r>
        <w:rPr>
          <w:rFonts w:ascii="Times New Roman" w:hAnsi="Times New Roman" w:eastAsia="方正仿宋_GBK" w:cs="方正仿宋_GBK"/>
          <w:sz w:val="32"/>
          <w:szCs w:val="32"/>
          <w:shd w:val="clear" w:color="auto" w:fill="FFFFFF"/>
        </w:rPr>
        <w:t>万元，主要用于接待</w:t>
      </w:r>
      <w:r>
        <w:rPr>
          <w:rFonts w:hint="eastAsia" w:ascii="Times New Roman" w:hAnsi="Times New Roman" w:eastAsia="方正仿宋_GBK" w:cs="方正仿宋_GBK"/>
          <w:sz w:val="32"/>
          <w:szCs w:val="32"/>
          <w:shd w:val="clear" w:color="auto" w:fill="FFFFFF"/>
          <w:lang w:val="en-US" w:eastAsia="zh-CN"/>
        </w:rPr>
        <w:t>接待各部门检查、工作会议等工作用餐及职工加班餐。</w:t>
      </w:r>
      <w:r>
        <w:rPr>
          <w:rFonts w:ascii="Times New Roman" w:hAnsi="Times New Roman"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较年初预算数减少1.04万元，下降86.7%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坚守中央八项规定要求、厉行节俭，减少不必要公务接待。</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按相关规定严控</w:t>
      </w:r>
      <w:r>
        <w:rPr>
          <w:rFonts w:ascii="Times New Roman" w:hAnsi="Times New Roman" w:eastAsia="方正仿宋_GBK" w:cs="方正仿宋_GBK"/>
          <w:sz w:val="32"/>
          <w:szCs w:val="32"/>
          <w:shd w:val="clear" w:color="auto" w:fill="FFFFFF"/>
        </w:rPr>
        <w:t>公务接待费</w:t>
      </w:r>
      <w:r>
        <w:rPr>
          <w:rFonts w:hint="eastAsia" w:ascii="Times New Roman" w:hAnsi="Times New Roman" w:eastAsia="方正仿宋_GBK" w:cs="方正仿宋_GBK"/>
          <w:sz w:val="32"/>
          <w:szCs w:val="32"/>
          <w:shd w:val="clear" w:color="auto" w:fill="FFFFFF"/>
          <w:lang w:val="en-US" w:eastAsia="zh-CN"/>
        </w:rPr>
        <w:t>支出。</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（三）“三公”经费实物量情况</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5</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40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40.70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default" w:ascii="Times New Roman" w:hAnsi="Times New Roman" w:eastAsia="方正仿宋_GBK" w:cs="黑体"/>
          <w:sz w:val="32"/>
          <w:szCs w:val="32"/>
          <w:shd w:val="clear" w:color="auto" w:fill="FFFFFF"/>
        </w:rPr>
      </w:pPr>
      <w:r>
        <w:rPr>
          <w:rStyle w:val="14"/>
          <w:rFonts w:ascii="Times New Roman" w:hAnsi="Times New Roman" w:eastAsia="方正仿宋_GBK" w:cs="黑体"/>
          <w:sz w:val="32"/>
          <w:szCs w:val="32"/>
          <w:shd w:val="clear" w:color="auto" w:fill="FFFFFF"/>
        </w:rPr>
        <w:t>四、其他需要说明的事项</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default" w:ascii="Times New Roman" w:hAnsi="Times New Roman" w:eastAsia="方正仿宋_GBK" w:cs="楷体"/>
          <w:b/>
          <w:bCs/>
          <w:sz w:val="32"/>
          <w:szCs w:val="32"/>
          <w:shd w:val="clear" w:color="auto" w:fill="FFFFFF"/>
        </w:rPr>
      </w:pPr>
      <w:r>
        <w:rPr>
          <w:rFonts w:ascii="Times New Roman" w:hAnsi="Times New Roman" w:eastAsia="方正仿宋_GBK" w:cs="楷体"/>
          <w:b/>
          <w:bCs/>
          <w:sz w:val="32"/>
          <w:szCs w:val="32"/>
          <w:shd w:val="clear" w:color="auto" w:fill="FFFFFF"/>
        </w:rPr>
        <w:t>（一）财政拨款会议费、培训费和差旅费情况说明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因</w:t>
      </w:r>
      <w:r>
        <w:rPr>
          <w:rFonts w:hint="eastAsia" w:ascii="Times New Roman" w:hAnsi="Times New Roman" w:eastAsia="方正仿宋_GBK"/>
          <w:sz w:val="32"/>
          <w:szCs w:val="32"/>
          <w:shd w:val="clear" w:color="auto" w:fill="FFFFFF"/>
          <w:lang w:val="en-US" w:eastAsia="zh-CN"/>
        </w:rPr>
        <w:t>2024年本单位</w:t>
      </w:r>
      <w:r>
        <w:rPr>
          <w:rFonts w:hint="default" w:ascii="Times New Roman" w:hAnsi="Times New Roman" w:eastAsia="方正仿宋_GBK"/>
          <w:sz w:val="32"/>
          <w:szCs w:val="32"/>
          <w:shd w:val="clear" w:color="auto" w:fill="FFFFFF"/>
        </w:rPr>
        <w:t>未发生会议费、培训费和差旅费</w:t>
      </w:r>
      <w:r>
        <w:rPr>
          <w:rFonts w:hint="eastAsia" w:ascii="Times New Roman" w:hAnsi="Times New Roman" w:eastAsia="方正仿宋_GBK"/>
          <w:sz w:val="32"/>
          <w:szCs w:val="32"/>
          <w:shd w:val="clear" w:color="auto" w:fill="FFFFFF"/>
          <w:lang w:eastAsia="zh-CN"/>
        </w:rPr>
        <w:t>的</w:t>
      </w:r>
      <w:r>
        <w:rPr>
          <w:rFonts w:hint="default" w:ascii="Times New Roman" w:hAnsi="Times New Roman" w:eastAsia="方正仿宋_GBK"/>
          <w:sz w:val="32"/>
          <w:szCs w:val="32"/>
          <w:shd w:val="clear" w:color="auto" w:fill="FFFFFF"/>
        </w:rPr>
        <w:t>原因，</w:t>
      </w:r>
      <w:r>
        <w:rPr>
          <w:rFonts w:hint="eastAsia" w:ascii="Times New Roman" w:hAnsi="Times New Roman" w:eastAsia="方正仿宋_GBK"/>
          <w:sz w:val="32"/>
          <w:szCs w:val="32"/>
          <w:shd w:val="clear" w:color="auto" w:fill="FFFFFF"/>
          <w:lang w:eastAsia="zh-CN"/>
        </w:rPr>
        <w:t>未使用财政资金保障</w:t>
      </w:r>
      <w:r>
        <w:rPr>
          <w:rFonts w:hint="default" w:ascii="Times New Roman" w:hAnsi="Times New Roman" w:eastAsia="方正仿宋_GBK"/>
          <w:sz w:val="32"/>
          <w:szCs w:val="32"/>
          <w:shd w:val="clear" w:color="auto" w:fill="FFFFFF"/>
        </w:rPr>
        <w:t>会议费、培训费和差旅费。</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（二）机关运行经费情况说明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FF0000"/>
          <w:sz w:val="32"/>
          <w:szCs w:val="32"/>
        </w:rPr>
      </w:pPr>
      <w:r>
        <w:rPr>
          <w:rFonts w:hint="default" w:ascii="Times New Roman" w:hAnsi="Times New Roman" w:eastAsia="方正仿宋_GBK" w:cs="方正仿宋_GBK"/>
          <w:sz w:val="32"/>
          <w:szCs w:val="32"/>
          <w:shd w:val="clear" w:color="auto" w:fill="FFFFFF"/>
          <w:lang w:val="en-US" w:eastAsia="zh-CN"/>
        </w:rPr>
        <w:t>按照部门决算列报口径，我单位不在机关运行经费统计范围之内</w:t>
      </w:r>
      <w:r>
        <w:rPr>
          <w:rFonts w:hint="eastAsia" w:ascii="Times New Roman" w:hAnsi="Times New Roman" w:eastAsia="方正仿宋_GBK" w:cs="方正仿宋_GBK"/>
          <w:sz w:val="32"/>
          <w:szCs w:val="32"/>
          <w:shd w:val="clear" w:color="auto" w:fill="FFFFFF"/>
          <w:lang w:val="en-US" w:eastAsia="zh-CN"/>
        </w:rPr>
        <w:t>。</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（三）国有资产占用情况说明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（四）政府采购支出情况说明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2024年度我</w:t>
      </w:r>
      <w:r>
        <w:rPr>
          <w:rFonts w:hint="eastAsia" w:ascii="Times New Roman" w:hAnsi="Times New Roman" w:eastAsia="方正仿宋_GBK" w:cs="方正仿宋_GBK"/>
          <w:sz w:val="32"/>
          <w:szCs w:val="32"/>
          <w:shd w:val="clear" w:color="auto" w:fill="FFFFFF"/>
        </w:rPr>
        <w:t>部门</w:t>
      </w:r>
      <w:r>
        <w:rPr>
          <w:rFonts w:ascii="Times New Roman" w:hAnsi="Times New Roman" w:eastAsia="方正仿宋_GBK" w:cs="方正仿宋_GBK"/>
          <w:sz w:val="32"/>
          <w:szCs w:val="32"/>
          <w:shd w:val="clear" w:color="auto" w:fill="FFFFFF"/>
        </w:rPr>
        <w:t>未发生政府采购事项，无相关经费支出。</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eastAsia" w:ascii="Times New Roman" w:hAnsi="Times New Roman" w:eastAsia="方正仿宋_GBK" w:cs="黑体"/>
          <w:sz w:val="32"/>
          <w:szCs w:val="32"/>
          <w:shd w:val="clear" w:color="auto" w:fill="FFFFFF"/>
          <w:lang w:val="en-US" w:eastAsia="zh-CN" w:bidi="ar-SA"/>
        </w:rPr>
      </w:pPr>
      <w:r>
        <w:rPr>
          <w:rStyle w:val="14"/>
          <w:rFonts w:hint="eastAsia" w:ascii="Times New Roman" w:hAnsi="Times New Roman" w:eastAsia="方正仿宋_GBK" w:cs="黑体"/>
          <w:sz w:val="32"/>
          <w:szCs w:val="32"/>
          <w:shd w:val="clear" w:color="auto" w:fill="FFFFFF"/>
          <w:lang w:val="en-US" w:eastAsia="zh-CN" w:bidi="ar-SA"/>
        </w:rPr>
        <w:t>五、2024年度预算绩效管理情况说明</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kern w:val="0"/>
          <w:sz w:val="32"/>
          <w:szCs w:val="32"/>
          <w:shd w:val="clear" w:fill="FFFFFF"/>
        </w:rPr>
        <w:t>（</w:t>
      </w:r>
      <w:r>
        <w:rPr>
          <w:rFonts w:hint="eastAsia" w:ascii="Times New Roman" w:hAnsi="Times New Roman" w:eastAsia="方正仿宋_GBK" w:cs="楷体"/>
          <w:b/>
          <w:bCs/>
          <w:sz w:val="32"/>
          <w:szCs w:val="32"/>
          <w:shd w:val="clear" w:color="auto" w:fill="FFFFFF"/>
        </w:rPr>
        <w:t>一）单位自评情况</w:t>
      </w:r>
    </w:p>
    <w:p>
      <w:pPr>
        <w:pStyle w:val="16"/>
        <w:keepNext w:val="0"/>
        <w:keepLines w:val="0"/>
        <w:pageBreakBefore w:val="0"/>
        <w:widowControl w:val="0"/>
        <w:kinsoku/>
        <w:wordWrap/>
        <w:overflowPunct/>
        <w:topLinePunct w:val="0"/>
        <w:autoSpaceDE w:val="0"/>
        <w:autoSpaceDN/>
        <w:bidi w:val="0"/>
        <w:adjustRightInd/>
        <w:spacing w:before="0" w:beforeAutospacing="0" w:afterAutospacing="0" w:line="600" w:lineRule="exact"/>
        <w:ind w:firstLine="640" w:firstLineChars="200"/>
        <w:textAlignment w:val="auto"/>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我单位无财政拨款项目支出。</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（二）单位绩效评价情况</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我单位未组织开展绩效评价。</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（三）财政绩效评价情况</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638" w:leftChars="266" w:firstLine="0" w:firstLineChars="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sz w:val="32"/>
          <w:szCs w:val="32"/>
          <w:shd w:val="clear" w:color="auto" w:fill="FFFFFF"/>
          <w:lang w:val="en-US" w:eastAsia="zh-CN" w:bidi="ar-SA"/>
        </w:rPr>
        <w:t>区财政局未委托第三方对我单位开展绩效评价。</w:t>
      </w:r>
      <w:r>
        <w:rPr>
          <w:rStyle w:val="17"/>
          <w:rFonts w:hint="eastAsia" w:ascii="Times New Roman" w:hAnsi="Times New Roman" w:eastAsia="方正仿宋_GBK" w:cs="方正仿宋_GBK"/>
          <w:b/>
          <w:bCs/>
          <w:sz w:val="32"/>
          <w:szCs w:val="32"/>
          <w:shd w:val="clear" w:fill="FFFFFF"/>
        </w:rPr>
        <w:t xml:space="preserve"> </w:t>
      </w:r>
      <w:r>
        <w:rPr>
          <w:rStyle w:val="17"/>
          <w:rFonts w:hint="eastAsia" w:ascii="Times New Roman" w:hAnsi="Times New Roman" w:eastAsia="方正仿宋_GBK" w:cs="方正仿宋_GBK"/>
          <w:b/>
          <w:bCs/>
          <w:sz w:val="32"/>
          <w:szCs w:val="32"/>
          <w:shd w:val="clear" w:fill="FFFFFF"/>
          <w:lang w:val="en-US" w:eastAsia="zh-CN"/>
        </w:rPr>
        <w:t xml:space="preserve">  </w:t>
      </w:r>
      <w:r>
        <w:rPr>
          <w:rStyle w:val="14"/>
          <w:rFonts w:hint="eastAsia" w:ascii="Times New Roman" w:hAnsi="Times New Roman" w:eastAsia="方正仿宋_GBK" w:cs="黑体"/>
          <w:sz w:val="32"/>
          <w:szCs w:val="32"/>
          <w:shd w:val="clear" w:color="auto" w:fill="FFFFFF"/>
          <w:lang w:val="en-US" w:eastAsia="zh-CN" w:bidi="ar-SA"/>
        </w:rPr>
        <w:t xml:space="preserve"> 六、专业名词解释</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（一）财政拨款收入：</w:t>
      </w:r>
      <w:r>
        <w:rPr>
          <w:rFonts w:hint="eastAsia" w:ascii="Times New Roman" w:hAnsi="Times New Roman" w:eastAsia="方正仿宋_GBK" w:cs="方正仿宋_GBK"/>
          <w:kern w:val="0"/>
          <w:sz w:val="32"/>
          <w:szCs w:val="32"/>
          <w:shd w:val="clear" w:fill="FFFFFF"/>
        </w:rPr>
        <w:t>指本年度从本级财政部门取得的财政拨款，包括一般公共预算财政拨款和政府性基金预算财政拨款。</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（二）事业收入：</w:t>
      </w:r>
      <w:r>
        <w:rPr>
          <w:rFonts w:hint="eastAsia" w:ascii="Times New Roman" w:hAnsi="Times New Roman"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（三）经营收入：</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指事业单位在专业业务活动及其辅助活动之外开展非独立核算经营活动取得的现金流入。</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（四）其他收入：</w:t>
      </w:r>
      <w:r>
        <w:rPr>
          <w:rFonts w:hint="eastAsia" w:ascii="Times New Roman" w:hAnsi="Times New Roman"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（五）使用非财政拨款结余（含专用结余）：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黑体"/>
          <w:sz w:val="32"/>
          <w:szCs w:val="32"/>
          <w:shd w:val="clear" w:color="auto" w:fill="FFFFFF"/>
          <w:lang w:val="en-US" w:eastAsia="zh-CN" w:bidi="ar-SA"/>
        </w:rPr>
        <w:t>七、决算公开联系方式及信息反馈渠道</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shd w:val="clear" w:fill="FFFFFF"/>
        </w:rPr>
        <w:t>本单位决算公开信息反馈和联系方式：</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方正仿宋_GBK"/>
          <w:kern w:val="0"/>
          <w:sz w:val="32"/>
          <w:szCs w:val="32"/>
          <w:shd w:val="clear" w:fill="FFFFFF"/>
          <w:lang w:val="en-US" w:eastAsia="zh-CN"/>
        </w:rPr>
      </w:pPr>
      <w:r>
        <w:rPr>
          <w:rFonts w:hint="eastAsia" w:ascii="Times New Roman" w:hAnsi="Times New Roman" w:eastAsia="方正仿宋_GBK" w:cs="方正仿宋_GBK"/>
          <w:kern w:val="0"/>
          <w:sz w:val="32"/>
          <w:szCs w:val="32"/>
          <w:shd w:val="clear" w:fill="FFFFFF"/>
          <w:lang w:eastAsia="zh-CN"/>
        </w:rPr>
        <w:t>周训涛</w:t>
      </w:r>
      <w:r>
        <w:rPr>
          <w:rFonts w:hint="eastAsia" w:ascii="Times New Roman" w:hAnsi="Times New Roman" w:eastAsia="方正仿宋_GBK" w:cs="方正仿宋_GBK"/>
          <w:kern w:val="0"/>
          <w:sz w:val="32"/>
          <w:szCs w:val="32"/>
          <w:shd w:val="clear" w:fill="FFFFFF"/>
        </w:rPr>
        <w:t xml:space="preserve">   023-</w:t>
      </w:r>
      <w:r>
        <w:rPr>
          <w:rFonts w:hint="eastAsia" w:ascii="Times New Roman" w:hAnsi="Times New Roman" w:eastAsia="方正仿宋_GBK" w:cs="方正仿宋_GBK"/>
          <w:kern w:val="0"/>
          <w:sz w:val="32"/>
          <w:szCs w:val="32"/>
          <w:shd w:val="clear" w:fill="FFFFFF"/>
          <w:lang w:val="en-US" w:eastAsia="zh-CN"/>
        </w:rPr>
        <w:t>43786579</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jc w:val="both"/>
        <w:textAlignment w:val="auto"/>
        <w:rPr>
          <w:rStyle w:val="14"/>
          <w:rFonts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重庆市大足区智凤街道劳动就业和社会保障服务所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重庆市大足区智凤街道劳动就业和社会保障服务所</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116.46</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116.46</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84.38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重庆市大足区智凤街道劳动就业和社会保障服务所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116.46</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116.46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84.38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84.38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重庆市大足区智凤街道劳动就业和社会保障服务所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116.46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116.46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116.46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重庆市大足区智凤街道劳动就业和社会保障服务所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重庆市大足区智凤街道劳动就业和社会保障服务所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111.65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重庆市大足区智凤街道劳动就业和社会保障服务所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重庆市大足区智凤街道劳动就业和社会保障服务所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重庆市大足区智凤街道劳动就业和社会保障服务所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AFD52C6"/>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3EE51FB"/>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ADF5EB5"/>
    <w:rsid w:val="7B420052"/>
    <w:rsid w:val="7BD06A28"/>
    <w:rsid w:val="7C3A7C0B"/>
    <w:rsid w:val="7C5248E4"/>
    <w:rsid w:val="7C566698"/>
    <w:rsid w:val="7C5866A3"/>
    <w:rsid w:val="7D7406BB"/>
    <w:rsid w:val="7DE94331"/>
    <w:rsid w:val="7F1FAEBA"/>
    <w:rsid w:val="7F446A19"/>
    <w:rsid w:val="7F7452B9"/>
    <w:rsid w:val="8BBE9729"/>
    <w:rsid w:val="AF4F8836"/>
    <w:rsid w:val="DB7BB0BF"/>
    <w:rsid w:val="FFDFD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index 6"/>
    <w:basedOn w:val="1"/>
    <w:next w:val="1"/>
    <w:qFormat/>
    <w:uiPriority w:val="0"/>
    <w:pPr>
      <w:ind w:left="2100"/>
    </w:pPr>
  </w:style>
  <w:style w:type="paragraph" w:styleId="6">
    <w:name w:val="Balloon Text"/>
    <w:basedOn w:val="1"/>
    <w:link w:val="19"/>
    <w:qFormat/>
    <w:uiPriority w:val="0"/>
    <w:rPr>
      <w:sz w:val="18"/>
      <w:szCs w:val="18"/>
    </w:rPr>
  </w:style>
  <w:style w:type="paragraph" w:styleId="7">
    <w:name w:val="footer"/>
    <w:basedOn w:val="1"/>
    <w:next w:val="5"/>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6"/>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4833</Words>
  <Characters>5284</Characters>
  <Lines>186</Lines>
  <Paragraphs>52</Paragraphs>
  <TotalTime>1</TotalTime>
  <ScaleCrop>false</ScaleCrop>
  <LinksUpToDate>false</LinksUpToDate>
  <CharactersWithSpaces>5339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greatwall</cp:lastModifiedBy>
  <dcterms:modified xsi:type="dcterms:W3CDTF">2025-10-23T09:14:46Z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BB46EABDBB2749749395447164B066B3_12</vt:lpwstr>
  </property>
  <property fmtid="{D5CDD505-2E9C-101B-9397-08002B2CF9AE}" pid="4" name="KSOTemplateDocerSaveRecord">
    <vt:lpwstr>eyJoZGlkIjoiMzg0N2RmMjE1MjcwYjYzYzI4NTUyZDZmY2E5NzEzZDQifQ==</vt:lpwstr>
  </property>
</Properties>
</file>