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重庆市大足区回龙镇综合行政执法大队</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（1）具体承担本级人民政府的综合行政执法工作，集中行使依法授权或委托的农林水利、规划建设、生态环境保护、卫生健康、文化旅游、民政管理、交通、消防等领域的行政执法权。</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（2）承担本级人民政府经法律法规授权或依法受委托其他行业领域的安全生产监管执法工作。</w:t>
      </w:r>
    </w:p>
    <w:p>
      <w:pPr>
        <w:pStyle w:val="6"/>
        <w:shd w:val="clear" w:color="auto" w:fill="FFFFFF"/>
        <w:ind w:firstLine="420"/>
        <w:rPr>
          <w:rFonts w:hint="default" w:ascii="楷体" w:hAnsi="楷体" w:eastAsia="楷体" w:cs="楷体"/>
          <w:color w:val="auto"/>
          <w:sz w:val="32"/>
          <w:szCs w:val="32"/>
        </w:rPr>
      </w:pPr>
      <w:r>
        <w:rPr>
          <w:rFonts w:hint="eastAsia" w:ascii="方正仿宋_GBK" w:hAnsi="方正仿宋_GBK" w:eastAsia="方正仿宋_GBK" w:cs="方正仿宋_GBK"/>
          <w:color w:val="auto"/>
          <w:sz w:val="32"/>
          <w:szCs w:val="32"/>
          <w:shd w:val="clear" w:color="auto" w:fill="FFFFFF"/>
        </w:rPr>
        <w:t>（3）负责完成与城市管理、规划和自然资源管理、市场监督管理等区级部门直接管理领域联合执法相关工作任务。</w:t>
      </w:r>
      <w:r>
        <w:rPr>
          <w:rStyle w:val="10"/>
          <w:rFonts w:ascii="楷体" w:hAnsi="楷体" w:eastAsia="楷体" w:cs="楷体"/>
          <w:color w:val="auto"/>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重庆市大足区回龙镇综合行政执法支队隶属于重庆市大足区回龙镇人民政府，公益一类事业单位。</w:t>
      </w:r>
    </w:p>
    <w:p>
      <w:pPr>
        <w:pStyle w:val="6"/>
        <w:shd w:val="clear" w:color="auto" w:fill="FFFFFF"/>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2023年度收入总计89.22万元，支出总计</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万元。收支较上年决算数增加89.22万元，增长100.00%，主要原因是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2023年度收入合计89.22万元，较上年决算数增加89.22万元，增长100.00%，主要原因是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万元，较上年决算数增加89.22万元，增长100.00%，主要原因是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2023年度财政拨款收、支总计89.22万元。与2022年相比，财政拨款收、支总计各增加89.22万元，增长100.00%。主要原因是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万元，较上年决算数增加89.22万元，增长100.00%。主要原因</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。较年初预算数减少4.99万元，下降5.30%。主要原因是</w:t>
      </w:r>
      <w:r>
        <w:rPr>
          <w:rFonts w:hint="eastAsia" w:ascii="方正仿宋_GBK" w:hAnsi="方正仿宋_GBK" w:eastAsia="方正仿宋_GBK" w:cs="方正仿宋_GBK"/>
          <w:color w:val="auto"/>
          <w:sz w:val="32"/>
          <w:szCs w:val="32"/>
          <w:shd w:val="clear" w:color="auto" w:fill="FFFFFF"/>
          <w:lang w:eastAsia="zh-CN"/>
        </w:rPr>
        <w:t>人员调动</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万元，较上年决算数增加89.22万元，增长100.00%。主要原因是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。较年初预算数减少4.99万元，下降5.30%。主要原因是</w:t>
      </w:r>
      <w:r>
        <w:rPr>
          <w:rFonts w:hint="eastAsia" w:ascii="方正仿宋_GBK" w:hAnsi="方正仿宋_GBK" w:eastAsia="方正仿宋_GBK" w:cs="方正仿宋_GBK"/>
          <w:color w:val="auto"/>
          <w:sz w:val="32"/>
          <w:szCs w:val="32"/>
          <w:shd w:val="clear" w:color="auto" w:fill="FFFFFF"/>
          <w:lang w:eastAsia="zh-CN"/>
        </w:rPr>
        <w:t>人员调动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69.73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78.16</w:t>
      </w:r>
      <w:r>
        <w:rPr>
          <w:rFonts w:ascii="方正仿宋_GBK" w:hAnsi="方正仿宋_GBK" w:eastAsia="方正仿宋_GBK" w:cs="方正仿宋_GBK"/>
          <w:color w:val="auto"/>
          <w:sz w:val="32"/>
          <w:szCs w:val="32"/>
          <w:shd w:val="clear" w:color="auto" w:fill="FFFFFF"/>
        </w:rPr>
        <w:t>%，较年初预算数减少4.99万元，下降6.68%，主要原因是</w:t>
      </w:r>
      <w:r>
        <w:rPr>
          <w:rFonts w:hint="eastAsia" w:ascii="方正仿宋_GBK" w:hAnsi="方正仿宋_GBK" w:eastAsia="方正仿宋_GBK" w:cs="方正仿宋_GBK"/>
          <w:color w:val="auto"/>
          <w:sz w:val="32"/>
          <w:szCs w:val="32"/>
          <w:shd w:val="clear" w:color="auto" w:fill="FFFFFF"/>
          <w:lang w:eastAsia="zh-CN"/>
        </w:rPr>
        <w:t>人员调动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9.73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10.90</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社会</w:t>
      </w:r>
      <w:r>
        <w:rPr>
          <w:rFonts w:hint="eastAsia" w:ascii="方正仿宋_GBK" w:hAnsi="方正仿宋_GBK" w:eastAsia="方正仿宋_GBK" w:cs="方正仿宋_GBK"/>
          <w:color w:val="auto"/>
          <w:sz w:val="32"/>
          <w:szCs w:val="32"/>
          <w:shd w:val="clear" w:color="auto" w:fill="FFFFFF"/>
        </w:rPr>
        <w:t>保险缴费。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4.96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5.56</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严格按照人员数量及工资标准预算支出人员医疗保险缴费。</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住房保障支出4.80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5.38</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住房公积金</w:t>
      </w:r>
      <w:r>
        <w:rPr>
          <w:rFonts w:hint="eastAsia" w:ascii="方正仿宋_GBK" w:hAnsi="方正仿宋_GBK" w:eastAsia="方正仿宋_GBK" w:cs="方正仿宋_GBK"/>
          <w:color w:val="auto"/>
          <w:sz w:val="32"/>
          <w:szCs w:val="32"/>
          <w:shd w:val="clear" w:color="auto" w:fill="FFFFFF"/>
        </w:rPr>
        <w:t>缴费。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89.22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86.62</w:t>
      </w:r>
      <w:r>
        <w:rPr>
          <w:rFonts w:ascii="方正仿宋_GBK" w:hAnsi="方正仿宋_GBK" w:eastAsia="方正仿宋_GBK" w:cs="方正仿宋_GBK"/>
          <w:color w:val="auto"/>
          <w:sz w:val="32"/>
          <w:szCs w:val="32"/>
          <w:shd w:val="clear" w:color="auto" w:fill="FFFFFF"/>
        </w:rPr>
        <w:t>万元，较上年决算数增加86.62万元，增长100.00%，主要原因是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2.60</w:t>
      </w:r>
      <w:r>
        <w:rPr>
          <w:rFonts w:ascii="方正仿宋_GBK" w:hAnsi="方正仿宋_GBK" w:eastAsia="方正仿宋_GBK" w:cs="方正仿宋_GBK"/>
          <w:color w:val="auto"/>
          <w:sz w:val="32"/>
          <w:szCs w:val="32"/>
          <w:shd w:val="clear" w:color="auto" w:fill="FFFFFF"/>
        </w:rPr>
        <w:t>万元，较上年决算数增加2.60万元，增长100.00%，主要原因是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工会经费、培训费。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auto"/>
        </w:rPr>
      </w:pPr>
      <w:r>
        <w:rPr>
          <w:rStyle w:val="10"/>
          <w:rFonts w:ascii="方正仿宋_GBK" w:hAnsi="方正仿宋_GBK" w:eastAsia="方正仿宋_GBK" w:cs="方正仿宋_GBK"/>
          <w:sz w:val="32"/>
          <w:szCs w:val="32"/>
          <w:shd w:val="clear" w:color="auto" w:fill="auto"/>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auto"/>
        </w:rPr>
      </w:pPr>
      <w:r>
        <w:rPr>
          <w:rStyle w:val="10"/>
          <w:rFonts w:ascii="方正仿宋_GBK" w:hAnsi="方正仿宋_GBK" w:eastAsia="方正仿宋_GBK" w:cs="方正仿宋_GBK"/>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本单位与行政单位合署办公，年初编制预算时统一将办公经费编制在行政单位账套下，因此未有单独体现。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43"/>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本单位与行政单位合署办公，年初编制预算及使用时统一将因公出国（境）费用、公务车购置费、公务车运行维护费、公务接待费编制在行政单位账套下，因此未有单独体现。</w:t>
      </w: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万元，较上年决算数增加0.54万元，增长100.00%，主要原因</w:t>
      </w:r>
      <w:r>
        <w:rPr>
          <w:rFonts w:hint="eastAsia" w:ascii="方正仿宋_GBK" w:hAnsi="方正仿宋_GBK" w:eastAsia="方正仿宋_GBK" w:cs="方正仿宋_GBK"/>
          <w:sz w:val="32"/>
          <w:szCs w:val="32"/>
          <w:shd w:val="clear" w:color="auto" w:fill="FFFFFF"/>
        </w:rPr>
        <w:t>是2022年是行政和7个下属事业单位汇总编报，2023年为各单位单独填报。</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bookmarkStart w:id="0" w:name="_GoBack"/>
      <w:bookmarkEnd w:id="0"/>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w:t>
      </w:r>
      <w:r>
        <w:rPr>
          <w:rFonts w:ascii="方正仿宋_GBK" w:hAnsi="方正仿宋_GBK" w:eastAsia="方正仿宋_GBK" w:cs="方正仿宋_GBK"/>
          <w:color w:val="auto"/>
          <w:sz w:val="32"/>
          <w:szCs w:val="32"/>
          <w:shd w:val="clear" w:color="auto" w:fill="FFFFFF"/>
        </w:rPr>
        <w:t>方式：023-</w:t>
      </w:r>
      <w:r>
        <w:rPr>
          <w:rFonts w:hint="eastAsia" w:ascii="方正仿宋_GBK" w:hAnsi="方正仿宋_GBK" w:eastAsia="方正仿宋_GBK" w:cs="方正仿宋_GBK"/>
          <w:color w:val="auto"/>
          <w:sz w:val="32"/>
          <w:szCs w:val="32"/>
          <w:shd w:val="clear" w:color="auto" w:fill="FFFFFF"/>
          <w:lang w:val="en-US" w:eastAsia="zh-CN"/>
        </w:rPr>
        <w:t>43406001</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89.22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89.22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89.22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89.22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89.22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89.22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86.62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641A6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1634C2"/>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