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重庆市大足区回龙镇农业服务中心</w:t>
      </w:r>
    </w:p>
    <w:p>
      <w:pPr>
        <w:pStyle w:val="6"/>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2023年度决算公开说明</w:t>
      </w:r>
    </w:p>
    <w:p>
      <w:pPr>
        <w:pStyle w:val="6"/>
        <w:shd w:val="clear" w:color="auto" w:fill="FFFFFF"/>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承担农业投入品使用、农业科技推广、农机推广、农产品质量服务、农业产业结构调整、农业产业化经营、林业科技推广、林业生产经营、林业资源保护、野生动植物保护、森林防火、森林病虫害防治、水资源管理和保护、水土保持、农田水利基本建设、水污染防治、防汛抗旱、扶贫开发培训、扶贫对象监测、扶贫资金和物资落实、扶贫项目实施、扶贫信息系统维护等农业农村、林业、水利、扶贫领域的事务性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承担行政辖区内动物疫病的防疫、强制免疫、动物产品检疫等事务性工作，实施动物疫情调查、动物疫病监测、动物疫情报告和畜禽圈舍环境消毒等工作；指导饲料、饲料添加剂、兽药等投入品在养殖环节的使用；承担畜牧兽医技术、种畜禽推广工作，畜牧业生产统计等工作。</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重庆市大足区回龙镇农业服务中心隶属于重庆市大足区回龙镇人民政府，公益一类事业单位。</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2023年度收入总计213.30万元，支出总计</w:t>
      </w:r>
      <w:r>
        <w:rPr>
          <w:rFonts w:ascii="方正仿宋_GBK" w:hAnsi="方正仿宋_GBK" w:eastAsia="方正仿宋_GBK" w:cs="方正仿宋_GBK"/>
          <w:color w:val="auto"/>
          <w:sz w:val="32"/>
          <w:szCs w:val="32"/>
        </w:rPr>
        <w:t>213.30</w:t>
      </w:r>
      <w:r>
        <w:rPr>
          <w:rFonts w:ascii="方正仿宋_GBK" w:hAnsi="方正仿宋_GBK" w:eastAsia="方正仿宋_GBK" w:cs="方正仿宋_GBK"/>
          <w:color w:val="auto"/>
          <w:sz w:val="32"/>
          <w:szCs w:val="32"/>
          <w:shd w:val="clear" w:color="auto" w:fill="FFFFFF"/>
        </w:rPr>
        <w:t>万元。收支较上年决算数增加213.30万元，增长100.00%，主要原因是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2023年度收入合计213.30万元，较上年决算数增加213.30万元，增长100.00%，主要原因是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213.30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213.30</w:t>
      </w:r>
      <w:r>
        <w:rPr>
          <w:rFonts w:ascii="方正仿宋_GBK" w:hAnsi="方正仿宋_GBK" w:eastAsia="方正仿宋_GBK" w:cs="方正仿宋_GBK"/>
          <w:color w:val="auto"/>
          <w:sz w:val="32"/>
          <w:szCs w:val="32"/>
          <w:shd w:val="clear" w:color="auto" w:fill="FFFFFF"/>
        </w:rPr>
        <w:t>万元，较上年决算数增加213.30万元，增长100.00%，主要原因是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213.30</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2023年度财政拨款收、支总计213.30万元。与2022年相比，财政拨款收、支总计各增加213.30万元，增长100.00%。主要原因是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213.30</w:t>
      </w:r>
      <w:r>
        <w:rPr>
          <w:rFonts w:ascii="方正仿宋_GBK" w:hAnsi="方正仿宋_GBK" w:eastAsia="方正仿宋_GBK" w:cs="方正仿宋_GBK"/>
          <w:color w:val="auto"/>
          <w:sz w:val="32"/>
          <w:szCs w:val="32"/>
          <w:shd w:val="clear" w:color="auto" w:fill="FFFFFF"/>
        </w:rPr>
        <w:t>万元，较上年决算数增加213.30万元，增长100.00%。主要原因是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较年初预算数增加3.94万元，增长1.88%。主要原因是</w:t>
      </w:r>
      <w:r>
        <w:rPr>
          <w:rFonts w:hint="eastAsia" w:ascii="方正仿宋_GBK" w:hAnsi="方正仿宋_GBK" w:eastAsia="方正仿宋_GBK" w:cs="方正仿宋_GBK"/>
          <w:color w:val="auto"/>
          <w:sz w:val="32"/>
          <w:szCs w:val="32"/>
          <w:shd w:val="clear" w:color="auto" w:fill="FFFFFF"/>
          <w:lang w:eastAsia="zh-CN"/>
        </w:rPr>
        <w:t>人员变动及正常晋升工资等次</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213.30</w:t>
      </w:r>
      <w:r>
        <w:rPr>
          <w:rFonts w:ascii="方正仿宋_GBK" w:hAnsi="方正仿宋_GBK" w:eastAsia="方正仿宋_GBK" w:cs="方正仿宋_GBK"/>
          <w:color w:val="auto"/>
          <w:sz w:val="32"/>
          <w:szCs w:val="32"/>
          <w:shd w:val="clear" w:color="auto" w:fill="FFFFFF"/>
        </w:rPr>
        <w:t>万元，较上年决算数增加213.30万元，增长100.00%。主要原因是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。较年初预算数增加3.94万元，增长1.88%。主要原因是</w:t>
      </w:r>
      <w:r>
        <w:rPr>
          <w:rFonts w:hint="eastAsia" w:ascii="方正仿宋_GBK" w:hAnsi="方正仿宋_GBK" w:eastAsia="方正仿宋_GBK" w:cs="方正仿宋_GBK"/>
          <w:color w:val="auto"/>
          <w:sz w:val="32"/>
          <w:szCs w:val="32"/>
          <w:shd w:val="clear" w:color="auto" w:fill="FFFFFF"/>
        </w:rPr>
        <w:t>人员变动及正常晋升工资等次</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36.15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16.95</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严格按照人员数量及工资标准预算支出人员社会保险缴费</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4.91</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医疗</w:t>
      </w:r>
      <w:r>
        <w:rPr>
          <w:rFonts w:hint="eastAsia" w:ascii="方正仿宋_GBK" w:hAnsi="方正仿宋_GBK" w:eastAsia="方正仿宋_GBK" w:cs="方正仿宋_GBK"/>
          <w:color w:val="auto"/>
          <w:sz w:val="32"/>
          <w:szCs w:val="32"/>
          <w:shd w:val="clear" w:color="auto" w:fill="FFFFFF"/>
        </w:rPr>
        <w:t>保险缴费</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156.24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73.25</w:t>
      </w:r>
      <w:r>
        <w:rPr>
          <w:rFonts w:ascii="方正仿宋_GBK" w:hAnsi="方正仿宋_GBK" w:eastAsia="方正仿宋_GBK" w:cs="方正仿宋_GBK"/>
          <w:color w:val="auto"/>
          <w:sz w:val="32"/>
          <w:szCs w:val="32"/>
          <w:shd w:val="clear" w:color="auto" w:fill="FFFFFF"/>
        </w:rPr>
        <w:t>%，较年初预算数增加3.94万元，增长2.59%，主要原因是</w:t>
      </w:r>
      <w:r>
        <w:rPr>
          <w:rFonts w:hint="eastAsia" w:ascii="方正仿宋_GBK" w:hAnsi="方正仿宋_GBK" w:eastAsia="方正仿宋_GBK" w:cs="方正仿宋_GBK"/>
          <w:color w:val="auto"/>
          <w:sz w:val="32"/>
          <w:szCs w:val="32"/>
          <w:shd w:val="clear" w:color="auto" w:fill="FFFFFF"/>
        </w:rPr>
        <w:t>人员变动及正常晋升工资等次</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住房保障支出10.44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4.90</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住房公积金</w:t>
      </w:r>
      <w:r>
        <w:rPr>
          <w:rFonts w:hint="eastAsia" w:ascii="方正仿宋_GBK" w:hAnsi="方正仿宋_GBK" w:eastAsia="方正仿宋_GBK" w:cs="方正仿宋_GBK"/>
          <w:color w:val="auto"/>
          <w:sz w:val="32"/>
          <w:szCs w:val="32"/>
          <w:shd w:val="clear" w:color="auto" w:fill="FFFFFF"/>
        </w:rPr>
        <w:t>缴费</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213.30</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207.64</w:t>
      </w:r>
      <w:r>
        <w:rPr>
          <w:rFonts w:ascii="方正仿宋_GBK" w:hAnsi="方正仿宋_GBK" w:eastAsia="方正仿宋_GBK" w:cs="方正仿宋_GBK"/>
          <w:color w:val="auto"/>
          <w:sz w:val="32"/>
          <w:szCs w:val="32"/>
          <w:shd w:val="clear" w:color="auto" w:fill="FFFFFF"/>
        </w:rPr>
        <w:t>万元，较上年决算数增加207.64万元，增长100.00%，主要原因是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基本工资、津贴补贴、绩效工资、社会保障缴费、住房公积金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5.65</w:t>
      </w:r>
      <w:r>
        <w:rPr>
          <w:rFonts w:ascii="方正仿宋_GBK" w:hAnsi="方正仿宋_GBK" w:eastAsia="方正仿宋_GBK" w:cs="方正仿宋_GBK"/>
          <w:color w:val="auto"/>
          <w:sz w:val="32"/>
          <w:szCs w:val="32"/>
          <w:shd w:val="clear" w:color="auto" w:fill="FFFFFF"/>
        </w:rPr>
        <w:t>万元，较上年决算数增加5.65万元，增长100.00%，主要原因是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工会经费、培训费</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auto"/>
        </w:rPr>
      </w:pPr>
      <w:r>
        <w:rPr>
          <w:rStyle w:val="10"/>
          <w:rFonts w:ascii="方正仿宋_GBK" w:hAnsi="方正仿宋_GBK" w:eastAsia="方正仿宋_GBK" w:cs="方正仿宋_GBK"/>
          <w:color w:val="auto"/>
          <w:sz w:val="32"/>
          <w:szCs w:val="32"/>
          <w:shd w:val="clear" w:color="auto" w:fill="auto"/>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auto"/>
        </w:rPr>
      </w:pPr>
      <w:r>
        <w:rPr>
          <w:rStyle w:val="10"/>
          <w:rFonts w:ascii="方正仿宋_GBK" w:hAnsi="方正仿宋_GBK" w:eastAsia="方正仿宋_GBK" w:cs="方正仿宋_GBK"/>
          <w:color w:val="auto"/>
          <w:sz w:val="32"/>
          <w:szCs w:val="32"/>
          <w:shd w:val="clear" w:color="auto" w:fill="auto"/>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与行政单位合署办公，年初编制预算时统一将办公经费编制在行政单位账套下，因此未有单独体现。</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本单位与行政单位合署办公，年初编制预算</w:t>
      </w:r>
      <w:r>
        <w:rPr>
          <w:rFonts w:hint="eastAsia" w:ascii="方正仿宋_GBK" w:hAnsi="方正仿宋_GBK" w:eastAsia="方正仿宋_GBK" w:cs="方正仿宋_GBK"/>
          <w:color w:val="auto"/>
          <w:sz w:val="32"/>
          <w:szCs w:val="32"/>
          <w:shd w:val="clear" w:color="auto" w:fill="FFFFFF"/>
          <w:lang w:eastAsia="zh-CN"/>
        </w:rPr>
        <w:t>及使用时</w:t>
      </w:r>
      <w:r>
        <w:rPr>
          <w:rFonts w:hint="eastAsia" w:ascii="方正仿宋_GBK" w:hAnsi="方正仿宋_GBK" w:eastAsia="方正仿宋_GBK" w:cs="方正仿宋_GBK"/>
          <w:color w:val="auto"/>
          <w:sz w:val="32"/>
          <w:szCs w:val="32"/>
          <w:shd w:val="clear" w:color="auto" w:fill="FFFFFF"/>
        </w:rPr>
        <w:t>统一将因公出国（境）费用</w:t>
      </w:r>
      <w:r>
        <w:rPr>
          <w:rFonts w:hint="eastAsia" w:ascii="方正仿宋_GBK" w:hAnsi="方正仿宋_GBK" w:eastAsia="方正仿宋_GBK" w:cs="方正仿宋_GBK"/>
          <w:color w:val="auto"/>
          <w:sz w:val="32"/>
          <w:szCs w:val="32"/>
          <w:shd w:val="clear" w:color="auto" w:fill="FFFFFF"/>
          <w:lang w:eastAsia="zh-CN"/>
        </w:rPr>
        <w:t>、公务车购置费、公务车运行维护费、公务接待费</w:t>
      </w:r>
      <w:r>
        <w:rPr>
          <w:rFonts w:hint="eastAsia" w:ascii="方正仿宋_GBK" w:hAnsi="方正仿宋_GBK" w:eastAsia="方正仿宋_GBK" w:cs="方正仿宋_GBK"/>
          <w:color w:val="auto"/>
          <w:sz w:val="32"/>
          <w:szCs w:val="32"/>
          <w:shd w:val="clear" w:color="auto" w:fill="FFFFFF"/>
        </w:rPr>
        <w:t>编制在行政单位账套下，因此未有单独体现。</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11"/>
        <w:autoSpaceDE w:val="0"/>
        <w:ind w:firstLine="643"/>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万元，较上年决算数无增减。本年度培训费支出</w:t>
      </w:r>
      <w:r>
        <w:rPr>
          <w:rFonts w:ascii="方正仿宋_GBK" w:hAnsi="方正仿宋_GBK" w:eastAsia="方正仿宋_GBK" w:cs="方正仿宋_GBK"/>
          <w:color w:val="auto"/>
          <w:sz w:val="32"/>
          <w:szCs w:val="32"/>
        </w:rPr>
        <w:t>0.09</w:t>
      </w:r>
      <w:r>
        <w:rPr>
          <w:rFonts w:ascii="方正仿宋_GBK" w:hAnsi="方正仿宋_GBK" w:eastAsia="方正仿宋_GBK" w:cs="方正仿宋_GBK"/>
          <w:color w:val="auto"/>
          <w:sz w:val="32"/>
          <w:szCs w:val="32"/>
          <w:shd w:val="clear" w:color="auto" w:fill="FFFFFF"/>
        </w:rPr>
        <w:t>万元，较上年决算数增加0.09万元，增长100.00%，主要原因是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未无项目支出，故无单位自评。</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bookmarkStart w:id="0" w:name="_GoBack"/>
      <w:bookmarkEnd w:id="0"/>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本单位决算公开信息反馈和联系方式：023-</w:t>
      </w:r>
      <w:r>
        <w:rPr>
          <w:rFonts w:hint="eastAsia" w:ascii="方正仿宋_GBK" w:hAnsi="方正仿宋_GBK" w:eastAsia="方正仿宋_GBK" w:cs="方正仿宋_GBK"/>
          <w:color w:val="auto"/>
          <w:sz w:val="32"/>
          <w:szCs w:val="32"/>
          <w:shd w:val="clear" w:color="auto" w:fill="FFFFFF"/>
          <w:lang w:val="en-US" w:eastAsia="zh-CN"/>
        </w:rPr>
        <w:t>43406001</w:t>
      </w:r>
      <w:r>
        <w:rPr>
          <w:rFonts w:ascii="方正仿宋_GBK" w:hAnsi="方正仿宋_GBK" w:eastAsia="方正仿宋_GBK" w:cs="方正仿宋_GBK"/>
          <w:color w:val="auto"/>
          <w:sz w:val="32"/>
          <w:szCs w:val="32"/>
          <w:shd w:val="clear" w:color="auto" w:fill="FFFFFF"/>
        </w:rPr>
        <w:t>。</w:t>
      </w:r>
    </w:p>
    <w:p>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color w:val="auto"/>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重庆市大足区回龙镇农业服务中心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213.30</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36.15</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10.46</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156.24</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10.44</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213.30</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213.30</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213.30</w:t>
            </w:r>
            <w:r>
              <w:rPr>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213.30</w:t>
            </w:r>
            <w:r>
              <w:rPr>
                <w:color w:val="auto"/>
                <w:sz w:val="20"/>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重庆市大足区回龙镇农业服务中心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213.30</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213.30</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36.15</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36.15</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35.89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35.89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13.93</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13.93</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0.26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0.26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0.26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0.26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8.70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8.70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1.76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1.76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156.24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156.24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156.24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156.24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156.24</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156.24</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10.44</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10.44</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重庆市大足区回龙镇农业服务中心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213.30</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213.30</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36.15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36.15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35.89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35.89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13.93</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13.93</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0.26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0.26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0.26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0.26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8.70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8.70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1.76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1.76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156.24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156.24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156.24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156.24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156.24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156.24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10.44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10.44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10.44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重庆市大足区回龙镇农业服务中心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213.30</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36.15</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36.15</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10.46</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10.46</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156.24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156.24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10.44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10.44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213.30</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213.30</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213.30</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213.30</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213.30</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213.30</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重庆市大足区回龙镇农业服务中心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213.30</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213.30</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36.15</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36.15</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35.89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35.89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13.93</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13.93</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6.96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6.96</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15.00</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15.00</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0.26</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0.26</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0.26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0.26</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10.46</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10.46</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10.46</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10.46</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8.70</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8.70</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1.76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1.76</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156.24</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156.24</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156.24</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156.24</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156.24</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156.24</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10.44</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10.44</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10.44</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10.44</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10.44</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10.44</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重庆市大足区回龙镇农业服务中心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192.64</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5.65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50.25</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8.31</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92.02</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13.93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0.73</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6.96</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0.49</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8.70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0.26</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10.44</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1.76</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15.00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0.09</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13.80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1.20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1.74</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2.61</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207.64</w:t>
            </w:r>
            <w:r>
              <w:rPr>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5.65</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重庆市大足区回龙镇农业服务中心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重庆市大足区回龙镇农业服务中心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r>
              <w:rPr>
                <w:rFonts w:cs="宋体"/>
                <w:color w:val="auto"/>
                <w:sz w:val="20"/>
                <w:szCs w:val="20"/>
              </w:rPr>
              <w:t xml:space="preserve">公开单位： </w:t>
            </w:r>
            <w:r>
              <w:rPr>
                <w:color w:val="auto"/>
                <w:sz w:val="20"/>
                <w:u w:color="auto"/>
              </w:rPr>
              <w:t>重庆市大足区回龙镇农业服务中心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0.09</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bl>
    <w:p>
      <w:pPr>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E82D38"/>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324BB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57765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106F2B"/>
    <w:rsid w:val="72DB435C"/>
    <w:rsid w:val="72E2613A"/>
    <w:rsid w:val="72F771F4"/>
    <w:rsid w:val="73934AD2"/>
    <w:rsid w:val="750837F0"/>
    <w:rsid w:val="750D4A19"/>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5D585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2024-10-17T02:13:46Z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