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rPr>
        <w:t>重庆市大足区回龙镇劳动就业和社会保障服务所</w:t>
      </w:r>
      <w:r>
        <w:rPr>
          <w:rFonts w:ascii="方正小标宋_GBK" w:hAnsi="方正小标宋_GBK" w:eastAsia="方正小标宋_GBK" w:cs="方正小标宋_GBK"/>
          <w:color w:val="auto"/>
          <w:sz w:val="36"/>
          <w:szCs w:val="36"/>
          <w:shd w:val="clear" w:color="auto" w:fill="FFFFFF"/>
        </w:rPr>
        <w:t>2023年度决算公开说明</w:t>
      </w:r>
    </w:p>
    <w:p>
      <w:pPr>
        <w:pStyle w:val="6"/>
        <w:shd w:val="clear" w:color="auto" w:fill="FFFFFF"/>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（1）承担劳动、就业创业、农民工综合服务、农村劳动力转移等事务性工作。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（2）承担养老保险、失业保险、医疗保险、工伤保险、生育保险、城镇居民最低生活保障、优抚救济、社会救助、医疗救助、残疾人保障、老龄工作等方面的事务性工作。</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shd w:val="clear" w:color="auto" w:fill="FFFFFF"/>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重庆市大足区回龙镇劳动就业和社会保障服务所隶属于重庆市大足区回龙镇人民政府，公益一类事业单位</w:t>
      </w:r>
    </w:p>
    <w:p>
      <w:pPr>
        <w:pStyle w:val="6"/>
        <w:shd w:val="clear" w:color="auto" w:fill="FFFFFF"/>
        <w:rPr>
          <w:rFonts w:hint="default" w:ascii="方正仿宋_GBK" w:hAnsi="方正仿宋_GBK" w:eastAsia="方正仿宋_GBK" w:cs="方正仿宋_GBK"/>
          <w:color w:val="auto"/>
          <w:sz w:val="32"/>
          <w:szCs w:val="32"/>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2023年度收入总计71.11万元，支出总计</w:t>
      </w:r>
      <w:r>
        <w:rPr>
          <w:rFonts w:ascii="方正仿宋_GBK" w:hAnsi="方正仿宋_GBK" w:eastAsia="方正仿宋_GBK" w:cs="方正仿宋_GBK"/>
          <w:color w:val="auto"/>
          <w:sz w:val="32"/>
          <w:szCs w:val="32"/>
        </w:rPr>
        <w:t>71.11</w:t>
      </w:r>
      <w:r>
        <w:rPr>
          <w:rFonts w:ascii="方正仿宋_GBK" w:hAnsi="方正仿宋_GBK" w:eastAsia="方正仿宋_GBK" w:cs="方正仿宋_GBK"/>
          <w:color w:val="auto"/>
          <w:sz w:val="32"/>
          <w:szCs w:val="32"/>
          <w:shd w:val="clear" w:color="auto" w:fill="FFFFFF"/>
        </w:rPr>
        <w:t>万元。收支较上年决算数增加71.11万元，增长100.00%，主要原因是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2023年度收入合计71.11万元，较上年决算数增加71.11万元，增长100.00%，主要原因是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71.11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71.11</w:t>
      </w:r>
      <w:r>
        <w:rPr>
          <w:rFonts w:ascii="方正仿宋_GBK" w:hAnsi="方正仿宋_GBK" w:eastAsia="方正仿宋_GBK" w:cs="方正仿宋_GBK"/>
          <w:color w:val="auto"/>
          <w:sz w:val="32"/>
          <w:szCs w:val="32"/>
          <w:shd w:val="clear" w:color="auto" w:fill="FFFFFF"/>
        </w:rPr>
        <w:t>万元，较上年决算数增加71.11万元，增长100.00%，主要原因是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71.11</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2023年度财政拨款收、支总计71.11万元。与2022年相比，财政拨款收、支总计各增加71.11万元，增长100.00%。主要原因是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71.11</w:t>
      </w:r>
      <w:r>
        <w:rPr>
          <w:rFonts w:ascii="方正仿宋_GBK" w:hAnsi="方正仿宋_GBK" w:eastAsia="方正仿宋_GBK" w:cs="方正仿宋_GBK"/>
          <w:color w:val="auto"/>
          <w:sz w:val="32"/>
          <w:szCs w:val="32"/>
          <w:shd w:val="clear" w:color="auto" w:fill="FFFFFF"/>
        </w:rPr>
        <w:t>万元，较上年决算数增加71.11万元，增长100.00%。主要原因是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较年初预算数减少1.48万元，下降2.04%。主要原因是</w:t>
      </w:r>
      <w:r>
        <w:rPr>
          <w:rFonts w:hint="eastAsia" w:ascii="方正仿宋_GBK" w:hAnsi="方正仿宋_GBK" w:eastAsia="方正仿宋_GBK" w:cs="方正仿宋_GBK"/>
          <w:color w:val="auto"/>
          <w:sz w:val="32"/>
          <w:szCs w:val="32"/>
          <w:shd w:val="clear" w:color="auto" w:fill="FFFFFF"/>
          <w:lang w:eastAsia="zh-CN"/>
        </w:rPr>
        <w:t>人员变动</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71.11</w:t>
      </w:r>
      <w:r>
        <w:rPr>
          <w:rFonts w:ascii="方正仿宋_GBK" w:hAnsi="方正仿宋_GBK" w:eastAsia="方正仿宋_GBK" w:cs="方正仿宋_GBK"/>
          <w:color w:val="auto"/>
          <w:sz w:val="32"/>
          <w:szCs w:val="32"/>
          <w:shd w:val="clear" w:color="auto" w:fill="FFFFFF"/>
        </w:rPr>
        <w:t>万元，较上年决算数增加71.11万元，增长100.00%。主要原因是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较年初预算数减少1.48万元，下降2.04%。主要原因是</w:t>
      </w:r>
      <w:r>
        <w:rPr>
          <w:rFonts w:hint="eastAsia" w:ascii="方正仿宋_GBK" w:hAnsi="方正仿宋_GBK" w:eastAsia="方正仿宋_GBK" w:cs="方正仿宋_GBK"/>
          <w:color w:val="auto"/>
          <w:sz w:val="32"/>
          <w:szCs w:val="32"/>
          <w:shd w:val="clear" w:color="auto" w:fill="FFFFFF"/>
          <w:lang w:eastAsia="zh-CN"/>
        </w:rPr>
        <w:t>人员变动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63.92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89.89</w:t>
      </w:r>
      <w:r>
        <w:rPr>
          <w:rFonts w:ascii="方正仿宋_GBK" w:hAnsi="方正仿宋_GBK" w:eastAsia="方正仿宋_GBK" w:cs="方正仿宋_GBK"/>
          <w:color w:val="auto"/>
          <w:sz w:val="32"/>
          <w:szCs w:val="32"/>
          <w:shd w:val="clear" w:color="auto" w:fill="FFFFFF"/>
        </w:rPr>
        <w:t>%，较年初预算数减少1.48万元，下降2.26%，主要原因是</w:t>
      </w:r>
      <w:r>
        <w:rPr>
          <w:rFonts w:hint="eastAsia" w:ascii="方正仿宋_GBK" w:hAnsi="方正仿宋_GBK" w:eastAsia="方正仿宋_GBK" w:cs="方正仿宋_GBK"/>
          <w:color w:val="auto"/>
          <w:sz w:val="32"/>
          <w:szCs w:val="32"/>
          <w:shd w:val="clear" w:color="auto" w:fill="FFFFFF"/>
          <w:lang w:eastAsia="zh-CN"/>
        </w:rPr>
        <w:t>人员变动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3.62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5.09</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严格按照人员数量及工资标准预算支出人员医疗保险缴费</w:t>
      </w:r>
      <w:r>
        <w:rPr>
          <w:rFonts w:ascii="方正仿宋_GBK" w:hAnsi="方正仿宋_GBK" w:eastAsia="方正仿宋_GBK" w:cs="方正仿宋_GBK"/>
          <w:color w:val="auto"/>
          <w:sz w:val="32"/>
          <w:szCs w:val="32"/>
          <w:shd w:val="clear" w:color="auto" w:fill="FFFFFF"/>
        </w:rPr>
        <w:t>。</w:t>
      </w:r>
    </w:p>
    <w:p>
      <w:pPr>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住房保障支出3.57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5.02</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严格按照人员数量及工资标准预算支出人员住房公积金缴费</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71.11</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69.17</w:t>
      </w:r>
      <w:r>
        <w:rPr>
          <w:rFonts w:ascii="方正仿宋_GBK" w:hAnsi="方正仿宋_GBK" w:eastAsia="方正仿宋_GBK" w:cs="方正仿宋_GBK"/>
          <w:color w:val="auto"/>
          <w:sz w:val="32"/>
          <w:szCs w:val="32"/>
          <w:shd w:val="clear" w:color="auto" w:fill="FFFFFF"/>
        </w:rPr>
        <w:t>万元，较上年决算数增加69.17万元，增长100.00%，主要原因是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基本工资、津贴补贴、绩效工资、社会保障缴费、住房公积金。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1.93</w:t>
      </w:r>
      <w:r>
        <w:rPr>
          <w:rFonts w:ascii="方正仿宋_GBK" w:hAnsi="方正仿宋_GBK" w:eastAsia="方正仿宋_GBK" w:cs="方正仿宋_GBK"/>
          <w:color w:val="auto"/>
          <w:sz w:val="32"/>
          <w:szCs w:val="32"/>
          <w:shd w:val="clear" w:color="auto" w:fill="FFFFFF"/>
        </w:rPr>
        <w:t>万元，较上年决算数增加1.93万元，增长100.00%，主要原因是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工会经费、培训费。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auto"/>
        </w:rPr>
      </w:pPr>
      <w:r>
        <w:rPr>
          <w:rStyle w:val="10"/>
          <w:rFonts w:ascii="方正仿宋_GBK" w:hAnsi="方正仿宋_GBK" w:eastAsia="方正仿宋_GBK" w:cs="方正仿宋_GBK"/>
          <w:color w:val="auto"/>
          <w:sz w:val="32"/>
          <w:szCs w:val="32"/>
          <w:shd w:val="clear" w:color="auto" w:fill="auto"/>
        </w:rPr>
        <w:t>本单位2023年度无政府性基金预算财政拨款收支。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auto"/>
        </w:rPr>
      </w:pPr>
      <w:r>
        <w:rPr>
          <w:rFonts w:ascii="方正仿宋_GBK" w:hAnsi="方正仿宋_GBK" w:eastAsia="方正仿宋_GBK" w:cs="方正仿宋_GBK"/>
          <w:color w:val="auto"/>
          <w:sz w:val="32"/>
          <w:szCs w:val="32"/>
          <w:shd w:val="clear" w:color="auto" w:fill="auto"/>
        </w:rPr>
        <w:t> </w:t>
      </w:r>
      <w:r>
        <w:rPr>
          <w:rStyle w:val="10"/>
          <w:rFonts w:ascii="方正仿宋_GBK" w:hAnsi="方正仿宋_GBK" w:eastAsia="方正仿宋_GBK" w:cs="方正仿宋_GBK"/>
          <w:color w:val="auto"/>
          <w:sz w:val="32"/>
          <w:szCs w:val="32"/>
          <w:shd w:val="clear" w:color="auto" w:fill="auto"/>
        </w:rPr>
        <w:t>本单位2023年度无国有资本经营预算财政拨款支出。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rPr>
        <w:t>本单位与行政单位合署办公，年初编制预算时统一将办公经费编制在行政单位账套下，因此未有单独体现。</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11"/>
        <w:autoSpaceDE w:val="0"/>
        <w:ind w:firstLine="643"/>
        <w:rPr>
          <w:rFonts w:ascii="楷体" w:hAnsi="楷体" w:eastAsia="楷体" w:cs="楷体"/>
          <w:b/>
          <w:bCs/>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本单位与行政单位合署办公，年初编制预算及使用时统一将因公出国（境）费用、公务车购置费、公务车运行维护费、公务接待费编制在行政单位账套下，因此未有单独体现。</w:t>
      </w: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万元，较上年决算数无增减。本年度培训费支出</w:t>
      </w:r>
      <w:r>
        <w:rPr>
          <w:rFonts w:ascii="方正仿宋_GBK" w:hAnsi="方正仿宋_GBK" w:eastAsia="方正仿宋_GBK" w:cs="方正仿宋_GBK"/>
          <w:color w:val="auto"/>
          <w:sz w:val="32"/>
          <w:szCs w:val="32"/>
        </w:rPr>
        <w:t>0.03</w:t>
      </w:r>
      <w:r>
        <w:rPr>
          <w:rFonts w:ascii="方正仿宋_GBK" w:hAnsi="方正仿宋_GBK" w:eastAsia="方正仿宋_GBK" w:cs="方正仿宋_GBK"/>
          <w:color w:val="auto"/>
          <w:sz w:val="32"/>
          <w:szCs w:val="32"/>
          <w:shd w:val="clear" w:color="auto" w:fill="FFFFFF"/>
        </w:rPr>
        <w:t>万元，较上年决算数增加0.03万元，增长100.00%，主要原因是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11"/>
        <w:autoSpaceDE w:val="0"/>
        <w:ind w:firstLine="643"/>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预算绩效管理情况说明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12"/>
        <w:autoSpaceDE w:val="0"/>
        <w:spacing w:before="0" w:beforeAutospacing="0" w:line="600" w:lineRule="exact"/>
        <w:rPr>
          <w:rFonts w:hint="eastAsia" w:ascii="方正仿宋_GBK" w:hAnsi="方正仿宋_GBK" w:eastAsia="方正仿宋_GBK" w:cs="方正仿宋_GBK"/>
          <w:color w:val="auto"/>
          <w:sz w:val="32"/>
          <w:szCs w:val="32"/>
          <w:highlight w:val="yellow"/>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未无项目支出，故无单位自评。</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我单位未组织开展绩效评价。</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区</w:t>
      </w:r>
      <w:r>
        <w:rPr>
          <w:rFonts w:hint="eastAsia" w:ascii="方正仿宋_GBK" w:hAnsi="方正仿宋_GBK" w:eastAsia="方正仿宋_GBK" w:cs="方正仿宋_GBK"/>
          <w:color w:val="auto"/>
          <w:sz w:val="32"/>
          <w:szCs w:val="32"/>
          <w:shd w:val="clear" w:color="auto" w:fill="FFFFFF"/>
        </w:rPr>
        <w:t>财政局未委托第三方对我单位开展绩效评价。</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bookmarkStart w:id="0" w:name="_GoBack"/>
      <w:bookmarkEnd w:id="0"/>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color w:val="auto"/>
          <w:sz w:val="32"/>
          <w:szCs w:val="32"/>
          <w:shd w:val="clear" w:color="auto" w:fill="FFFFFF"/>
        </w:rPr>
        <w:t>本单位决算公开信息反馈和联系方式：023-</w:t>
      </w:r>
      <w:r>
        <w:rPr>
          <w:rFonts w:hint="eastAsia" w:ascii="方正仿宋_GBK" w:hAnsi="方正仿宋_GBK" w:eastAsia="方正仿宋_GBK" w:cs="方正仿宋_GBK"/>
          <w:color w:val="auto"/>
          <w:sz w:val="32"/>
          <w:szCs w:val="32"/>
          <w:shd w:val="clear" w:color="auto" w:fill="FFFFFF"/>
          <w:lang w:val="en-US" w:eastAsia="zh-CN"/>
        </w:rPr>
        <w:t>43406001</w:t>
      </w:r>
    </w:p>
    <w:p>
      <w:pPr>
        <w:pStyle w:val="11"/>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重庆市大足区回龙镇劳动就业和社会保障服务所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71.11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63.92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71.11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71.11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71.11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71.11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重庆市大足区回龙镇劳动就业和社会保障服务所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71.11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71.11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1"/>
        <w:gridCol w:w="3430"/>
        <w:gridCol w:w="1690"/>
        <w:gridCol w:w="1690"/>
        <w:gridCol w:w="1690"/>
        <w:gridCol w:w="1675"/>
        <w:gridCol w:w="1675"/>
        <w:gridCol w:w="173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重庆市大足区回龙镇劳动就业和社会保障服务所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71.11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71.11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71.11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71.11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71.11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69.17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4MmIyMDUzZWVjZTVjYjMzZDAxZmRhOTAxODZjO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7A7AA4"/>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F15B4D"/>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2024-10-17T02:14:34Z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