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重庆市大足区回龙镇产业发展服务中心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（1）承担拟订全镇产业发展规划、年度计划的事务性工作，协调全镇相关部门组织实施。</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（2）承担对辖区各产业发展提供要素保障、市场需求等方面的协调服务工作，加大培育特色产业。</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（3）协助开展辖区各产业发展的创业辅导、人才培训、管理咨询、融资促进、技术推广、法律咨询、对外交流等服务活动。</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（4）负责协调行业协会、专业服务机构等力量为辖区产业发展提供服务。</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重庆市大足区回龙镇产业发展服务为中心隶属于重庆市大足区回龙镇人民政府，公益一类事业单位。</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2023年度收入总计52.12万元，支出总计</w:t>
      </w:r>
      <w:r>
        <w:rPr>
          <w:rFonts w:ascii="方正仿宋_GBK" w:hAnsi="方正仿宋_GBK" w:eastAsia="方正仿宋_GBK" w:cs="方正仿宋_GBK"/>
          <w:color w:val="auto"/>
          <w:sz w:val="32"/>
          <w:szCs w:val="32"/>
        </w:rPr>
        <w:t>52.12</w:t>
      </w:r>
      <w:r>
        <w:rPr>
          <w:rFonts w:ascii="方正仿宋_GBK" w:hAnsi="方正仿宋_GBK" w:eastAsia="方正仿宋_GBK" w:cs="方正仿宋_GBK"/>
          <w:color w:val="auto"/>
          <w:sz w:val="32"/>
          <w:szCs w:val="32"/>
          <w:shd w:val="clear" w:color="auto" w:fill="FFFFFF"/>
        </w:rPr>
        <w:t>万元。收支较上年决算数增加52.12万元，增长100.00%，主要原因是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2023年度收入合计52.12万元，较上年决算数增加52.12万元，增长100.00%，主要原因是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52.12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52.12</w:t>
      </w:r>
      <w:r>
        <w:rPr>
          <w:rFonts w:ascii="方正仿宋_GBK" w:hAnsi="方正仿宋_GBK" w:eastAsia="方正仿宋_GBK" w:cs="方正仿宋_GBK"/>
          <w:color w:val="auto"/>
          <w:sz w:val="32"/>
          <w:szCs w:val="32"/>
          <w:shd w:val="clear" w:color="auto" w:fill="FFFFFF"/>
        </w:rPr>
        <w:t>万元，较上年决算数增加52.12万元，增长100.00%，主要原因是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52.12</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2023年度财政拨款收、支总计52.12万元。与2022年相比，财政拨款收、支总计各增加52.12万元，增长100.00%。主要原因是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52.12</w:t>
      </w:r>
      <w:r>
        <w:rPr>
          <w:rFonts w:ascii="方正仿宋_GBK" w:hAnsi="方正仿宋_GBK" w:eastAsia="方正仿宋_GBK" w:cs="方正仿宋_GBK"/>
          <w:color w:val="auto"/>
          <w:sz w:val="32"/>
          <w:szCs w:val="32"/>
          <w:shd w:val="clear" w:color="auto" w:fill="FFFFFF"/>
        </w:rPr>
        <w:t>万元，较上年决算数增加52.12万元，增长100.00%。主要原因是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较年初预算数增加1.31万元，增长2.58%。主要原因是</w:t>
      </w:r>
      <w:r>
        <w:rPr>
          <w:rFonts w:hint="eastAsia" w:ascii="方正仿宋_GBK" w:hAnsi="方正仿宋_GBK" w:eastAsia="方正仿宋_GBK" w:cs="方正仿宋_GBK"/>
          <w:color w:val="auto"/>
          <w:sz w:val="32"/>
          <w:szCs w:val="32"/>
          <w:shd w:val="clear" w:color="auto" w:fill="FFFFFF"/>
          <w:lang w:eastAsia="zh-CN"/>
        </w:rPr>
        <w:t>人员正常晋升工资等次。</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52.12</w:t>
      </w:r>
      <w:r>
        <w:rPr>
          <w:rFonts w:ascii="方正仿宋_GBK" w:hAnsi="方正仿宋_GBK" w:eastAsia="方正仿宋_GBK" w:cs="方正仿宋_GBK"/>
          <w:color w:val="auto"/>
          <w:sz w:val="32"/>
          <w:szCs w:val="32"/>
          <w:shd w:val="clear" w:color="auto" w:fill="FFFFFF"/>
        </w:rPr>
        <w:t>万元，较上年决算数增加52.12万元，增长100.00%。主要原因是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。较年初预算数增加1.31万元，增长2.58%。主要原因是</w:t>
      </w:r>
      <w:r>
        <w:rPr>
          <w:rFonts w:hint="eastAsia" w:ascii="方正仿宋_GBK" w:hAnsi="方正仿宋_GBK" w:eastAsia="方正仿宋_GBK" w:cs="方正仿宋_GBK"/>
          <w:color w:val="auto"/>
          <w:sz w:val="32"/>
          <w:szCs w:val="32"/>
          <w:shd w:val="clear" w:color="auto" w:fill="FFFFFF"/>
          <w:lang w:eastAsia="zh-CN"/>
        </w:rPr>
        <w:t>人员正常晋升工资等次</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41.33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79.31</w:t>
      </w:r>
      <w:r>
        <w:rPr>
          <w:rFonts w:ascii="方正仿宋_GBK" w:hAnsi="方正仿宋_GBK" w:eastAsia="方正仿宋_GBK" w:cs="方正仿宋_GBK"/>
          <w:color w:val="auto"/>
          <w:sz w:val="32"/>
          <w:szCs w:val="32"/>
          <w:shd w:val="clear" w:color="auto" w:fill="FFFFFF"/>
        </w:rPr>
        <w:t>%，较年初预算数增加1.31万元，增长3.27%，主要原因是</w:t>
      </w:r>
      <w:r>
        <w:rPr>
          <w:rFonts w:hint="eastAsia" w:ascii="方正仿宋_GBK" w:hAnsi="方正仿宋_GBK" w:eastAsia="方正仿宋_GBK" w:cs="方正仿宋_GBK"/>
          <w:color w:val="auto"/>
          <w:sz w:val="32"/>
          <w:szCs w:val="32"/>
          <w:shd w:val="clear" w:color="auto" w:fill="FFFFFF"/>
          <w:lang w:eastAsia="zh-CN"/>
        </w:rPr>
        <w:t>人员正常晋升工资等次</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5.41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10.38</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严格按照人员数量及工资标准预算支出人员社会保险缴费。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2.71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5.19</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医疗</w:t>
      </w:r>
      <w:r>
        <w:rPr>
          <w:rFonts w:hint="eastAsia" w:ascii="方正仿宋_GBK" w:hAnsi="方正仿宋_GBK" w:eastAsia="方正仿宋_GBK" w:cs="方正仿宋_GBK"/>
          <w:color w:val="auto"/>
          <w:sz w:val="32"/>
          <w:szCs w:val="32"/>
          <w:shd w:val="clear" w:color="auto" w:fill="FFFFFF"/>
        </w:rPr>
        <w:t>保险缴费。</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住房保障支出2.67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5.12</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住房公积金</w:t>
      </w:r>
      <w:r>
        <w:rPr>
          <w:rFonts w:hint="eastAsia" w:ascii="方正仿宋_GBK" w:hAnsi="方正仿宋_GBK" w:eastAsia="方正仿宋_GBK" w:cs="方正仿宋_GBK"/>
          <w:color w:val="auto"/>
          <w:sz w:val="32"/>
          <w:szCs w:val="32"/>
          <w:shd w:val="clear" w:color="auto" w:fill="FFFFFF"/>
        </w:rPr>
        <w:t>缴费。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52.12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50.73</w:t>
      </w:r>
      <w:r>
        <w:rPr>
          <w:rFonts w:ascii="方正仿宋_GBK" w:hAnsi="方正仿宋_GBK" w:eastAsia="方正仿宋_GBK" w:cs="方正仿宋_GBK"/>
          <w:color w:val="auto"/>
          <w:sz w:val="32"/>
          <w:szCs w:val="32"/>
          <w:shd w:val="clear" w:color="auto" w:fill="FFFFFF"/>
        </w:rPr>
        <w:t>万元，较上年决算数增加50.73万元，增长100.00%，主要原因是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基本工资、津贴补贴、绩效工资、社会保障缴费、住房公积金。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1.39</w:t>
      </w:r>
      <w:r>
        <w:rPr>
          <w:rFonts w:ascii="方正仿宋_GBK" w:hAnsi="方正仿宋_GBK" w:eastAsia="方正仿宋_GBK" w:cs="方正仿宋_GBK"/>
          <w:color w:val="auto"/>
          <w:sz w:val="32"/>
          <w:szCs w:val="32"/>
          <w:shd w:val="clear" w:color="auto" w:fill="FFFFFF"/>
        </w:rPr>
        <w:t>万元，较上年决算数增加1.39万元，增长100.00%，主要原因是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工会经费、培训费。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w:t>
      </w:r>
      <w:r>
        <w:rPr>
          <w:rFonts w:ascii="方正仿宋_GBK" w:hAnsi="方正仿宋_GBK" w:eastAsia="方正仿宋_GBK" w:cs="方正仿宋_GBK"/>
          <w:color w:val="auto"/>
          <w:sz w:val="32"/>
          <w:szCs w:val="32"/>
          <w:shd w:val="clear" w:color="auto" w:fill="FFFFFF"/>
        </w:rPr>
        <w:t>数无增减，主要原因是</w:t>
      </w:r>
      <w:r>
        <w:rPr>
          <w:rFonts w:hint="eastAsia" w:ascii="方正仿宋_GBK" w:hAnsi="方正仿宋_GBK" w:eastAsia="方正仿宋_GBK" w:cs="方正仿宋_GBK"/>
          <w:color w:val="auto"/>
          <w:sz w:val="32"/>
          <w:szCs w:val="32"/>
          <w:shd w:val="clear" w:color="auto" w:fill="FFFFFF"/>
        </w:rPr>
        <w:t>本单位与行政单位合署办公，年初编制预算时统一将办公经费编制在行政单位账套下，因此未有单独体现。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autoSpaceDE w:val="0"/>
        <w:ind w:firstLine="643"/>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本单位与行政单位合署办公，年初编制预算及使用时统一将因公出国（境）费用、公务车购置费、公务车运行维护费、公务接待费编制在行政单位账套下，因此未有单独体现。</w:t>
      </w: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万元，较上年决算数增加0.02万元，增长100.00%，主要原因是</w:t>
      </w:r>
      <w:r>
        <w:rPr>
          <w:rFonts w:hint="eastAsia" w:ascii="方正仿宋_GBK" w:hAnsi="方正仿宋_GBK" w:eastAsia="方正仿宋_GBK" w:cs="方正仿宋_GBK"/>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11"/>
        <w:numPr>
          <w:ilvl w:val="0"/>
          <w:numId w:val="0"/>
        </w:numPr>
        <w:autoSpaceDE w:val="0"/>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bookmarkStart w:id="0" w:name="_GoBack"/>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未无项目支出，故无单位自评。</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p>
    <w:bookmarkEnd w:id="0"/>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本单位决算公开信息反馈和联</w:t>
      </w:r>
      <w:r>
        <w:rPr>
          <w:rFonts w:ascii="方正仿宋_GBK" w:hAnsi="方正仿宋_GBK" w:eastAsia="方正仿宋_GBK" w:cs="方正仿宋_GBK"/>
          <w:color w:val="auto"/>
          <w:sz w:val="32"/>
          <w:szCs w:val="32"/>
          <w:shd w:val="clear" w:color="auto" w:fill="FFFFFF"/>
        </w:rPr>
        <w:t>系方式：023-</w:t>
      </w:r>
      <w:r>
        <w:rPr>
          <w:rFonts w:hint="eastAsia" w:ascii="方正仿宋_GBK" w:hAnsi="方正仿宋_GBK" w:eastAsia="方正仿宋_GBK" w:cs="方正仿宋_GBK"/>
          <w:color w:val="auto"/>
          <w:sz w:val="32"/>
          <w:szCs w:val="32"/>
          <w:shd w:val="clear" w:color="auto" w:fill="FFFFFF"/>
          <w:lang w:val="en-US" w:eastAsia="zh-CN"/>
        </w:rPr>
        <w:t>43406001</w:t>
      </w:r>
      <w:r>
        <w:rPr>
          <w:rFonts w:ascii="方正仿宋_GBK" w:hAnsi="方正仿宋_GBK" w:eastAsia="方正仿宋_GBK" w:cs="方正仿宋_GBK"/>
          <w:color w:val="auto"/>
          <w:sz w:val="32"/>
          <w:szCs w:val="32"/>
          <w:shd w:val="clear" w:color="auto" w:fill="FFFFFF"/>
        </w:rPr>
        <w:t>。</w:t>
      </w: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重庆市大足区回龙镇产业发展服务中心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重庆市大足区回龙镇产业发展服务中心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重庆市大足区回龙镇产业发展服务中心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重庆市大足区回龙镇产业发展服务中心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重庆市大足区回龙镇产业发展服务中心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50.73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重庆市大足区回龙镇产业发展服务中心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CC4F9D8"/>
    <w:multiLevelType w:val="singleLevel"/>
    <w:tmpl w:val="3CC4F9D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1510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BD778B"/>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2024-10-17T02:13:29Z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