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color w:val="auto"/>
          <w:sz w:val="36"/>
          <w:szCs w:val="36"/>
          <w:lang w:eastAsia="zh-CN"/>
        </w:rPr>
      </w:pPr>
      <w:r>
        <w:rPr>
          <w:rFonts w:ascii="方正小标宋_GBK" w:hAnsi="方正小标宋_GBK" w:eastAsia="方正小标宋_GBK" w:cs="方正小标宋_GBK"/>
          <w:color w:val="auto"/>
          <w:sz w:val="36"/>
          <w:szCs w:val="36"/>
        </w:rPr>
        <w:t>重庆市大足区回龙镇人民政府</w:t>
      </w:r>
      <w:r>
        <w:rPr>
          <w:rFonts w:hint="eastAsia" w:ascii="方正小标宋_GBK" w:hAnsi="方正小标宋_GBK" w:eastAsia="方正小标宋_GBK" w:cs="方正小标宋_GBK"/>
          <w:color w:val="auto"/>
          <w:sz w:val="36"/>
          <w:szCs w:val="36"/>
          <w:lang w:eastAsia="zh-CN"/>
        </w:rPr>
        <w:t>（汇总级</w:t>
      </w:r>
      <w:bookmarkStart w:id="0" w:name="_GoBack"/>
      <w:bookmarkEnd w:id="0"/>
      <w:r>
        <w:rPr>
          <w:rFonts w:hint="eastAsia" w:ascii="方正小标宋_GBK" w:hAnsi="方正小标宋_GBK" w:eastAsia="方正小标宋_GBK" w:cs="方正小标宋_GBK"/>
          <w:color w:val="auto"/>
          <w:sz w:val="36"/>
          <w:szCs w:val="36"/>
          <w:lang w:eastAsia="zh-CN"/>
        </w:rPr>
        <w:t>）</w:t>
      </w:r>
    </w:p>
    <w:p>
      <w:pPr>
        <w:pStyle w:val="6"/>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负责纪检监察、机要保密、宣传、精神文明建设、督查督办、目标管理、网络安全与信息化、统战、法制、武装、机构编制、人事、民宗侨台以及综合协调、文秘等工作；负责管理公共服务中心，指导村便民服务中心工作；负责承办政协有关具体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2、负责经济发展规划、农村经营管理、经济社会统计、科学技术、商贸流通、扶贫开发、产业发展、产业扶贫、招商引资、农产品质量安全监督管理等工作；负责协调水、电、气、通信等工作。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3、负责民政、教育、卫生健康、计生、老龄事业发展、文化旅游、体育、社会救助、残疾人事业、劳动就业、社会保障等管理工作；负责退役军人事务、拥军优属等管理工作；负责物业管理工作。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4、负责信访、人民调解、社会治安综合治理、防范和处理邪教等工作。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5、负责规划建设、市政公用、市容环卫、生态环境保护、交通建设等工作。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6、负责财政收支、预决算、总会计、惠农资金兑付、财政资金监督检查、绩效评价、村级财务管理等工作。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7、负责安全生产综合监管、应急管理等工作；负责消防、森林防火、抗洪抢险、地震和地质灾害救援、生产安全事故救援等工作；协助开展煤矿、非煤矿山、危险化学品、烟花爆竹等安全生产日常监督工作。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8、负责基层党的建设工作及工会、共青团、妇联等群团工作。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9、负责本级人大主席团日常工作，承办人大信访、组织协调人大代表活动、联系人大代表、人民代表大会召开的协调筹备等工作，督促办理人大代表提出的建议、批评和意见等工作。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10、负责集中行使本级人民政府经法律法规授权或依法受委托的农林水利、规划建设、生态环境保护、卫生健康、文化旅游、民政管理、交通、消防等领域的行政法权；负责本级人民政府经法律法规授权或依法受委托其他行政领域的安全生产监管执法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人民政府下设综合办事机构10个，事业单位7个。分别是：党政办公室、经济发展办公室、民政和社会事务办公室、平安建设办公室、规划建设管理环保办公室、财政办公室、应急管理办公室、党群工作办公室、人大办公室、综合行政执法办公室、农业服务中心、文化服务中心、劳动就业和社会保障服务所、退役军人服务站、综合行政执法大队、产业服务中心、村镇建设服务中心。</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二、部门决算情况说明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2023年度收入总计2884.98万元，支出总计</w:t>
      </w:r>
      <w:r>
        <w:rPr>
          <w:rFonts w:ascii="方正仿宋_GBK" w:hAnsi="方正仿宋_GBK" w:eastAsia="方正仿宋_GBK" w:cs="方正仿宋_GBK"/>
          <w:color w:val="auto"/>
          <w:sz w:val="32"/>
          <w:szCs w:val="32"/>
        </w:rPr>
        <w:t>2884.98</w:t>
      </w:r>
      <w:r>
        <w:rPr>
          <w:rFonts w:ascii="方正仿宋_GBK" w:hAnsi="方正仿宋_GBK" w:eastAsia="方正仿宋_GBK" w:cs="方正仿宋_GBK"/>
          <w:color w:val="auto"/>
          <w:sz w:val="32"/>
          <w:szCs w:val="32"/>
          <w:shd w:val="clear" w:color="auto" w:fill="FFFFFF"/>
        </w:rPr>
        <w:t>万元。收支较上年决算数增加308.22万元，增长11.96%，主要原因是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rPr>
        <w:t>农村公路建设项目及农村公益事业建设</w:t>
      </w:r>
      <w:r>
        <w:rPr>
          <w:rFonts w:hint="eastAsia" w:ascii="方正仿宋_GBK" w:hAnsi="方正仿宋_GBK" w:eastAsia="方正仿宋_GBK" w:cs="方正仿宋_GBK"/>
          <w:color w:val="auto"/>
          <w:sz w:val="32"/>
          <w:szCs w:val="32"/>
          <w:shd w:val="clear" w:color="auto" w:fill="FFFFFF"/>
          <w:lang w:eastAsia="zh-CN"/>
        </w:rPr>
        <w:t>项目收入</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2023年度收入合计2874.52万元，较上年决算数增加308.23万元，增长12.01%，主要原因是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rPr>
        <w:t>农村公路建设项目及农村公益事业建设</w:t>
      </w:r>
      <w:r>
        <w:rPr>
          <w:rFonts w:hint="eastAsia" w:ascii="方正仿宋_GBK" w:hAnsi="方正仿宋_GBK" w:eastAsia="方正仿宋_GBK" w:cs="方正仿宋_GBK"/>
          <w:color w:val="auto"/>
          <w:sz w:val="32"/>
          <w:szCs w:val="32"/>
          <w:shd w:val="clear" w:color="auto" w:fill="FFFFFF"/>
          <w:lang w:eastAsia="zh-CN"/>
        </w:rPr>
        <w:t>项目收入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2874.52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2874.52</w:t>
      </w:r>
      <w:r>
        <w:rPr>
          <w:rFonts w:ascii="方正仿宋_GBK" w:hAnsi="方正仿宋_GBK" w:eastAsia="方正仿宋_GBK" w:cs="方正仿宋_GBK"/>
          <w:color w:val="auto"/>
          <w:sz w:val="32"/>
          <w:szCs w:val="32"/>
          <w:shd w:val="clear" w:color="auto" w:fill="FFFFFF"/>
        </w:rPr>
        <w:t>万元，较上年决算数增加308.23万元，增长12.01%，主要原因是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rPr>
        <w:t>农村公路建设项目支出及农村公益事业建设支出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1469.23</w:t>
      </w:r>
      <w:r>
        <w:rPr>
          <w:rFonts w:ascii="方正仿宋_GBK" w:hAnsi="方正仿宋_GBK" w:eastAsia="方正仿宋_GBK" w:cs="方正仿宋_GBK"/>
          <w:color w:val="auto"/>
          <w:sz w:val="32"/>
          <w:szCs w:val="32"/>
          <w:shd w:val="clear" w:color="auto" w:fill="FFFFFF"/>
        </w:rPr>
        <w:t>万元，占51.11%；项目支出</w:t>
      </w:r>
      <w:r>
        <w:rPr>
          <w:rFonts w:ascii="方正仿宋_GBK" w:hAnsi="方正仿宋_GBK" w:eastAsia="方正仿宋_GBK" w:cs="方正仿宋_GBK"/>
          <w:color w:val="auto"/>
          <w:sz w:val="32"/>
          <w:szCs w:val="32"/>
        </w:rPr>
        <w:t>1405.29</w:t>
      </w:r>
      <w:r>
        <w:rPr>
          <w:rFonts w:ascii="方正仿宋_GBK" w:hAnsi="方正仿宋_GBK" w:eastAsia="方正仿宋_GBK" w:cs="方正仿宋_GBK"/>
          <w:color w:val="auto"/>
          <w:sz w:val="32"/>
          <w:szCs w:val="32"/>
          <w:shd w:val="clear" w:color="auto" w:fill="FFFFFF"/>
        </w:rPr>
        <w:t>万元，占48.89%；经营支出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历年结转结余未消化</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2023年度财政拨款收、支总计2884.98万元。与2022年相比，财政拨款收、支总计各增加308.22万元，增长11.96%。主要原因是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rPr>
        <w:t>农村公路建设项目收支及农村公益事业建设收支</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2591.93</w:t>
      </w:r>
      <w:r>
        <w:rPr>
          <w:rFonts w:ascii="方正仿宋_GBK" w:hAnsi="方正仿宋_GBK" w:eastAsia="方正仿宋_GBK" w:cs="方正仿宋_GBK"/>
          <w:color w:val="auto"/>
          <w:sz w:val="32"/>
          <w:szCs w:val="32"/>
          <w:shd w:val="clear" w:color="auto" w:fill="FFFFFF"/>
        </w:rPr>
        <w:t>万元，较上年决算数增加166.25万元，增长6.85%。主要原因是</w:t>
      </w:r>
      <w:r>
        <w:rPr>
          <w:rFonts w:hint="eastAsia" w:ascii="方正仿宋_GBK" w:hAnsi="方正仿宋_GBK" w:eastAsia="方正仿宋_GBK" w:cs="方正仿宋_GBK"/>
          <w:color w:val="auto"/>
          <w:sz w:val="32"/>
          <w:szCs w:val="32"/>
          <w:shd w:val="clear" w:color="auto" w:fill="FFFFFF"/>
          <w:lang w:eastAsia="zh-CN"/>
        </w:rPr>
        <w:t>调整预算</w:t>
      </w:r>
      <w:r>
        <w:rPr>
          <w:rFonts w:hint="eastAsia" w:ascii="方正仿宋_GBK" w:hAnsi="方正仿宋_GBK" w:eastAsia="方正仿宋_GBK" w:cs="方正仿宋_GBK"/>
          <w:color w:val="auto"/>
          <w:sz w:val="32"/>
          <w:szCs w:val="32"/>
          <w:shd w:val="clear" w:color="auto" w:fill="FFFFFF"/>
        </w:rPr>
        <w:t>增加耕地“非粮化”整治项目、四好农村公路项目、绿色示范村补助项目、农村综合改革项目、镇街超收分成、临时救助等</w:t>
      </w:r>
      <w:r>
        <w:rPr>
          <w:rFonts w:hint="eastAsia" w:ascii="方正仿宋_GBK" w:hAnsi="方正仿宋_GBK" w:eastAsia="方正仿宋_GBK" w:cs="方正仿宋_GBK"/>
          <w:color w:val="auto"/>
          <w:sz w:val="32"/>
          <w:szCs w:val="32"/>
          <w:shd w:val="clear" w:color="auto" w:fill="FFFFFF"/>
          <w:lang w:eastAsia="zh-CN"/>
        </w:rPr>
        <w:t>收入</w:t>
      </w:r>
      <w:r>
        <w:rPr>
          <w:rFonts w:ascii="方正仿宋_GBK" w:hAnsi="方正仿宋_GBK" w:eastAsia="方正仿宋_GBK" w:cs="方正仿宋_GBK"/>
          <w:color w:val="auto"/>
          <w:sz w:val="32"/>
          <w:szCs w:val="32"/>
          <w:shd w:val="clear" w:color="auto" w:fill="FFFFFF"/>
        </w:rPr>
        <w:t>。较年初预算数增加301.72万元，增长13.17%。主要原因是</w:t>
      </w:r>
      <w:r>
        <w:rPr>
          <w:rFonts w:hint="eastAsia" w:ascii="方正仿宋_GBK" w:hAnsi="方正仿宋_GBK" w:eastAsia="方正仿宋_GBK" w:cs="方正仿宋_GBK"/>
          <w:color w:val="auto"/>
          <w:sz w:val="32"/>
          <w:szCs w:val="32"/>
          <w:shd w:val="clear" w:color="auto" w:fill="FFFFFF"/>
        </w:rPr>
        <w:t>增加耕地“非粮化”整治项目、四好农村公路项目、绿色示范村补助项目、农村综合改革项目、镇街超收分成、临时救助等收入</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2591.93</w:t>
      </w:r>
      <w:r>
        <w:rPr>
          <w:rFonts w:ascii="方正仿宋_GBK" w:hAnsi="方正仿宋_GBK" w:eastAsia="方正仿宋_GBK" w:cs="方正仿宋_GBK"/>
          <w:color w:val="auto"/>
          <w:sz w:val="32"/>
          <w:szCs w:val="32"/>
          <w:shd w:val="clear" w:color="auto" w:fill="FFFFFF"/>
        </w:rPr>
        <w:t>万元，较上年决算数增加166.25万元，增长6.85%。主要原因是</w:t>
      </w:r>
      <w:r>
        <w:rPr>
          <w:rFonts w:hint="eastAsia" w:ascii="方正仿宋_GBK" w:hAnsi="方正仿宋_GBK" w:eastAsia="方正仿宋_GBK" w:cs="方正仿宋_GBK"/>
          <w:color w:val="auto"/>
          <w:sz w:val="32"/>
          <w:szCs w:val="32"/>
          <w:shd w:val="clear" w:color="auto" w:fill="FFFFFF"/>
        </w:rPr>
        <w:t>增加耕地“非粮化”整治项目、四好农村公路项目、绿色示范村补助项目、农村综合改革项目、镇街超收分成、临时救助等</w:t>
      </w:r>
      <w:r>
        <w:rPr>
          <w:rFonts w:hint="eastAsia" w:ascii="方正仿宋_GBK" w:hAnsi="方正仿宋_GBK" w:eastAsia="方正仿宋_GBK" w:cs="方正仿宋_GBK"/>
          <w:color w:val="auto"/>
          <w:sz w:val="32"/>
          <w:szCs w:val="32"/>
          <w:shd w:val="clear" w:color="auto" w:fill="FFFFFF"/>
          <w:lang w:eastAsia="zh-CN"/>
        </w:rPr>
        <w:t>支出</w:t>
      </w:r>
      <w:r>
        <w:rPr>
          <w:rFonts w:ascii="方正仿宋_GBK" w:hAnsi="方正仿宋_GBK" w:eastAsia="方正仿宋_GBK" w:cs="方正仿宋_GBK"/>
          <w:color w:val="auto"/>
          <w:sz w:val="32"/>
          <w:szCs w:val="32"/>
          <w:shd w:val="clear" w:color="auto" w:fill="FFFFFF"/>
        </w:rPr>
        <w:t>。较年初预算数增加301.72万元，增长13.17%。主要原因是</w:t>
      </w:r>
      <w:r>
        <w:rPr>
          <w:rFonts w:hint="eastAsia" w:ascii="方正仿宋_GBK" w:hAnsi="方正仿宋_GBK" w:eastAsia="方正仿宋_GBK" w:cs="方正仿宋_GBK"/>
          <w:color w:val="auto"/>
          <w:sz w:val="32"/>
          <w:szCs w:val="32"/>
          <w:shd w:val="clear" w:color="auto" w:fill="FFFFFF"/>
        </w:rPr>
        <w:t>增加耕地“非粮化”整治项目、四好农村公路项目、绿色示范村补助项目、农村综合改革项目、镇街超收分成、临时救助等</w:t>
      </w:r>
      <w:r>
        <w:rPr>
          <w:rFonts w:hint="eastAsia" w:ascii="方正仿宋_GBK" w:hAnsi="方正仿宋_GBK" w:eastAsia="方正仿宋_GBK" w:cs="方正仿宋_GBK"/>
          <w:color w:val="auto"/>
          <w:sz w:val="32"/>
          <w:szCs w:val="32"/>
          <w:shd w:val="clear" w:color="auto" w:fill="FFFFFF"/>
          <w:lang w:eastAsia="zh-CN"/>
        </w:rPr>
        <w:t>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历年结转结余未消化</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975.78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37.65</w:t>
      </w:r>
      <w:r>
        <w:rPr>
          <w:rFonts w:ascii="方正仿宋_GBK" w:hAnsi="方正仿宋_GBK" w:eastAsia="方正仿宋_GBK" w:cs="方正仿宋_GBK"/>
          <w:color w:val="auto"/>
          <w:sz w:val="32"/>
          <w:szCs w:val="32"/>
          <w:shd w:val="clear" w:color="auto" w:fill="FFFFFF"/>
        </w:rPr>
        <w:t>%，较年初预算数增加50.78万元，增长5.49%，主要原因是</w:t>
      </w:r>
      <w:r>
        <w:rPr>
          <w:rFonts w:hint="eastAsia" w:ascii="方正仿宋_GBK" w:hAnsi="方正仿宋_GBK" w:eastAsia="方正仿宋_GBK" w:cs="方正仿宋_GBK"/>
          <w:color w:val="auto"/>
          <w:sz w:val="32"/>
          <w:szCs w:val="32"/>
          <w:shd w:val="clear" w:color="auto" w:fill="FFFFFF"/>
        </w:rPr>
        <w:t>调整预算增加妇女、儿童友好社区创建项目及镇街超收分成</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47.20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1.82</w:t>
      </w:r>
      <w:r>
        <w:rPr>
          <w:rFonts w:ascii="方正仿宋_GBK" w:hAnsi="方正仿宋_GBK" w:eastAsia="方正仿宋_GBK" w:cs="方正仿宋_GBK"/>
          <w:color w:val="auto"/>
          <w:sz w:val="32"/>
          <w:szCs w:val="32"/>
          <w:shd w:val="clear" w:color="auto" w:fill="FFFFFF"/>
        </w:rPr>
        <w:t>%，较年初预算数增加2.46万元，增长5.50%，主要原因是</w:t>
      </w:r>
      <w:r>
        <w:rPr>
          <w:rFonts w:hint="eastAsia" w:ascii="方正仿宋_GBK" w:hAnsi="方正仿宋_GBK" w:eastAsia="方正仿宋_GBK" w:cs="方正仿宋_GBK"/>
          <w:color w:val="auto"/>
          <w:sz w:val="32"/>
          <w:szCs w:val="32"/>
          <w:shd w:val="clear" w:color="auto" w:fill="FFFFFF"/>
          <w:lang w:eastAsia="zh-CN"/>
        </w:rPr>
        <w:t>人员正常晋升工资等级</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326.71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12.60</w:t>
      </w:r>
      <w:r>
        <w:rPr>
          <w:rFonts w:ascii="方正仿宋_GBK" w:hAnsi="方正仿宋_GBK" w:eastAsia="方正仿宋_GBK" w:cs="方正仿宋_GBK"/>
          <w:color w:val="auto"/>
          <w:sz w:val="32"/>
          <w:szCs w:val="32"/>
          <w:shd w:val="clear" w:color="auto" w:fill="FFFFFF"/>
        </w:rPr>
        <w:t>%，较年初预算数增加43.67万元，增长15.43%，主要原因是</w:t>
      </w:r>
      <w:r>
        <w:rPr>
          <w:rFonts w:hint="eastAsia" w:ascii="方正仿宋_GBK" w:hAnsi="方正仿宋_GBK" w:eastAsia="方正仿宋_GBK" w:cs="方正仿宋_GBK"/>
          <w:color w:val="auto"/>
          <w:sz w:val="32"/>
          <w:szCs w:val="32"/>
          <w:shd w:val="clear" w:color="auto" w:fill="FFFFFF"/>
        </w:rPr>
        <w:t>调整预算增加临时救助项目、退役士兵再就业帮扶项目、特困人员区域性供养项目支出。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67.03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2.59</w:t>
      </w:r>
      <w:r>
        <w:rPr>
          <w:rFonts w:ascii="方正仿宋_GBK" w:hAnsi="方正仿宋_GBK" w:eastAsia="方正仿宋_GBK" w:cs="方正仿宋_GBK"/>
          <w:color w:val="auto"/>
          <w:sz w:val="32"/>
          <w:szCs w:val="32"/>
          <w:shd w:val="clear" w:color="auto" w:fill="FFFFFF"/>
        </w:rPr>
        <w:t>%，较年初预算数减少4.95万元，下降6.88%，主要原因是</w:t>
      </w:r>
      <w:r>
        <w:rPr>
          <w:rFonts w:hint="eastAsia" w:ascii="方正仿宋_GBK" w:hAnsi="方正仿宋_GBK" w:eastAsia="方正仿宋_GBK" w:cs="方正仿宋_GBK"/>
          <w:color w:val="auto"/>
          <w:sz w:val="32"/>
          <w:szCs w:val="32"/>
          <w:shd w:val="clear" w:color="auto" w:fill="FFFFFF"/>
        </w:rPr>
        <w:t>减少新冠疫情防控经费</w:t>
      </w:r>
      <w:r>
        <w:rPr>
          <w:rFonts w:hint="eastAsia" w:ascii="方正仿宋_GBK" w:hAnsi="方正仿宋_GBK" w:eastAsia="方正仿宋_GBK" w:cs="方正仿宋_GBK"/>
          <w:color w:val="auto"/>
          <w:sz w:val="32"/>
          <w:szCs w:val="32"/>
          <w:shd w:val="clear" w:color="auto" w:fill="FFFFFF"/>
          <w:lang w:eastAsia="zh-CN"/>
        </w:rPr>
        <w:t>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39.63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1.53</w:t>
      </w:r>
      <w:r>
        <w:rPr>
          <w:rFonts w:ascii="方正仿宋_GBK" w:hAnsi="方正仿宋_GBK" w:eastAsia="方正仿宋_GBK" w:cs="方正仿宋_GBK"/>
          <w:color w:val="auto"/>
          <w:sz w:val="32"/>
          <w:szCs w:val="32"/>
          <w:shd w:val="clear" w:color="auto" w:fill="FFFFFF"/>
        </w:rPr>
        <w:t>%，较年初预算数增加3.68万元，增长10.24%，主要原因是</w:t>
      </w:r>
      <w:r>
        <w:rPr>
          <w:rFonts w:hint="eastAsia" w:ascii="方正仿宋_GBK" w:hAnsi="方正仿宋_GBK" w:eastAsia="方正仿宋_GBK" w:cs="方正仿宋_GBK"/>
          <w:color w:val="auto"/>
          <w:sz w:val="32"/>
          <w:szCs w:val="32"/>
          <w:shd w:val="clear" w:color="auto" w:fill="FFFFFF"/>
        </w:rPr>
        <w:t>调整预算增加创建全国文明城区文明劝导员和管理员经费支出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899.46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34.70</w:t>
      </w:r>
      <w:r>
        <w:rPr>
          <w:rFonts w:ascii="方正仿宋_GBK" w:hAnsi="方正仿宋_GBK" w:eastAsia="方正仿宋_GBK" w:cs="方正仿宋_GBK"/>
          <w:color w:val="auto"/>
          <w:sz w:val="32"/>
          <w:szCs w:val="32"/>
          <w:shd w:val="clear" w:color="auto" w:fill="FFFFFF"/>
        </w:rPr>
        <w:t>%，较年初预算数增加186.59万元，增长26.17%，主要原因是</w:t>
      </w:r>
      <w:r>
        <w:rPr>
          <w:rFonts w:hint="eastAsia" w:ascii="方正仿宋_GBK" w:hAnsi="方正仿宋_GBK" w:eastAsia="方正仿宋_GBK" w:cs="方正仿宋_GBK"/>
          <w:color w:val="auto"/>
          <w:sz w:val="32"/>
          <w:szCs w:val="32"/>
          <w:shd w:val="clear" w:color="auto" w:fill="FFFFFF"/>
        </w:rPr>
        <w:t>调整预算增加农村综合改革项目、脱贫人口产业到户补助项目、绿色示范村补助项目、中央造林“四旁”植树补助项目、耕地“非粮化”整治项目支出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160.20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6.18</w:t>
      </w:r>
      <w:r>
        <w:rPr>
          <w:rFonts w:ascii="方正仿宋_GBK" w:hAnsi="方正仿宋_GBK" w:eastAsia="方正仿宋_GBK" w:cs="方正仿宋_GBK"/>
          <w:color w:val="auto"/>
          <w:sz w:val="32"/>
          <w:szCs w:val="32"/>
          <w:shd w:val="clear" w:color="auto" w:fill="FFFFFF"/>
        </w:rPr>
        <w:t>%，较年初预算数增加16.20万元，增长11.25%，主要原因是</w:t>
      </w:r>
      <w:r>
        <w:rPr>
          <w:rFonts w:hint="eastAsia" w:ascii="方正仿宋_GBK" w:hAnsi="方正仿宋_GBK" w:eastAsia="方正仿宋_GBK" w:cs="方正仿宋_GBK"/>
          <w:color w:val="auto"/>
          <w:sz w:val="32"/>
          <w:szCs w:val="32"/>
          <w:shd w:val="clear" w:color="auto" w:fill="FFFFFF"/>
        </w:rPr>
        <w:t>调整预算增加交通安全劝导员补助项目、四好农村公路项目支出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住房保障支出72.73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2.81</w:t>
      </w:r>
      <w:r>
        <w:rPr>
          <w:rFonts w:ascii="方正仿宋_GBK" w:hAnsi="方正仿宋_GBK" w:eastAsia="方正仿宋_GBK" w:cs="方正仿宋_GBK"/>
          <w:color w:val="auto"/>
          <w:sz w:val="32"/>
          <w:szCs w:val="32"/>
          <w:shd w:val="clear" w:color="auto" w:fill="FFFFFF"/>
        </w:rPr>
        <w:t>%，较年初预算数增加0.09万元，增长0.12%，主要原因是</w:t>
      </w:r>
      <w:r>
        <w:rPr>
          <w:rFonts w:hint="eastAsia" w:ascii="方正仿宋_GBK" w:hAnsi="方正仿宋_GBK" w:eastAsia="方正仿宋_GBK" w:cs="方正仿宋_GBK"/>
          <w:color w:val="auto"/>
          <w:sz w:val="32"/>
          <w:szCs w:val="32"/>
          <w:shd w:val="clear" w:color="auto" w:fill="FFFFFF"/>
        </w:rPr>
        <w:t>调整预算增加农村危房改造补助项目支出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灾害防治及应急管理支出3.20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0.12</w:t>
      </w:r>
      <w:r>
        <w:rPr>
          <w:rFonts w:ascii="方正仿宋_GBK" w:hAnsi="方正仿宋_GBK" w:eastAsia="方正仿宋_GBK" w:cs="方正仿宋_GBK"/>
          <w:color w:val="auto"/>
          <w:sz w:val="32"/>
          <w:szCs w:val="32"/>
          <w:shd w:val="clear" w:color="auto" w:fill="FFFFFF"/>
        </w:rPr>
        <w:t>%，较年初预算数增加3.20万元，增长100.00%，主要原因是</w:t>
      </w:r>
      <w:r>
        <w:rPr>
          <w:rFonts w:hint="eastAsia" w:ascii="方正仿宋_GBK" w:hAnsi="方正仿宋_GBK" w:eastAsia="方正仿宋_GBK" w:cs="方正仿宋_GBK"/>
          <w:color w:val="auto"/>
          <w:sz w:val="32"/>
          <w:szCs w:val="32"/>
          <w:shd w:val="clear" w:color="auto" w:fill="FFFFFF"/>
        </w:rPr>
        <w:t>调整预算增加自然灾害防治体系项目支出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1469.23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1249.82</w:t>
      </w:r>
      <w:r>
        <w:rPr>
          <w:rFonts w:ascii="方正仿宋_GBK" w:hAnsi="方正仿宋_GBK" w:eastAsia="方正仿宋_GBK" w:cs="方正仿宋_GBK"/>
          <w:color w:val="auto"/>
          <w:sz w:val="32"/>
          <w:szCs w:val="32"/>
          <w:shd w:val="clear" w:color="auto" w:fill="FFFFFF"/>
        </w:rPr>
        <w:t>万元，较上年决算数增加74.99万元，增长6.38%，主要原因是</w:t>
      </w:r>
      <w:r>
        <w:rPr>
          <w:rFonts w:hint="eastAsia" w:ascii="方正仿宋_GBK" w:hAnsi="方正仿宋_GBK" w:eastAsia="方正仿宋_GBK" w:cs="方正仿宋_GBK"/>
          <w:color w:val="auto"/>
          <w:sz w:val="32"/>
          <w:szCs w:val="32"/>
          <w:shd w:val="clear" w:color="auto" w:fill="FFFFFF"/>
          <w:lang w:eastAsia="zh-CN"/>
        </w:rPr>
        <w:t>人员变动及正常晋升工资等次</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基本工资、津贴补贴、奖金、绩效工资、社会保障缴费、住房公积金、其他对个人和家庭补助支出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219.41</w:t>
      </w:r>
      <w:r>
        <w:rPr>
          <w:rFonts w:ascii="方正仿宋_GBK" w:hAnsi="方正仿宋_GBK" w:eastAsia="方正仿宋_GBK" w:cs="方正仿宋_GBK"/>
          <w:color w:val="auto"/>
          <w:sz w:val="32"/>
          <w:szCs w:val="32"/>
          <w:shd w:val="clear" w:color="auto" w:fill="FFFFFF"/>
        </w:rPr>
        <w:t>万元，较上年决算数增加18.16万元，增长9.02%，主要原因是</w:t>
      </w:r>
      <w:r>
        <w:rPr>
          <w:rFonts w:hint="eastAsia" w:ascii="方正仿宋_GBK" w:hAnsi="方正仿宋_GBK" w:eastAsia="方正仿宋_GBK" w:cs="方正仿宋_GBK"/>
          <w:color w:val="auto"/>
          <w:sz w:val="32"/>
          <w:szCs w:val="32"/>
          <w:shd w:val="clear" w:color="auto" w:fill="FFFFFF"/>
          <w:lang w:eastAsia="zh-CN"/>
        </w:rPr>
        <w:t>劳务费增加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办公费、水电费、邮电费、差旅费、维修（护）费、会议费、培训费、公务接待费、劳务费、公务用车运行维护费、其他交通费、其他商品和服务支出等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282.59</w:t>
      </w:r>
      <w:r>
        <w:rPr>
          <w:rFonts w:ascii="方正仿宋_GBK" w:hAnsi="方正仿宋_GBK" w:eastAsia="方正仿宋_GBK" w:cs="方正仿宋_GBK"/>
          <w:color w:val="auto"/>
          <w:sz w:val="32"/>
          <w:szCs w:val="32"/>
          <w:shd w:val="clear" w:color="auto" w:fill="FFFFFF"/>
        </w:rPr>
        <w:t>万元，较上年决算数增加141.98万元，增长100.97%，主要原因是</w:t>
      </w:r>
      <w:r>
        <w:rPr>
          <w:rFonts w:hint="eastAsia" w:ascii="方正仿宋_GBK" w:hAnsi="方正仿宋_GBK" w:eastAsia="方正仿宋_GBK" w:cs="方正仿宋_GBK"/>
          <w:color w:val="auto"/>
          <w:sz w:val="32"/>
          <w:szCs w:val="32"/>
          <w:shd w:val="clear" w:color="auto" w:fill="FFFFFF"/>
        </w:rPr>
        <w:t>调整预算增加地质灾害群测群防人员补助项目、建新拆旧复垦项目、公路日常养护补助项目、回国路升级改造土地补偿项目等收入</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282.59</w:t>
      </w:r>
      <w:r>
        <w:rPr>
          <w:rFonts w:ascii="方正仿宋_GBK" w:hAnsi="方正仿宋_GBK" w:eastAsia="方正仿宋_GBK" w:cs="方正仿宋_GBK"/>
          <w:color w:val="auto"/>
          <w:sz w:val="32"/>
          <w:szCs w:val="32"/>
          <w:shd w:val="clear" w:color="auto" w:fill="FFFFFF"/>
        </w:rPr>
        <w:t>万元，较上年决算数增加141.98万元，增长100.97%，主要原因是</w:t>
      </w:r>
      <w:r>
        <w:rPr>
          <w:rFonts w:hint="eastAsia" w:ascii="方正仿宋_GBK" w:hAnsi="方正仿宋_GBK" w:eastAsia="方正仿宋_GBK" w:cs="方正仿宋_GBK"/>
          <w:color w:val="auto"/>
          <w:sz w:val="32"/>
          <w:szCs w:val="32"/>
          <w:shd w:val="clear" w:color="auto" w:fill="FFFFFF"/>
        </w:rPr>
        <w:t>调整预算增加地质灾害群测群防人员补助项目、建新拆旧复垦项目、公路日常养护补助项目、回国路升级改造土地补偿项目等支出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11"/>
        <w:autoSpaceDE w:val="0"/>
        <w:ind w:firstLine="643"/>
        <w:rPr>
          <w:rFonts w:hint="default"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本部门2023年度无国有资本经营预算财政拨款支出。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12.08</w:t>
      </w:r>
      <w:r>
        <w:rPr>
          <w:rFonts w:ascii="方正仿宋_GBK" w:hAnsi="方正仿宋_GBK" w:eastAsia="方正仿宋_GBK" w:cs="方正仿宋_GBK"/>
          <w:color w:val="auto"/>
          <w:sz w:val="32"/>
          <w:szCs w:val="32"/>
          <w:shd w:val="clear" w:color="auto" w:fill="FFFFFF"/>
        </w:rPr>
        <w:t>万元，较年初预算数减少17.05万元，下降58.53%，主要原因是</w:t>
      </w:r>
      <w:r>
        <w:rPr>
          <w:rFonts w:hint="eastAsia" w:ascii="方正仿宋_GBK" w:hAnsi="方正仿宋_GBK" w:eastAsia="方正仿宋_GBK" w:cs="方正仿宋_GBK"/>
          <w:color w:val="auto"/>
          <w:sz w:val="32"/>
          <w:szCs w:val="32"/>
          <w:shd w:val="clear" w:color="auto" w:fill="FFFFFF"/>
        </w:rPr>
        <w:t>压减一般性支出，集中财力保工资、保运转、保基本民生。较上年支出数基本持平。</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2023年度本部门未发生因公出国（境）费用。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2023年度本部门未发生公务车购置费用。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公务车运行维护费5.95万元，主要用于公车油费、维修费、保险费。费用支出较年初预算数减少17.05万元，下降74.13%，主要原因是本着厉行节约的原则，强化公务车运行管理减少支出。较上年支出数基本持平。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公务接待费6.13万元，主要用于接待相关部门检查指导工作及招商引资。费用支出较年初预算数无增减，主要原因是本着厉行节约的原则，强化公务接待支出管理，严格执行公务接待开支范围和开支标准。较上年支出数基本持平。</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280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2986</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20.53</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2.97</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11"/>
        <w:autoSpaceDE w:val="0"/>
        <w:ind w:firstLine="643"/>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 本年度会议费支出8.27万元，较上年决算数基本持平。本年度培训费支出1.96万元，较上年决算数基本持平。</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205.51</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开支办公费、水电费、邮电费、差旅费、维修（护）费、租赁费、会议费、培训费、公务接待费、劳务费、工会经费、公务用车运行维护费、其他交通费、其他商品和服务支出等</w:t>
      </w:r>
      <w:r>
        <w:rPr>
          <w:rFonts w:ascii="方正仿宋_GBK" w:hAnsi="方正仿宋_GBK" w:eastAsia="方正仿宋_GBK" w:cs="方正仿宋_GBK"/>
          <w:color w:val="auto"/>
          <w:sz w:val="32"/>
          <w:szCs w:val="32"/>
          <w:shd w:val="clear" w:color="auto" w:fill="FFFFFF"/>
        </w:rPr>
        <w:t>。机关运行经费较上年支出数增加107.25万元，增长109.15%，主要原因是</w:t>
      </w:r>
      <w:r>
        <w:rPr>
          <w:rFonts w:hint="eastAsia" w:ascii="方正仿宋_GBK" w:hAnsi="方正仿宋_GBK" w:eastAsia="方正仿宋_GBK" w:cs="方正仿宋_GBK"/>
          <w:color w:val="auto"/>
          <w:sz w:val="32"/>
          <w:szCs w:val="32"/>
          <w:shd w:val="clear" w:color="auto" w:fill="FFFFFF"/>
        </w:rPr>
        <w:t>办公设备老化，维修“护”费用增加及规范账务经济科目使用，以前年度将部分劳务费归入个人及家庭生活补助类经济科目使用</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2023年度本部门政府采购支出总额</w:t>
      </w:r>
      <w:r>
        <w:rPr>
          <w:rFonts w:ascii="方正仿宋_GBK" w:hAnsi="方正仿宋_GBK" w:eastAsia="方正仿宋_GBK" w:cs="方正仿宋_GBK"/>
          <w:color w:val="auto"/>
          <w:sz w:val="32"/>
          <w:szCs w:val="32"/>
        </w:rPr>
        <w:t>334.87</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8.64</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326.24</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334.87万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147.09</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43.93</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采购广告服务、办公设备及演出服务等</w:t>
      </w:r>
      <w:r>
        <w:rPr>
          <w:rFonts w:hint="eastAsia" w:ascii="方正仿宋_GBK" w:hAnsi="方正仿宋_GBK" w:eastAsia="方正仿宋_GBK" w:cs="方正仿宋_GBK"/>
          <w:color w:val="auto"/>
          <w:sz w:val="32"/>
          <w:szCs w:val="32"/>
          <w:shd w:val="clear" w:color="auto" w:fill="FFFFFF"/>
          <w:lang w:eastAsia="zh-CN"/>
        </w:rPr>
        <w:t>。</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（一）部门自评情况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rPr>
        <w:t>根据预算绩效管理要求，我单位对部门整体和54个二级项目开展了绩效自评，涉及财政拨款项目支出资金1608.4万元。</w:t>
      </w:r>
    </w:p>
    <w:p>
      <w:pPr>
        <w:rPr>
          <w:rFonts w:hint="eastAsia" w:ascii="方正仿宋_GBK" w:hAnsi="方正仿宋_GBK" w:eastAsia="方正仿宋_GBK" w:cs="方正仿宋_GBK"/>
          <w:color w:val="auto"/>
          <w:sz w:val="32"/>
          <w:szCs w:val="32"/>
          <w:shd w:val="clear" w:color="auto" w:fill="FFFFFF"/>
        </w:rPr>
        <w:sectPr>
          <w:pgSz w:w="16840" w:h="11915" w:orient="landscape"/>
          <w:pgMar w:top="720" w:right="720" w:bottom="720" w:left="72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rPr>
        <w:object>
          <v:shape id="_x0000_i1036" o:spt="75" type="#_x0000_t75" style="height:575.85pt;width:769.85pt;" o:ole="t" filled="f" o:preferrelative="t" stroked="f" coordsize="21600,21600">
            <v:path/>
            <v:fill on="f" focussize="0,0"/>
            <v:stroke on="f"/>
            <v:imagedata r:id="rId8" o:title=""/>
            <o:lock v:ext="edit" aspectratio="f"/>
            <w10:wrap type="none"/>
            <w10:anchorlock/>
          </v:shape>
          <o:OLEObject Type="Embed" ProgID="Excel.Sheet.12" ShapeID="_x0000_i1036" DrawAspect="Content" ObjectID="_1468075725" r:id="rId7">
            <o:LockedField>false</o:LockedField>
          </o:OLEObject>
        </w:object>
      </w:r>
    </w:p>
    <w:p>
      <w:pPr>
        <w:rPr>
          <w:rFonts w:hint="eastAsia" w:ascii="方正仿宋_GBK" w:hAnsi="方正仿宋_GBK" w:eastAsia="方正仿宋_GBK" w:cs="方正仿宋_GBK"/>
          <w:color w:val="auto"/>
          <w:sz w:val="32"/>
          <w:szCs w:val="32"/>
          <w:shd w:val="clear" w:color="auto" w:fill="FFFFFF"/>
        </w:rPr>
        <w:sectPr>
          <w:pgSz w:w="16840" w:h="11915" w:orient="landscape"/>
          <w:pgMar w:top="720" w:right="720" w:bottom="720" w:left="72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rPr>
        <w:object>
          <v:shape id="_x0000_i1038" o:spt="75" type="#_x0000_t75" style="height:411.25pt;width:769.85pt;" o:ole="t" filled="f" o:preferrelative="t" stroked="f" coordsize="21600,21600">
            <v:path/>
            <v:fill on="f" focussize="0,0"/>
            <v:stroke on="f"/>
            <v:imagedata r:id="rId10" o:title=""/>
            <o:lock v:ext="edit" aspectratio="f"/>
            <w10:wrap type="none"/>
            <w10:anchorlock/>
          </v:shape>
          <o:OLEObject Type="Embed" ProgID="Excel.Sheet.12" ShapeID="_x0000_i1038" DrawAspect="Content" ObjectID="_1468075726" r:id="rId9">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37" o:spt="75" type="#_x0000_t75" style="height:447.85pt;width:769.85pt;" o:ole="t" filled="f" o:preferrelative="t" stroked="f" coordsize="21600,21600">
            <v:path/>
            <v:fill on="f" focussize="0,0"/>
            <v:stroke on="f"/>
            <v:imagedata r:id="rId12" o:title=""/>
            <o:lock v:ext="edit" aspectratio="f"/>
            <w10:wrap type="none"/>
            <w10:anchorlock/>
          </v:shape>
          <o:OLEObject Type="Embed" ProgID="Excel.Sheet.12" ShapeID="_x0000_i1037" DrawAspect="Content" ObjectID="_1468075727" r:id="rId11">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39" o:spt="75" type="#_x0000_t75" style="height:411.25pt;width:769.85pt;" o:ole="t" filled="f" o:preferrelative="t" stroked="f" coordsize="21600,21600">
            <v:path/>
            <v:fill on="f" focussize="0,0"/>
            <v:stroke on="f"/>
            <v:imagedata r:id="rId14" o:title=""/>
            <o:lock v:ext="edit" aspectratio="f"/>
            <w10:wrap type="none"/>
            <w10:anchorlock/>
          </v:shape>
          <o:OLEObject Type="Embed" ProgID="Excel.Sheet.12" ShapeID="_x0000_i1039" DrawAspect="Content" ObjectID="_1468075728" r:id="rId13">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50" o:spt="75" type="#_x0000_t75" style="height:429.55pt;width:769.85pt;" o:ole="t" filled="f" o:preferrelative="t" stroked="f" coordsize="21600,21600">
            <v:path/>
            <v:fill on="f" focussize="0,0"/>
            <v:stroke on="f"/>
            <v:imagedata r:id="rId16" o:title=""/>
            <o:lock v:ext="edit" aspectratio="f"/>
            <w10:wrap type="none"/>
            <w10:anchorlock/>
          </v:shape>
          <o:OLEObject Type="Embed" ProgID="Excel.Sheet.12" ShapeID="_x0000_i1050" DrawAspect="Content" ObjectID="_1468075729" r:id="rId15">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1" o:spt="75" type="#_x0000_t75" style="height:411.25pt;width:769.85pt;" o:ole="t" filled="f" o:preferrelative="t" stroked="f" coordsize="21600,21600">
            <v:path/>
            <v:fill on="f" focussize="0,0"/>
            <v:stroke on="f"/>
            <v:imagedata r:id="rId18" o:title=""/>
            <o:lock v:ext="edit" aspectratio="f"/>
            <w10:wrap type="none"/>
            <w10:anchorlock/>
          </v:shape>
          <o:OLEObject Type="Embed" ProgID="Excel.Sheet.12" ShapeID="_x0000_i1041" DrawAspect="Content" ObjectID="_1468075730" r:id="rId17">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2" o:spt="75" type="#_x0000_t75" style="height:411.25pt;width:769.85pt;" o:ole="t" filled="f" o:preferrelative="t" stroked="f" coordsize="21600,21600">
            <v:path/>
            <v:fill on="f" focussize="0,0"/>
            <v:stroke on="f"/>
            <v:imagedata r:id="rId20" o:title=""/>
            <o:lock v:ext="edit" aspectratio="f"/>
            <w10:wrap type="none"/>
            <w10:anchorlock/>
          </v:shape>
          <o:OLEObject Type="Embed" ProgID="Excel.Sheet.12" ShapeID="_x0000_i1042" DrawAspect="Content" ObjectID="_1468075731" r:id="rId19">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3" o:spt="75" type="#_x0000_t75" style="height:429.55pt;width:769.85pt;" o:ole="t" filled="f" o:preferrelative="t" stroked="f" coordsize="21600,21600">
            <v:path/>
            <v:fill on="f" focussize="0,0"/>
            <v:stroke on="f"/>
            <v:imagedata r:id="rId22" o:title=""/>
            <o:lock v:ext="edit" aspectratio="f"/>
            <w10:wrap type="none"/>
            <w10:anchorlock/>
          </v:shape>
          <o:OLEObject Type="Embed" ProgID="Excel.Sheet.12" ShapeID="_x0000_i1043" DrawAspect="Content" ObjectID="_1468075732" r:id="rId21">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4" o:spt="75" type="#_x0000_t75" style="height:411.25pt;width:769.85pt;" o:ole="t" filled="f" o:preferrelative="t" stroked="f" coordsize="21600,21600">
            <v:path/>
            <v:fill on="f" focussize="0,0"/>
            <v:stroke on="f"/>
            <v:imagedata r:id="rId24" o:title=""/>
            <o:lock v:ext="edit" aspectratio="f"/>
            <w10:wrap type="none"/>
            <w10:anchorlock/>
          </v:shape>
          <o:OLEObject Type="Embed" ProgID="Excel.Sheet.12" ShapeID="_x0000_i1044" DrawAspect="Content" ObjectID="_1468075733" r:id="rId23">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5" o:spt="75" type="#_x0000_t75" style="height:411.25pt;width:769.85pt;" o:ole="t" filled="f" o:preferrelative="t" stroked="f" coordsize="21600,21600">
            <v:path/>
            <v:fill on="f" focussize="0,0"/>
            <v:stroke on="f"/>
            <v:imagedata r:id="rId26" o:title=""/>
            <o:lock v:ext="edit" aspectratio="f"/>
            <w10:wrap type="none"/>
            <w10:anchorlock/>
          </v:shape>
          <o:OLEObject Type="Embed" ProgID="Excel.Sheet.12" ShapeID="_x0000_i1045" DrawAspect="Content" ObjectID="_1468075734" r:id="rId25">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6" o:spt="75" type="#_x0000_t75" style="height:411.25pt;width:769.85pt;" o:ole="t" filled="f" o:preferrelative="t" stroked="f" coordsize="21600,21600">
            <v:path/>
            <v:fill on="f" focussize="0,0"/>
            <v:stroke on="f"/>
            <v:imagedata r:id="rId28" o:title=""/>
            <o:lock v:ext="edit" aspectratio="f"/>
            <w10:wrap type="none"/>
            <w10:anchorlock/>
          </v:shape>
          <o:OLEObject Type="Embed" ProgID="Excel.Sheet.12" ShapeID="_x0000_i1046" DrawAspect="Content" ObjectID="_1468075735" r:id="rId27">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7" o:spt="75" type="#_x0000_t75" style="height:429.55pt;width:769.85pt;" o:ole="t" filled="f" o:preferrelative="t" stroked="f" coordsize="21600,21600">
            <v:path/>
            <v:fill on="f" focussize="0,0"/>
            <v:stroke on="f"/>
            <v:imagedata r:id="rId30" o:title=""/>
            <o:lock v:ext="edit" aspectratio="f"/>
            <w10:wrap type="none"/>
            <w10:anchorlock/>
          </v:shape>
          <o:OLEObject Type="Embed" ProgID="Excel.Sheet.12" ShapeID="_x0000_i1047" DrawAspect="Content" ObjectID="_1468075736" r:id="rId29">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8" o:spt="75" type="#_x0000_t75" style="height:411.25pt;width:769.85pt;" o:ole="t" filled="f" o:preferrelative="t" stroked="f" coordsize="21600,21600">
            <v:path/>
            <v:fill on="f" focussize="0,0"/>
            <v:stroke on="f"/>
            <v:imagedata r:id="rId32" o:title=""/>
            <o:lock v:ext="edit" aspectratio="f"/>
            <w10:wrap type="none"/>
            <w10:anchorlock/>
          </v:shape>
          <o:OLEObject Type="Embed" ProgID="Excel.Sheet.12" ShapeID="_x0000_i1048" DrawAspect="Content" ObjectID="_1468075737" r:id="rId31">
            <o:LockedField>false</o:LockedField>
          </o:OLEObject>
        </w:object>
      </w:r>
    </w:p>
    <w:p>
      <w:pPr>
        <w:pStyle w:val="12"/>
        <w:spacing w:before="0" w:beforeAutospacing="0"/>
        <w:rPr>
          <w:rStyle w:val="13"/>
          <w:rFonts w:hint="eastAsia" w:ascii="方正仿宋_GBK" w:hAnsi="方正仿宋_GBK" w:eastAsia="方正仿宋_GBK" w:cs="方正仿宋_GBK"/>
          <w:color w:val="auto"/>
          <w:sz w:val="32"/>
          <w:szCs w:val="32"/>
          <w:shd w:val="clear" w:color="auto" w:fill="FFFFFF"/>
        </w:rPr>
      </w:pP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（二）部门绩效评价情况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我部门未组织开展绩效评价。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财政局未委托第三方对我部门开展绩效评价。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本单位决算公开信息反馈和联系方式：023-</w:t>
      </w:r>
      <w:r>
        <w:rPr>
          <w:rFonts w:hint="eastAsia" w:ascii="方正仿宋_GBK" w:hAnsi="方正仿宋_GBK" w:eastAsia="方正仿宋_GBK" w:cs="方正仿宋_GBK"/>
          <w:color w:val="auto"/>
          <w:sz w:val="32"/>
          <w:szCs w:val="32"/>
          <w:shd w:val="clear" w:color="auto" w:fill="FFFFFF"/>
          <w:lang w:val="en-US" w:eastAsia="zh-CN"/>
        </w:rPr>
        <w:t>43406001</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重庆市大足区回龙镇人民政府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2,591.93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975.78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326.71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322.22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899.46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2,874.52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2,874.52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2,884.98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2,884.98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重庆市大足区回龙镇人民政府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2,874.52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2,874.52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重庆市大足区回龙镇人民政府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2,874.52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1,469.23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1,405.29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重庆市大足区回龙镇人民政府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2,591.93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975.78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975.78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2,874.52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2,874.52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2,884.98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2,602.39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重庆市大足区回龙镇人民政府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2,591.93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1,469.23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1,122.70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975.78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848.94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807.61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899.46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重庆市大足区回龙镇人民政府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1,123.57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1,249.82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重庆市大足区回龙镇人民政府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重庆市大足区回龙镇人民政府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重庆市大足区回龙镇人民政府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205.51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205.51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334.87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2,986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326.24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334.87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147.09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8D14E6"/>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0562A"/>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634BFC"/>
    <w:rsid w:val="45CB699A"/>
    <w:rsid w:val="465B470D"/>
    <w:rsid w:val="469D6AD4"/>
    <w:rsid w:val="471E6C84"/>
    <w:rsid w:val="4748792B"/>
    <w:rsid w:val="475D719D"/>
    <w:rsid w:val="47674801"/>
    <w:rsid w:val="480F0D2C"/>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631C37"/>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0</TotalTime>
  <ScaleCrop>false</ScaleCrop>
  <LinksUpToDate>false</LinksUpToDate>
  <CharactersWithSpaces>27389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2024-10-17T02:35:24Z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