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lang w:val="en-US" w:eastAsia="zh-CN"/>
        </w:rPr>
        <w:t xml:space="preserve"> </w:t>
      </w:r>
      <w:r>
        <w:rPr>
          <w:rFonts w:hint="eastAsia" w:ascii="方正小标宋_GBK" w:eastAsia="方正小标宋_GBK"/>
          <w:sz w:val="44"/>
          <w:szCs w:val="44"/>
        </w:rPr>
        <w:t>重庆市大足区古龙镇人民政府</w:t>
      </w:r>
    </w:p>
    <w:p>
      <w:pPr>
        <w:spacing w:line="600" w:lineRule="exact"/>
        <w:jc w:val="center"/>
        <w:rPr>
          <w:rFonts w:hint="eastAsia" w:ascii="方正小标宋_GBK" w:eastAsia="方正小标宋_GBK"/>
          <w:sz w:val="44"/>
          <w:szCs w:val="44"/>
        </w:rPr>
      </w:pPr>
      <w:r>
        <w:rPr>
          <w:rFonts w:hint="eastAsia" w:ascii="方正小标宋_GBK" w:eastAsia="方正小标宋_GBK"/>
          <w:sz w:val="44"/>
          <w:szCs w:val="44"/>
        </w:rPr>
        <w:t>关于2020年财政预算执行情况和2021年财政预算（草案）的报告</w:t>
      </w:r>
    </w:p>
    <w:p>
      <w:pPr>
        <w:spacing w:line="590" w:lineRule="exact"/>
        <w:jc w:val="center"/>
        <w:rPr>
          <w:rFonts w:hint="eastAsia" w:ascii="方正仿宋_GBK" w:hAnsi="方正仿宋_GBK" w:eastAsia="方正仿宋_GBK" w:cs="方正仿宋_GBK"/>
          <w:color w:val="000000"/>
          <w:sz w:val="21"/>
          <w:szCs w:val="21"/>
        </w:rPr>
      </w:pPr>
    </w:p>
    <w:p>
      <w:pPr>
        <w:snapToGrid w:val="0"/>
        <w:spacing w:afterLines="50" w:line="400" w:lineRule="exact"/>
        <w:ind w:right="-334" w:rightChars="-159"/>
        <w:jc w:val="center"/>
        <w:rPr>
          <w:rFonts w:ascii="方正楷体_GBK" w:hAnsi="方正楷体_GBK" w:eastAsia="方正楷体_GBK" w:cs="方正楷体_GBK"/>
          <w:kern w:val="0"/>
          <w:sz w:val="28"/>
          <w:szCs w:val="28"/>
        </w:rPr>
      </w:pPr>
      <w:r>
        <w:rPr>
          <w:rFonts w:hint="eastAsia" w:ascii="方正楷体_GBK" w:hAnsi="方正楷体_GBK" w:eastAsia="方正楷体_GBK" w:cs="方正楷体_GBK"/>
          <w:kern w:val="0"/>
          <w:sz w:val="28"/>
          <w:szCs w:val="28"/>
        </w:rPr>
        <w:t>—2021年3月 19 日在大足区古龙镇第三届人民代表大会第十次会议上</w:t>
      </w:r>
    </w:p>
    <w:p>
      <w:pPr>
        <w:snapToGrid w:val="0"/>
        <w:spacing w:afterLines="50" w:line="400" w:lineRule="exact"/>
        <w:ind w:right="-334" w:rightChars="-159"/>
        <w:jc w:val="center"/>
        <w:rPr>
          <w:rFonts w:hint="eastAsia" w:ascii="方正楷体_GBK" w:hAnsi="方正楷体_GBK" w:eastAsia="方正楷体_GBK" w:cs="方正楷体_GBK"/>
          <w:kern w:val="0"/>
          <w:sz w:val="28"/>
          <w:szCs w:val="28"/>
          <w:lang w:eastAsia="zh-CN"/>
        </w:rPr>
      </w:pPr>
      <w:r>
        <w:rPr>
          <w:rFonts w:hint="eastAsia" w:ascii="方正楷体_GBK" w:hAnsi="方正楷体_GBK" w:eastAsia="方正楷体_GBK" w:cs="方正楷体_GBK"/>
          <w:kern w:val="0"/>
          <w:sz w:val="28"/>
          <w:szCs w:val="28"/>
        </w:rPr>
        <w:t>大足区古龙镇人民政府</w:t>
      </w:r>
      <w:r>
        <w:rPr>
          <w:rFonts w:hint="eastAsia" w:ascii="方正楷体_GBK" w:hAnsi="方正楷体_GBK" w:eastAsia="方正楷体_GBK" w:cs="方正楷体_GBK"/>
          <w:kern w:val="0"/>
          <w:sz w:val="28"/>
          <w:szCs w:val="28"/>
          <w:lang w:eastAsia="zh-CN"/>
        </w:rPr>
        <w:t>副</w:t>
      </w:r>
      <w:r>
        <w:rPr>
          <w:rFonts w:hint="eastAsia" w:ascii="方正楷体_GBK" w:hAnsi="方正楷体_GBK" w:eastAsia="方正楷体_GBK" w:cs="方正楷体_GBK"/>
          <w:kern w:val="0"/>
          <w:sz w:val="28"/>
          <w:szCs w:val="28"/>
        </w:rPr>
        <w:t>镇长  杨</w:t>
      </w:r>
      <w:r>
        <w:rPr>
          <w:rFonts w:hint="eastAsia" w:ascii="方正楷体_GBK" w:hAnsi="方正楷体_GBK" w:eastAsia="方正楷体_GBK" w:cs="方正楷体_GBK"/>
          <w:kern w:val="0"/>
          <w:sz w:val="28"/>
          <w:szCs w:val="28"/>
          <w:lang w:eastAsia="zh-CN"/>
        </w:rPr>
        <w:t>丰</w:t>
      </w:r>
    </w:p>
    <w:p>
      <w:pPr>
        <w:spacing w:line="590" w:lineRule="exact"/>
        <w:rPr>
          <w:rFonts w:hint="eastAsia" w:ascii="方正仿宋_GBK" w:hAnsi="方正仿宋_GBK" w:eastAsia="方正仿宋_GBK" w:cs="方正仿宋_GBK"/>
          <w:color w:val="000000"/>
          <w:sz w:val="32"/>
          <w:szCs w:val="32"/>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各位代表：</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依据《预算法》和《重庆市预算审查监督条例》及《重庆市大足区人大常委会关于镇人大预算审查监督工作的指导意见》的相关规定，</w:t>
      </w:r>
      <w:r>
        <w:rPr>
          <w:rFonts w:hint="eastAsia" w:ascii="方正仿宋_GBK" w:hAnsi="方正仿宋_GBK" w:eastAsia="方正仿宋_GBK" w:cs="方正仿宋_GBK"/>
          <w:color w:val="000000"/>
          <w:sz w:val="32"/>
          <w:szCs w:val="32"/>
        </w:rPr>
        <w:t>，现将《重庆市大足区古龙镇关于2020年财政预算执行情况和2021年财政预算（草案）》报告如下，</w:t>
      </w:r>
      <w:r>
        <w:rPr>
          <w:rFonts w:hint="eastAsia" w:ascii="方正仿宋_GBK" w:hAnsi="方正仿宋_GBK" w:eastAsia="方正仿宋_GBK" w:cs="方正仿宋_GBK"/>
          <w:sz w:val="32"/>
          <w:szCs w:val="32"/>
        </w:rPr>
        <w:t>提请大会审议</w:t>
      </w:r>
      <w:r>
        <w:rPr>
          <w:rFonts w:hint="eastAsia" w:ascii="方正仿宋_GBK" w:hAnsi="方正仿宋_GBK" w:eastAsia="方正仿宋_GBK" w:cs="方正仿宋_GBK"/>
          <w:color w:val="000000"/>
          <w:sz w:val="32"/>
          <w:szCs w:val="32"/>
        </w:rPr>
        <w:t>，并请列席会议的同志提出宝贵意见。</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一、2020年财政预算执行情况</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800" w:firstLineChars="25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sz w:val="32"/>
          <w:szCs w:val="32"/>
        </w:rPr>
        <w:t>是实施“十三五”规划的收官之年。</w:t>
      </w:r>
      <w:r>
        <w:rPr>
          <w:rFonts w:hint="eastAsia" w:ascii="方正仿宋_GBK" w:hAnsi="方正仿宋_GBK" w:eastAsia="方正仿宋_GBK" w:cs="方正仿宋_GBK"/>
          <w:color w:val="000000"/>
          <w:sz w:val="32"/>
          <w:szCs w:val="32"/>
        </w:rPr>
        <w:t>在镇党委的科学决策和坚强领导下，在镇人大的监督下，全镇上下的齐心协力，奋勇拼搏，深</w:t>
      </w:r>
      <w:r>
        <w:rPr>
          <w:rFonts w:hint="eastAsia" w:ascii="方正仿宋_GBK" w:hAnsi="方正仿宋_GBK" w:eastAsia="方正仿宋_GBK" w:cs="方正仿宋_GBK"/>
          <w:sz w:val="32"/>
          <w:szCs w:val="32"/>
        </w:rPr>
        <w:t>学笃用习近平新时代中国特色社会主义思想和视察重庆重要讲话精神，全面落实新发展理念，紧紧围绕镇党委决策部署，统筹推进稳增长、促改革、调结构、惠民生、防风险等各项工作，深入推进“放管服”改革、强化落实国家结构性减税、普遍性降费政策，调整优化支出结构，不断深化财政改革，加强财政监督，较好完成财政各项工作任务，促进了全镇经济社会持续健康发展。</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lang w:eastAsia="zh-CN"/>
        </w:rPr>
        <w:t>（一）</w:t>
      </w:r>
      <w:r>
        <w:rPr>
          <w:rFonts w:hint="eastAsia" w:ascii="方正楷体_GBK" w:hAnsi="方正楷体_GBK" w:eastAsia="方正楷体_GBK" w:cs="方正楷体_GBK"/>
          <w:color w:val="000000"/>
          <w:sz w:val="32"/>
          <w:szCs w:val="32"/>
        </w:rPr>
        <w:t>财政收入执行情况</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2020年财政收入共计2512.14万元。</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（二）财政支出执行情况</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 xml:space="preserve">    2020年，财政支出共计2512.14万元。主要支出项目预算执行情况是：</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3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一般公共服务支出741.82万元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国防支出</w:t>
      </w:r>
      <w:r>
        <w:rPr>
          <w:rFonts w:hint="eastAsia" w:ascii="方正仿宋_GBK" w:hAnsi="方正仿宋_GBK" w:eastAsia="方正仿宋_GBK" w:cs="方正仿宋_GBK"/>
          <w:color w:val="000000"/>
          <w:kern w:val="0"/>
          <w:sz w:val="32"/>
          <w:szCs w:val="32"/>
        </w:rPr>
        <w:t>0.2万元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 xml:space="preserve">    3</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sz w:val="32"/>
          <w:szCs w:val="32"/>
        </w:rPr>
        <w:t>公共安全支出</w:t>
      </w:r>
      <w:r>
        <w:rPr>
          <w:rFonts w:hint="eastAsia" w:ascii="方正仿宋_GBK" w:hAnsi="方正仿宋_GBK" w:eastAsia="方正仿宋_GBK" w:cs="方正仿宋_GBK"/>
          <w:color w:val="000000"/>
          <w:kern w:val="0"/>
          <w:sz w:val="32"/>
          <w:szCs w:val="32"/>
        </w:rPr>
        <w:t>12.4万元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4</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rPr>
        <w:t>文化体育与媒体支出33.33万元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3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社会保障和就业支出171.57万元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医疗卫生与计划生育支出84.53万元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3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节能环保支出28.5万元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8</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城乡社区支出482.97万元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农林水支出635.49万元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3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交通运输支出256.06万元</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5"/>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11</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sz w:val="32"/>
          <w:szCs w:val="32"/>
        </w:rPr>
        <w:t>住房保障支出55.27</w:t>
      </w:r>
      <w:r>
        <w:rPr>
          <w:rFonts w:hint="eastAsia" w:ascii="方正仿宋_GBK" w:hAnsi="方正仿宋_GBK" w:eastAsia="方正仿宋_GBK" w:cs="方正仿宋_GBK"/>
          <w:color w:val="000000"/>
          <w:kern w:val="0"/>
          <w:sz w:val="32"/>
          <w:szCs w:val="32"/>
        </w:rPr>
        <w:t>万元</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ind w:firstLine="645"/>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rPr>
        <w:t>12</w:t>
      </w:r>
      <w:r>
        <w:rPr>
          <w:rFonts w:hint="eastAsia" w:ascii="方正仿宋_GBK" w:hAnsi="方正仿宋_GBK" w:eastAsia="方正仿宋_GBK" w:cs="方正仿宋_GBK"/>
          <w:color w:val="000000"/>
          <w:kern w:val="0"/>
          <w:sz w:val="32"/>
          <w:szCs w:val="32"/>
          <w:lang w:val="en-US" w:eastAsia="zh-CN"/>
        </w:rPr>
        <w:t>.</w:t>
      </w:r>
      <w:r>
        <w:rPr>
          <w:rFonts w:hint="eastAsia" w:ascii="方正仿宋_GBK" w:hAnsi="方正仿宋_GBK" w:eastAsia="方正仿宋_GBK" w:cs="方正仿宋_GBK"/>
          <w:color w:val="000000"/>
          <w:kern w:val="0"/>
          <w:sz w:val="32"/>
          <w:szCs w:val="32"/>
        </w:rPr>
        <w:t>其他支出10万元。</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lang w:eastAsia="zh-CN"/>
        </w:rPr>
        <w:t>（三）全镇财政收支平衡执行情况</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按照现行财政体制及区对我镇的年终结算办法，2020年全镇税收收入（体制收入）0.51万元；上级补助收入</w:t>
      </w:r>
      <w:r>
        <w:rPr>
          <w:rFonts w:hint="eastAsia" w:ascii="方正仿宋_GBK" w:hAnsi="方正仿宋_GBK" w:eastAsia="方正仿宋_GBK" w:cs="方正仿宋_GBK"/>
          <w:kern w:val="0"/>
          <w:sz w:val="32"/>
          <w:szCs w:val="32"/>
        </w:rPr>
        <w:t>2101.26</w:t>
      </w:r>
      <w:r>
        <w:rPr>
          <w:rFonts w:hint="eastAsia" w:ascii="方正仿宋_GBK" w:hAnsi="方正仿宋_GBK" w:eastAsia="方正仿宋_GBK" w:cs="方正仿宋_GBK"/>
          <w:color w:val="000000"/>
          <w:sz w:val="32"/>
          <w:szCs w:val="32"/>
        </w:rPr>
        <w:t>万元，基金收入410.37万元。全镇共有当年可分配财力2512.14万元。全镇财政支出2512.14万元。2020年实现了财政收支平衡。</w:t>
      </w: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 xml:space="preserve">     二、2020年的财政工作回顾</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2020年，我镇在镇党委的坚强领导下，解放思想、改革创新，从严管财，为经济社会发展和社会稳定提供了有力保障。</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sz w:val="32"/>
          <w:szCs w:val="32"/>
          <w:lang w:eastAsia="zh-CN"/>
        </w:rPr>
        <w:t>（一）</w:t>
      </w:r>
      <w:r>
        <w:rPr>
          <w:rFonts w:hint="eastAsia" w:ascii="方正楷体_GBK" w:hAnsi="方正楷体_GBK" w:eastAsia="方正楷体_GBK" w:cs="方正楷体_GBK"/>
          <w:b w:val="0"/>
          <w:bCs/>
          <w:sz w:val="32"/>
          <w:szCs w:val="32"/>
        </w:rPr>
        <w:t>贯彻落实减税降费政策措施，强化税收征管，财政收入稳步增长</w:t>
      </w:r>
      <w:r>
        <w:rPr>
          <w:rFonts w:hint="eastAsia" w:ascii="方正楷体_GBK" w:hAnsi="方正楷体_GBK" w:eastAsia="方正楷体_GBK" w:cs="方正楷体_GBK"/>
          <w:b w:val="0"/>
          <w:bCs/>
          <w:sz w:val="32"/>
          <w:szCs w:val="32"/>
          <w:lang w:eastAsia="zh-CN"/>
        </w:rPr>
        <w:t>。</w:t>
      </w:r>
      <w:r>
        <w:rPr>
          <w:rFonts w:hint="eastAsia" w:ascii="方正仿宋_GBK" w:hAnsi="方正仿宋_GBK" w:eastAsia="方正仿宋_GBK" w:cs="方正仿宋_GBK"/>
          <w:sz w:val="32"/>
          <w:szCs w:val="32"/>
        </w:rPr>
        <w:t>2020年，镇财政着眼增强发展后劲，强化减税降费政策落实，紧紧围绕“狠抓收入，涵养税源” 的主线，实现了税收收入稳步增长。镇党政领导经常召集综合治税办公室成员一起分析税源，强化综合治税工作，巩固综合治税成果，第一时间掌握辖区内税源信息，做到抓大不放小，确保国家税收应收尽收。不断完善非税收入管理机制，确保收入及时足额入库，</w:t>
      </w:r>
      <w:r>
        <w:rPr>
          <w:rFonts w:hint="eastAsia" w:ascii="方正仿宋_GBK" w:hAnsi="方正仿宋_GBK" w:eastAsia="方正仿宋_GBK" w:cs="方正仿宋_GBK"/>
          <w:color w:val="000000"/>
          <w:spacing w:val="8"/>
          <w:sz w:val="32"/>
          <w:szCs w:val="32"/>
        </w:rPr>
        <w:t>为全区及我镇经济平稳较快发展提供财力保障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2020年，我镇完成税收收入2304万元，形成地方财力1404万元。</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sz w:val="32"/>
          <w:szCs w:val="32"/>
          <w:lang w:eastAsia="zh-CN"/>
        </w:rPr>
        <w:t>（二）加大招商引资力度。</w:t>
      </w:r>
      <w:r>
        <w:rPr>
          <w:rFonts w:hint="eastAsia" w:ascii="方正仿宋_GBK" w:hAnsi="方正仿宋_GBK" w:eastAsia="方正仿宋_GBK" w:cs="方正仿宋_GBK"/>
          <w:color w:val="000000"/>
          <w:sz w:val="32"/>
          <w:szCs w:val="32"/>
        </w:rPr>
        <w:t>成立专项工作组，建立“四个一”工作机制，狠抓</w:t>
      </w:r>
      <w:r>
        <w:rPr>
          <w:rFonts w:hint="eastAsia" w:ascii="方正仿宋_GBK" w:hAnsi="方正仿宋_GBK" w:eastAsia="方正仿宋_GBK" w:cs="方正仿宋_GBK"/>
          <w:sz w:val="32"/>
          <w:szCs w:val="32"/>
        </w:rPr>
        <w:t>“软硬件”建设，打造好招商引资平台，对招商引资项目全程提供“保姆式”服务，全力搭建招商引资“绿色通道”。</w:t>
      </w:r>
      <w:r>
        <w:rPr>
          <w:rFonts w:hint="eastAsia" w:ascii="方正仿宋_GBK" w:hAnsi="方正仿宋_GBK" w:eastAsia="方正仿宋_GBK" w:cs="方正仿宋_GBK"/>
          <w:color w:val="000000"/>
          <w:sz w:val="32"/>
          <w:szCs w:val="32"/>
        </w:rPr>
        <w:t>签订招商引资协议3家，协议资金12亿元（古龙镇占5.5亿元），到位资金3400万元。</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sz w:val="32"/>
          <w:szCs w:val="32"/>
          <w:lang w:eastAsia="zh-CN"/>
        </w:rPr>
        <w:t>（三）着力落实民生促保障。</w:t>
      </w:r>
      <w:r>
        <w:rPr>
          <w:rFonts w:hint="eastAsia" w:ascii="方正仿宋_GBK" w:hAnsi="方正仿宋_GBK" w:eastAsia="方正仿宋_GBK" w:cs="方正仿宋_GBK"/>
          <w:color w:val="000000"/>
          <w:sz w:val="32"/>
          <w:szCs w:val="32"/>
        </w:rPr>
        <w:t>发放各类救助、补助750人290余万元，城乡合作医疗参合率达98%，完成新农合报账90余万元，城乡居民养老保险参保3892人，1425人领取养老保险240余万元。发放各类惠民惠农补助资金107万元，城镇新增就业240人。新增文化、体育广场4个、健身器材60套、图书2000余册，开展文化下乡200余次，茶文化、忠义文化、天青石文化、大山文化、古龙文化进一步深入人心。发放各类奖扶资金19.59万元，实施改厕90户。投入620万元，建成农村四好公路11.7公里。</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b w:val="0"/>
          <w:bCs/>
          <w:sz w:val="32"/>
          <w:szCs w:val="32"/>
          <w:lang w:eastAsia="zh-CN"/>
        </w:rPr>
        <w:t>（四）深化财政改革促管理。</w:t>
      </w:r>
      <w:r>
        <w:rPr>
          <w:rFonts w:hint="eastAsia" w:ascii="方正仿宋_GBK" w:hAnsi="方正仿宋_GBK" w:eastAsia="方正仿宋_GBK" w:cs="方正仿宋_GBK"/>
          <w:color w:val="000000"/>
          <w:sz w:val="32"/>
          <w:szCs w:val="32"/>
        </w:rPr>
        <w:t>2020年，我镇完成了政府、部门预决算的编制工作；“三公”经费、采购预决算编制工作。建立内控制度，加强内部审计。组织村级财务专项检查，规范村财镇管村用。</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各位代表，2020年我镇财政工作取得的成绩，是镇党委的科学决策和坚强领导的结果，是镇人大监督指导和支持的结果，是全镇内各部门的相互协作和共同努力的结果，是全镇人民充分信任和大力支持的结果。</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但是，我们在预算执行中还存在一些困难和问题：一是本级可用财力全靠上级保障，调度资金困难，编制的预算偏差较大；二是基本民生等重点保障领域支出呈刚性增长，财政统筹平衡力度不断加大；三是项目资金整合力度不够，资金使用绩效有待进一步提高。这些困难和问题，我们将在这次大会中广泛听取各位代表的意见，加强学习、认真思考、仔细研究、尽快落实解决方案。</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rPr>
        <w:t>三、2021年财政预算</w:t>
      </w:r>
      <w:r>
        <w:rPr>
          <w:rFonts w:hint="eastAsia" w:ascii="方正黑体_GBK" w:hAnsi="方正黑体_GBK" w:eastAsia="方正黑体_GBK" w:cs="方正黑体_GBK"/>
          <w:color w:val="000000"/>
          <w:sz w:val="32"/>
          <w:szCs w:val="32"/>
          <w:lang w:eastAsia="zh-CN"/>
        </w:rPr>
        <w:t>（草案）</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2021年我镇财政工作以习近平新时代中国特色社会主义思想为指导，全面深入贯彻党的十九大及</w:t>
      </w:r>
      <w:r>
        <w:rPr>
          <w:rFonts w:hint="eastAsia" w:ascii="方正仿宋_GBK" w:hAnsi="方正仿宋_GBK" w:eastAsia="方正仿宋_GBK" w:cs="方正仿宋_GBK"/>
          <w:color w:val="000000"/>
          <w:sz w:val="32"/>
          <w:szCs w:val="32"/>
          <w:lang w:eastAsia="zh-CN"/>
        </w:rPr>
        <w:t>十九届二中、三中、四中、五中全会</w:t>
      </w:r>
      <w:r>
        <w:rPr>
          <w:rFonts w:hint="eastAsia" w:ascii="方正仿宋_GBK" w:hAnsi="方正仿宋_GBK" w:eastAsia="方正仿宋_GBK" w:cs="方正仿宋_GBK"/>
          <w:color w:val="000000"/>
          <w:sz w:val="32"/>
          <w:szCs w:val="32"/>
        </w:rPr>
        <w:t>精神，</w:t>
      </w:r>
      <w:r>
        <w:rPr>
          <w:rFonts w:hint="eastAsia" w:ascii="方正仿宋_GBK" w:hAnsi="方正仿宋_GBK" w:eastAsia="方正仿宋_GBK" w:cs="方正仿宋_GBK"/>
          <w:sz w:val="32"/>
          <w:szCs w:val="32"/>
        </w:rPr>
        <w:t>坚持和加强党的全面领导，坚持稳中求进工作总基调，以供给侧结构性改革为主线，统筹推进稳增长、促改革、调结构、惠民生、防风险等各项工作。</w:t>
      </w:r>
      <w:r>
        <w:rPr>
          <w:rFonts w:hint="eastAsia" w:ascii="方正仿宋_GBK" w:hAnsi="方正仿宋_GBK" w:eastAsia="方正仿宋_GBK" w:cs="方正仿宋_GBK"/>
          <w:color w:val="000000"/>
          <w:sz w:val="32"/>
          <w:szCs w:val="32"/>
        </w:rPr>
        <w:t>按照区委区政府决策部署，调整优化结构，牢固树立“过紧日子”的思想。</w:t>
      </w:r>
      <w:r>
        <w:rPr>
          <w:rFonts w:hint="eastAsia" w:ascii="方正仿宋_GBK" w:hAnsi="方正仿宋_GBK" w:eastAsia="方正仿宋_GBK" w:cs="方正仿宋_GBK"/>
          <w:sz w:val="32"/>
          <w:szCs w:val="32"/>
        </w:rPr>
        <w:t>按照“141”发展思路，以“</w:t>
      </w:r>
      <w:r>
        <w:rPr>
          <w:rFonts w:hint="eastAsia" w:ascii="方正仿宋_GBK" w:hAnsi="方正仿宋_GBK" w:eastAsia="方正仿宋_GBK" w:cs="方正仿宋_GBK"/>
          <w:sz w:val="32"/>
          <w:szCs w:val="32"/>
          <w:lang w:val="zh-TW"/>
        </w:rPr>
        <w:t>建设富足美丽幸福新古龙</w:t>
      </w:r>
      <w:r>
        <w:rPr>
          <w:rFonts w:hint="eastAsia" w:ascii="方正仿宋_GBK" w:hAnsi="方正仿宋_GBK" w:eastAsia="方正仿宋_GBK" w:cs="方正仿宋_GBK"/>
          <w:sz w:val="32"/>
          <w:szCs w:val="32"/>
        </w:rPr>
        <w:t>”为主要目标，</w:t>
      </w:r>
      <w:r>
        <w:rPr>
          <w:rFonts w:hint="eastAsia" w:ascii="方正仿宋_GBK" w:hAnsi="方正仿宋_GBK" w:eastAsia="方正仿宋_GBK" w:cs="方正仿宋_GBK"/>
          <w:sz w:val="32"/>
          <w:szCs w:val="32"/>
          <w:lang w:val="zh-TW"/>
        </w:rPr>
        <w:t>夯基础、壮产业、强攻坚、靓形象</w:t>
      </w:r>
      <w:r>
        <w:rPr>
          <w:rFonts w:hint="eastAsia" w:ascii="方正仿宋_GBK" w:hAnsi="方正仿宋_GBK" w:eastAsia="方正仿宋_GBK" w:cs="方正仿宋_GBK"/>
          <w:sz w:val="32"/>
          <w:szCs w:val="32"/>
        </w:rPr>
        <w:t>，努力实现“百顷生态花谷，万亩硒锶茶乡”愿景。</w:t>
      </w:r>
      <w:r>
        <w:rPr>
          <w:rFonts w:hint="eastAsia" w:ascii="方正仿宋_GBK" w:hAnsi="方正仿宋_GBK" w:eastAsia="方正仿宋_GBK" w:cs="方正仿宋_GBK"/>
          <w:color w:val="000000"/>
          <w:sz w:val="32"/>
          <w:szCs w:val="32"/>
        </w:rPr>
        <w:t>加快建立现代财政制度，深入实施预算绩效管理，强化政府债务管理，促进经济持续健康发展。</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rPr>
        <w:t>（一）2021年全镇财政收支预算</w:t>
      </w:r>
      <w:r>
        <w:rPr>
          <w:rFonts w:hint="eastAsia" w:ascii="方正楷体_GBK" w:hAnsi="方正楷体_GBK" w:eastAsia="方正楷体_GBK" w:cs="方正楷体_GBK"/>
          <w:color w:val="000000"/>
          <w:sz w:val="32"/>
          <w:szCs w:val="32"/>
          <w:lang w:eastAsia="zh-CN"/>
        </w:rPr>
        <w:t>（草案）</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我镇2021年财政收入安排2663万元。税收收入1万元(契税1万元)；上级补助收入2662万元。</w:t>
      </w:r>
    </w:p>
    <w:p>
      <w:pPr>
        <w:keepNext w:val="0"/>
        <w:keepLines w:val="0"/>
        <w:pageBreakBefore w:val="0"/>
        <w:kinsoku/>
        <w:wordWrap/>
        <w:overflowPunct/>
        <w:topLinePunct w:val="0"/>
        <w:autoSpaceDE/>
        <w:autoSpaceDN/>
        <w:bidi w:val="0"/>
        <w:adjustRightInd/>
        <w:snapToGrid/>
        <w:spacing w:beforeAutospacing="0" w:afterAutospacing="0" w:line="580" w:lineRule="exact"/>
        <w:ind w:left="319" w:leftChars="152" w:firstLine="320" w:firstLineChars="1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财政预算支出安排2662万元。</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（1）一般公共服务支出786万元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320" w:firstLineChars="1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（2）文化体育与传媒32万元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320" w:firstLineChars="1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（3）社会保障和就业支出182万元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320" w:firstLineChars="1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（4）医疗卫生与计划生育支出90万元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320" w:firstLineChars="1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（5）节能环保支出30万元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320" w:firstLineChars="1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（6）城乡社区事务支出512万元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320" w:firstLineChars="1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（7）农林水事务支出674万元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320" w:firstLineChars="1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（8）住房保障支出59万元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320" w:firstLineChars="1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（9）公共安全支出13万元</w:t>
      </w:r>
      <w:r>
        <w:rPr>
          <w:rFonts w:hint="eastAsia" w:ascii="方正仿宋_GBK" w:hAnsi="方正仿宋_GBK" w:eastAsia="方正仿宋_GBK" w:cs="方正仿宋_GBK"/>
          <w:color w:val="000000"/>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320" w:firstLineChars="1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（10）交通运输支出271万元</w:t>
      </w:r>
      <w:r>
        <w:rPr>
          <w:rFonts w:hint="eastAsia" w:ascii="方正仿宋_GBK" w:hAnsi="方正仿宋_GBK" w:eastAsia="方正仿宋_GBK" w:cs="方正仿宋_GBK"/>
          <w:color w:val="000000"/>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580" w:lineRule="exact"/>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sz w:val="32"/>
          <w:szCs w:val="32"/>
        </w:rPr>
        <w:t>（11）</w:t>
      </w:r>
      <w:r>
        <w:rPr>
          <w:rFonts w:hint="eastAsia" w:ascii="方正仿宋_GBK" w:hAnsi="方正仿宋_GBK" w:eastAsia="方正仿宋_GBK" w:cs="方正仿宋_GBK"/>
          <w:color w:val="000000"/>
          <w:kern w:val="0"/>
          <w:sz w:val="32"/>
          <w:szCs w:val="32"/>
        </w:rPr>
        <w:t>其他支出14万元。</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四、2021年财政工作重点</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2021年我们将按照镇党委和上级部门的统一部署，密切研究和对接财税体制改革政策，发展中蓄势图新，保持锐意进取、攻坚克难的精神，</w:t>
      </w:r>
      <w:r>
        <w:rPr>
          <w:rFonts w:hint="eastAsia" w:ascii="方正仿宋_GBK" w:hAnsi="方正仿宋_GBK" w:eastAsia="方正仿宋_GBK" w:cs="方正仿宋_GBK"/>
          <w:sz w:val="32"/>
          <w:szCs w:val="32"/>
        </w:rPr>
        <w:t>确保完成各项财政工作目标任务。</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bCs/>
          <w:sz w:val="32"/>
          <w:szCs w:val="32"/>
        </w:rPr>
        <w:t>加强税收征管，积极配合税务部门促增收</w:t>
      </w:r>
      <w:r>
        <w:rPr>
          <w:rFonts w:hint="eastAsia" w:ascii="方正楷体_GBK" w:hAnsi="方正楷体_GBK" w:eastAsia="方正楷体_GBK" w:cs="方正楷体_GBK"/>
          <w:bCs/>
          <w:sz w:val="32"/>
          <w:szCs w:val="32"/>
          <w:lang w:eastAsia="zh-CN"/>
        </w:rPr>
        <w:t>。</w:t>
      </w:r>
      <w:r>
        <w:rPr>
          <w:rFonts w:hint="eastAsia" w:ascii="方正仿宋_GBK" w:hAnsi="方正仿宋_GBK" w:eastAsia="方正仿宋_GBK" w:cs="方正仿宋_GBK"/>
          <w:sz w:val="32"/>
          <w:szCs w:val="32"/>
        </w:rPr>
        <w:t>一是始终把服务放在第一位，搞好基础设施建设，大力招商引资，开辟税源；二是积极配合税务部门，做好综合治税，</w:t>
      </w:r>
      <w:r>
        <w:rPr>
          <w:rFonts w:hint="eastAsia" w:ascii="方正仿宋_GBK" w:hAnsi="方正仿宋_GBK" w:eastAsia="方正仿宋_GBK" w:cs="方正仿宋_GBK"/>
          <w:color w:val="000000"/>
          <w:sz w:val="32"/>
          <w:szCs w:val="32"/>
        </w:rPr>
        <w:t>让应收的税款都解缴入库。</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Cs/>
          <w:sz w:val="32"/>
          <w:szCs w:val="32"/>
        </w:rPr>
        <w:t>（二）加强防范风险管理，确保财政运行平稳</w:t>
      </w:r>
      <w:r>
        <w:rPr>
          <w:rFonts w:hint="eastAsia" w:ascii="方正楷体_GBK" w:hAnsi="方正楷体_GBK" w:eastAsia="方正楷体_GBK" w:cs="方正楷体_GBK"/>
          <w:bCs/>
          <w:sz w:val="32"/>
          <w:szCs w:val="32"/>
          <w:lang w:eastAsia="zh-CN"/>
        </w:rPr>
        <w:t>。</w:t>
      </w:r>
      <w:r>
        <w:rPr>
          <w:rFonts w:hint="eastAsia" w:ascii="方正仿宋_GBK" w:hAnsi="方正仿宋_GBK" w:eastAsia="方正仿宋_GBK" w:cs="方正仿宋_GBK"/>
          <w:sz w:val="32"/>
          <w:szCs w:val="32"/>
        </w:rPr>
        <w:t>逐步建立行政事业单位内部控制制度，注重财政运行风险管控，确保</w:t>
      </w:r>
      <w:r>
        <w:rPr>
          <w:rFonts w:hint="eastAsia" w:ascii="方正仿宋_GBK" w:hAnsi="方正仿宋_GBK" w:eastAsia="方正仿宋_GBK" w:cs="方正仿宋_GBK"/>
          <w:color w:val="000000"/>
          <w:sz w:val="32"/>
          <w:szCs w:val="32"/>
        </w:rPr>
        <w:t>行政运行有序，民生保障有力，经济建设有度。一是</w:t>
      </w:r>
      <w:r>
        <w:rPr>
          <w:rFonts w:hint="eastAsia" w:ascii="方正仿宋_GBK" w:hAnsi="方正仿宋_GBK" w:eastAsia="方正仿宋_GBK" w:cs="方正仿宋_GBK"/>
          <w:sz w:val="32"/>
          <w:szCs w:val="32"/>
        </w:rPr>
        <w:t>强化预算约束，严格执</w:t>
      </w:r>
      <w:r>
        <w:rPr>
          <w:rFonts w:hint="eastAsia" w:ascii="方正仿宋_GBK" w:hAnsi="方正仿宋_GBK" w:eastAsia="方正仿宋_GBK" w:cs="方正仿宋_GBK"/>
          <w:color w:val="000000"/>
          <w:sz w:val="32"/>
          <w:szCs w:val="32"/>
        </w:rPr>
        <w:t>行财政收</w:t>
      </w:r>
      <w:r>
        <w:rPr>
          <w:rFonts w:hint="eastAsia" w:ascii="方正仿宋_GBK" w:hAnsi="方正仿宋_GBK" w:eastAsia="方正仿宋_GBK" w:cs="方正仿宋_GBK"/>
          <w:sz w:val="32"/>
          <w:szCs w:val="32"/>
        </w:rPr>
        <w:t>支预算，落实部门预算制度，</w:t>
      </w:r>
      <w:r>
        <w:rPr>
          <w:rFonts w:hint="eastAsia" w:ascii="方正仿宋_GBK" w:hAnsi="方正仿宋_GBK" w:eastAsia="方正仿宋_GBK" w:cs="方正仿宋_GBK"/>
          <w:kern w:val="0"/>
          <w:sz w:val="32"/>
          <w:szCs w:val="32"/>
        </w:rPr>
        <w:t>狠抓预算支出执行管理</w:t>
      </w:r>
      <w:r>
        <w:rPr>
          <w:rFonts w:hint="eastAsia" w:ascii="方正仿宋_GBK" w:hAnsi="方正仿宋_GBK" w:eastAsia="方正仿宋_GBK" w:cs="方正仿宋_GBK"/>
          <w:sz w:val="32"/>
          <w:szCs w:val="32"/>
        </w:rPr>
        <w:t>，增强各单位资金使用透明度。二是</w:t>
      </w:r>
      <w:r>
        <w:rPr>
          <w:rFonts w:hint="eastAsia" w:ascii="方正仿宋_GBK" w:hAnsi="方正仿宋_GBK" w:eastAsia="方正仿宋_GBK" w:cs="方正仿宋_GBK"/>
          <w:color w:val="000000"/>
          <w:sz w:val="32"/>
          <w:szCs w:val="32"/>
        </w:rPr>
        <w:t>严肃财经纪律，</w:t>
      </w:r>
      <w:r>
        <w:rPr>
          <w:rFonts w:hint="eastAsia" w:ascii="方正仿宋_GBK" w:hAnsi="方正仿宋_GBK" w:eastAsia="方正仿宋_GBK" w:cs="方正仿宋_GBK"/>
          <w:sz w:val="32"/>
          <w:szCs w:val="32"/>
        </w:rPr>
        <w:t>加强财务管理，从制度上</w:t>
      </w:r>
      <w:r>
        <w:rPr>
          <w:rFonts w:hint="eastAsia" w:ascii="方正仿宋_GBK" w:hAnsi="方正仿宋_GBK" w:eastAsia="方正仿宋_GBK" w:cs="方正仿宋_GBK"/>
          <w:color w:val="000000"/>
          <w:kern w:val="0"/>
          <w:sz w:val="32"/>
          <w:szCs w:val="32"/>
        </w:rPr>
        <w:t>规范</w:t>
      </w:r>
      <w:r>
        <w:rPr>
          <w:rFonts w:hint="eastAsia" w:ascii="方正仿宋_GBK" w:hAnsi="方正仿宋_GBK" w:eastAsia="方正仿宋_GBK" w:cs="方正仿宋_GBK"/>
          <w:sz w:val="32"/>
          <w:szCs w:val="32"/>
        </w:rPr>
        <w:t>各项支出行为。</w:t>
      </w:r>
      <w:r>
        <w:rPr>
          <w:rFonts w:hint="eastAsia" w:ascii="方正仿宋_GBK" w:hAnsi="方正仿宋_GBK" w:eastAsia="方正仿宋_GBK" w:cs="方正仿宋_GBK"/>
          <w:color w:val="000000"/>
          <w:sz w:val="32"/>
          <w:szCs w:val="32"/>
        </w:rPr>
        <w:t>三是继续抓好</w:t>
      </w:r>
      <w:r>
        <w:rPr>
          <w:rFonts w:hint="eastAsia" w:ascii="方正仿宋_GBK" w:hAnsi="方正仿宋_GBK" w:eastAsia="方正仿宋_GBK" w:cs="方正仿宋_GBK"/>
          <w:color w:val="000000"/>
          <w:spacing w:val="8"/>
          <w:kern w:val="0"/>
          <w:sz w:val="32"/>
          <w:szCs w:val="32"/>
        </w:rPr>
        <w:t>国库集中支付、</w:t>
      </w:r>
      <w:r>
        <w:rPr>
          <w:rFonts w:hint="eastAsia" w:ascii="方正仿宋_GBK" w:hAnsi="方正仿宋_GBK" w:eastAsia="方正仿宋_GBK" w:cs="方正仿宋_GBK"/>
          <w:color w:val="000000"/>
          <w:kern w:val="0"/>
          <w:sz w:val="32"/>
          <w:szCs w:val="32"/>
        </w:rPr>
        <w:t>公务卡改革、政府投资评审及项目绩效评价</w:t>
      </w:r>
      <w:r>
        <w:rPr>
          <w:rFonts w:hint="eastAsia" w:ascii="方正仿宋_GBK" w:hAnsi="方正仿宋_GBK" w:eastAsia="方正仿宋_GBK" w:cs="方正仿宋_GBK"/>
          <w:color w:val="000000"/>
          <w:spacing w:val="8"/>
          <w:kern w:val="0"/>
          <w:sz w:val="32"/>
          <w:szCs w:val="32"/>
        </w:rPr>
        <w:t>工作，加强财政资金动态监控，确保资金安全高效。</w:t>
      </w:r>
      <w:r>
        <w:rPr>
          <w:rFonts w:hint="eastAsia" w:ascii="方正仿宋_GBK" w:hAnsi="方正仿宋_GBK" w:eastAsia="方正仿宋_GBK" w:cs="方正仿宋_GBK"/>
          <w:color w:val="000000"/>
          <w:spacing w:val="8"/>
          <w:sz w:val="32"/>
          <w:szCs w:val="32"/>
        </w:rPr>
        <w:t>四是</w:t>
      </w:r>
      <w:r>
        <w:rPr>
          <w:rFonts w:hint="eastAsia" w:ascii="方正仿宋_GBK" w:hAnsi="方正仿宋_GBK" w:eastAsia="方正仿宋_GBK" w:cs="方正仿宋_GBK"/>
          <w:color w:val="000000"/>
          <w:sz w:val="32"/>
          <w:szCs w:val="32"/>
        </w:rPr>
        <w:t>抓好“村财民理镇代管”工作，坚持村务公开、民主理财，切实加</w:t>
      </w:r>
      <w:r>
        <w:rPr>
          <w:rFonts w:hint="eastAsia" w:ascii="方正仿宋_GBK" w:hAnsi="方正仿宋_GBK" w:eastAsia="方正仿宋_GBK" w:cs="方正仿宋_GBK"/>
          <w:color w:val="000000"/>
          <w:spacing w:val="8"/>
          <w:sz w:val="32"/>
          <w:szCs w:val="32"/>
        </w:rPr>
        <w:t>强</w:t>
      </w:r>
      <w:r>
        <w:rPr>
          <w:rFonts w:hint="eastAsia" w:ascii="方正仿宋_GBK" w:hAnsi="方正仿宋_GBK" w:eastAsia="方正仿宋_GBK" w:cs="方正仿宋_GBK"/>
          <w:color w:val="000000"/>
          <w:sz w:val="32"/>
          <w:szCs w:val="32"/>
        </w:rPr>
        <w:t>村级资金管理。</w:t>
      </w:r>
      <w:r>
        <w:rPr>
          <w:rFonts w:hint="eastAsia" w:ascii="方正仿宋_GBK" w:hAnsi="方正仿宋_GBK" w:eastAsia="方正仿宋_GBK" w:cs="方正仿宋_GBK"/>
          <w:sz w:val="32"/>
          <w:szCs w:val="32"/>
        </w:rPr>
        <w:t>五是</w:t>
      </w:r>
      <w:r>
        <w:rPr>
          <w:rFonts w:hint="eastAsia" w:ascii="方正仿宋_GBK" w:hAnsi="方正仿宋_GBK" w:eastAsia="方正仿宋_GBK" w:cs="方正仿宋_GBK"/>
          <w:kern w:val="0"/>
          <w:sz w:val="32"/>
          <w:szCs w:val="32"/>
        </w:rPr>
        <w:t>强化政府性债务管理，严格控制政府新增债务，切实防范财政运行风险。</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（三）加强</w:t>
      </w:r>
      <w:r>
        <w:rPr>
          <w:rFonts w:hint="eastAsia" w:ascii="方正楷体_GBK" w:hAnsi="方正楷体_GBK" w:eastAsia="方正楷体_GBK" w:cs="方正楷体_GBK"/>
          <w:sz w:val="32"/>
          <w:szCs w:val="32"/>
        </w:rPr>
        <w:t>绩效评价管理，提高财政资源配置效率和使用效益</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构建“预算编制有目标、预算执行有跟踪、预算完成有评价、评价结果有反馈、反馈结果有应用”的全过程预算绩效管理链条，促使各预算单位强化主体责任意识，提高责任感和紧迫感。重点抓好项目支出预算绩效目标编制评审，开展以预算单位自评、财政专项评价和第三方机构评价相结合的绩效评价，建立绩效评价结果反馈制度和绩效问题整改责任制，清晰界定权责边界，落实“谁用钱谁负责”的要求，实现绩效评价结果与预算安排、政策调整和监督问责挂钩，调动部门的积极性、主动性。</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000000"/>
          <w:sz w:val="32"/>
          <w:szCs w:val="32"/>
        </w:rPr>
        <w:t>（四）加强制度建设，深化财政改革。</w:t>
      </w:r>
      <w:r>
        <w:rPr>
          <w:rFonts w:hint="eastAsia" w:ascii="方正仿宋_GBK" w:hAnsi="方正仿宋_GBK" w:eastAsia="方正仿宋_GBK" w:cs="方正仿宋_GBK"/>
          <w:sz w:val="32"/>
          <w:szCs w:val="32"/>
        </w:rPr>
        <w:t>认真学习《预算法》、《会计法》、《政府会计制度》《重庆市预算审查监督条例》和大足人大发【2020】31号关于印发《重庆市大足区人大常委会关于镇人大预算审查监督工作的指导意见》的通知等相关法律法规及指导意见。扎实</w:t>
      </w:r>
      <w:r>
        <w:rPr>
          <w:rFonts w:hint="eastAsia" w:ascii="方正仿宋_GBK" w:hAnsi="方正仿宋_GBK" w:eastAsia="方正仿宋_GBK" w:cs="方正仿宋_GBK"/>
          <w:sz w:val="32"/>
          <w:szCs w:val="32"/>
          <w:lang w:eastAsia="zh-CN"/>
        </w:rPr>
        <w:t>贯彻落实中央八项规定</w:t>
      </w:r>
      <w:r>
        <w:rPr>
          <w:rFonts w:hint="eastAsia" w:ascii="方正仿宋_GBK" w:hAnsi="方正仿宋_GBK" w:eastAsia="方正仿宋_GBK" w:cs="方正仿宋_GBK"/>
          <w:sz w:val="32"/>
          <w:szCs w:val="32"/>
        </w:rPr>
        <w:t>、市“八严禁”和“十二不准”、区“十严禁”和“二十个提醒事项”规定，始终做到依法履职，依法理财，</w:t>
      </w:r>
      <w:r>
        <w:rPr>
          <w:rFonts w:hint="eastAsia" w:ascii="方正仿宋_GBK" w:hAnsi="方正仿宋_GBK" w:eastAsia="方正仿宋_GBK" w:cs="方正仿宋_GBK"/>
          <w:color w:val="000000"/>
          <w:sz w:val="32"/>
          <w:szCs w:val="32"/>
        </w:rPr>
        <w:t>打造一支“善于理财、勤政为民、务实高效、清廉守纪”的高素质财政干部队伍。</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480" w:firstLineChars="15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各位代表、同志们，2021年的财政工作任务十分艰巨。我们将在镇党委的坚强领导下，在镇人大的监督下，</w:t>
      </w:r>
      <w:r>
        <w:rPr>
          <w:rFonts w:hint="eastAsia" w:ascii="方正仿宋_GBK" w:hAnsi="方正仿宋_GBK" w:eastAsia="方正仿宋_GBK" w:cs="方正仿宋_GBK"/>
          <w:sz w:val="32"/>
          <w:szCs w:val="32"/>
        </w:rPr>
        <w:t>不忘初心、牢记使命，</w:t>
      </w:r>
      <w:r>
        <w:rPr>
          <w:rFonts w:hint="eastAsia" w:ascii="方正仿宋_GBK" w:hAnsi="方正仿宋_GBK" w:eastAsia="方正仿宋_GBK" w:cs="方正仿宋_GBK"/>
          <w:color w:val="333333"/>
          <w:sz w:val="32"/>
          <w:szCs w:val="32"/>
          <w:shd w:val="clear" w:color="auto" w:fill="FFFFFF"/>
        </w:rPr>
        <w:t>锐意进取，埋头苦干，</w:t>
      </w:r>
      <w:r>
        <w:rPr>
          <w:rFonts w:hint="eastAsia" w:ascii="方正仿宋_GBK" w:hAnsi="方正仿宋_GBK" w:eastAsia="方正仿宋_GBK" w:cs="方正仿宋_GBK"/>
          <w:sz w:val="32"/>
          <w:szCs w:val="32"/>
        </w:rPr>
        <w:t>以永不懈怠的精神状态和一往无前的奋斗姿态，为加快建设美丽幸福古龙</w:t>
      </w:r>
      <w:r>
        <w:rPr>
          <w:rFonts w:hint="eastAsia" w:ascii="方正仿宋_GBK" w:hAnsi="方正仿宋_GBK" w:eastAsia="方正仿宋_GBK" w:cs="方正仿宋_GBK"/>
          <w:color w:val="000000"/>
          <w:sz w:val="32"/>
          <w:szCs w:val="32"/>
        </w:rPr>
        <w:t>而努力奋斗！</w:t>
      </w:r>
    </w:p>
    <w:p>
      <w:pPr>
        <w:pStyle w:val="2"/>
        <w:rPr>
          <w:rFonts w:hint="eastAsia" w:ascii="方正仿宋_GBK" w:hAnsi="方正仿宋_GBK" w:eastAsia="方正仿宋_GBK" w:cs="方正仿宋_GBK"/>
          <w:color w:val="000000"/>
          <w:sz w:val="32"/>
          <w:szCs w:val="32"/>
        </w:rPr>
      </w:pPr>
    </w:p>
    <w:p>
      <w:pPr>
        <w:rPr>
          <w:rFonts w:hint="eastAsia" w:ascii="方正仿宋_GBK" w:hAnsi="方正仿宋_GBK" w:eastAsia="方正仿宋_GBK" w:cs="方正仿宋_GBK"/>
          <w:color w:val="000000"/>
          <w:sz w:val="32"/>
          <w:szCs w:val="32"/>
        </w:rPr>
      </w:pPr>
    </w:p>
    <w:p>
      <w:pPr>
        <w:pStyle w:val="2"/>
        <w:rPr>
          <w:rFonts w:hint="eastAsia"/>
        </w:rPr>
      </w:pPr>
    </w:p>
    <w:p>
      <w:pPr>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方正仿宋_GBK" w:hAnsi="方正仿宋_GBK" w:eastAsia="方正仿宋_GBK" w:cs="方正仿宋_GBK"/>
          <w:color w:val="000000"/>
          <w:sz w:val="32"/>
          <w:szCs w:val="32"/>
        </w:rPr>
      </w:pPr>
    </w:p>
    <w:p>
      <w:pPr>
        <w:pStyle w:val="2"/>
        <w:rPr>
          <w:rFonts w:hint="eastAsia"/>
        </w:rPr>
      </w:pPr>
    </w:p>
    <w:tbl>
      <w:tblPr>
        <w:tblStyle w:val="7"/>
        <w:tblW w:w="9930" w:type="dxa"/>
        <w:jc w:val="center"/>
        <w:shd w:val="clear" w:color="auto" w:fill="auto"/>
        <w:tblLayout w:type="autofit"/>
        <w:tblCellMar>
          <w:top w:w="0" w:type="dxa"/>
          <w:left w:w="0" w:type="dxa"/>
          <w:bottom w:w="0" w:type="dxa"/>
          <w:right w:w="0" w:type="dxa"/>
        </w:tblCellMar>
      </w:tblPr>
      <w:tblGrid>
        <w:gridCol w:w="3713"/>
        <w:gridCol w:w="1297"/>
        <w:gridCol w:w="3060"/>
        <w:gridCol w:w="1860"/>
      </w:tblGrid>
      <w:tr>
        <w:tblPrEx>
          <w:shd w:val="clear" w:color="auto" w:fill="auto"/>
          <w:tblCellMar>
            <w:top w:w="0" w:type="dxa"/>
            <w:left w:w="0" w:type="dxa"/>
            <w:bottom w:w="0" w:type="dxa"/>
            <w:right w:w="0" w:type="dxa"/>
          </w:tblCellMar>
        </w:tblPrEx>
        <w:trPr>
          <w:trHeight w:val="658" w:hRule="exact"/>
          <w:jc w:val="center"/>
        </w:trPr>
        <w:tc>
          <w:tcPr>
            <w:tcW w:w="993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32"/>
                <w:szCs w:val="32"/>
                <w:u w:val="none"/>
                <w:lang w:val="en-US" w:eastAsia="zh-CN" w:bidi="ar"/>
              </w:rPr>
              <w:t>2020年街镇财力计算表</w:t>
            </w:r>
          </w:p>
        </w:tc>
      </w:tr>
      <w:tr>
        <w:tblPrEx>
          <w:shd w:val="clear" w:color="auto" w:fill="auto"/>
          <w:tblCellMar>
            <w:top w:w="0" w:type="dxa"/>
            <w:left w:w="0" w:type="dxa"/>
            <w:bottom w:w="0" w:type="dxa"/>
            <w:right w:w="0" w:type="dxa"/>
          </w:tblCellMar>
        </w:tblPrEx>
        <w:trPr>
          <w:trHeight w:val="425" w:hRule="exact"/>
          <w:jc w:val="center"/>
        </w:trPr>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单位：元</w:t>
            </w:r>
          </w:p>
        </w:tc>
      </w:tr>
      <w:tr>
        <w:tblPrEx>
          <w:tblCellMar>
            <w:top w:w="0" w:type="dxa"/>
            <w:left w:w="0" w:type="dxa"/>
            <w:bottom w:w="0" w:type="dxa"/>
            <w:right w:w="0" w:type="dxa"/>
          </w:tblCellMar>
        </w:tblPrEx>
        <w:trPr>
          <w:trHeight w:val="425" w:hRule="exact"/>
          <w:jc w:val="center"/>
        </w:trPr>
        <w:tc>
          <w:tcPr>
            <w:tcW w:w="3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Style w:val="12"/>
                <w:lang w:val="en-US" w:eastAsia="zh-CN" w:bidi="ar"/>
              </w:rPr>
              <w:t>预</w:t>
            </w:r>
            <w:r>
              <w:rPr>
                <w:rStyle w:val="13"/>
                <w:rFonts w:eastAsia="宋体"/>
                <w:lang w:val="en-US" w:eastAsia="zh-CN" w:bidi="ar"/>
              </w:rPr>
              <w:t xml:space="preserve">     </w:t>
            </w:r>
            <w:r>
              <w:rPr>
                <w:rStyle w:val="12"/>
                <w:lang w:val="en-US" w:eastAsia="zh-CN" w:bidi="ar"/>
              </w:rPr>
              <w:t xml:space="preserve">算  </w:t>
            </w:r>
            <w:r>
              <w:rPr>
                <w:rStyle w:val="13"/>
                <w:rFonts w:eastAsia="宋体"/>
                <w:lang w:val="en-US" w:eastAsia="zh-CN" w:bidi="ar"/>
              </w:rPr>
              <w:t xml:space="preserve"> </w:t>
            </w:r>
            <w:r>
              <w:rPr>
                <w:rStyle w:val="12"/>
                <w:lang w:val="en-US" w:eastAsia="zh-CN" w:bidi="ar"/>
              </w:rPr>
              <w:t>科</w:t>
            </w:r>
            <w:r>
              <w:rPr>
                <w:rStyle w:val="13"/>
                <w:rFonts w:eastAsia="宋体"/>
                <w:lang w:val="en-US" w:eastAsia="zh-CN" w:bidi="ar"/>
              </w:rPr>
              <w:t xml:space="preserve"> </w:t>
            </w:r>
            <w:r>
              <w:rPr>
                <w:rStyle w:val="12"/>
                <w:lang w:val="en-US" w:eastAsia="zh-CN" w:bidi="ar"/>
              </w:rPr>
              <w:t xml:space="preserve"> </w:t>
            </w:r>
            <w:r>
              <w:rPr>
                <w:rStyle w:val="13"/>
                <w:rFonts w:eastAsia="宋体"/>
                <w:lang w:val="en-US" w:eastAsia="zh-CN" w:bidi="ar"/>
              </w:rPr>
              <w:t xml:space="preserve">  </w:t>
            </w:r>
            <w:r>
              <w:rPr>
                <w:rStyle w:val="12"/>
                <w:lang w:val="en-US" w:eastAsia="zh-CN" w:bidi="ar"/>
              </w:rPr>
              <w:t>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古龙</w:t>
            </w:r>
          </w:p>
        </w:tc>
        <w:tc>
          <w:tcPr>
            <w:tcW w:w="29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Style w:val="12"/>
                <w:lang w:val="en-US" w:eastAsia="zh-CN" w:bidi="ar"/>
              </w:rPr>
              <w:t>预</w:t>
            </w:r>
            <w:r>
              <w:rPr>
                <w:rStyle w:val="13"/>
                <w:rFonts w:eastAsia="宋体"/>
                <w:lang w:val="en-US" w:eastAsia="zh-CN" w:bidi="ar"/>
              </w:rPr>
              <w:t xml:space="preserve">     </w:t>
            </w:r>
            <w:r>
              <w:rPr>
                <w:rStyle w:val="12"/>
                <w:lang w:val="en-US" w:eastAsia="zh-CN" w:bidi="ar"/>
              </w:rPr>
              <w:t xml:space="preserve">算  </w:t>
            </w:r>
            <w:r>
              <w:rPr>
                <w:rStyle w:val="13"/>
                <w:rFonts w:eastAsia="宋体"/>
                <w:lang w:val="en-US" w:eastAsia="zh-CN" w:bidi="ar"/>
              </w:rPr>
              <w:t xml:space="preserve"> </w:t>
            </w:r>
            <w:r>
              <w:rPr>
                <w:rStyle w:val="12"/>
                <w:lang w:val="en-US" w:eastAsia="zh-CN" w:bidi="ar"/>
              </w:rPr>
              <w:t>科</w:t>
            </w:r>
            <w:r>
              <w:rPr>
                <w:rStyle w:val="13"/>
                <w:rFonts w:eastAsia="宋体"/>
                <w:lang w:val="en-US" w:eastAsia="zh-CN" w:bidi="ar"/>
              </w:rPr>
              <w:t xml:space="preserve"> </w:t>
            </w:r>
            <w:r>
              <w:rPr>
                <w:rStyle w:val="12"/>
                <w:lang w:val="en-US" w:eastAsia="zh-CN" w:bidi="ar"/>
              </w:rPr>
              <w:t xml:space="preserve"> </w:t>
            </w:r>
            <w:r>
              <w:rPr>
                <w:rStyle w:val="13"/>
                <w:rFonts w:eastAsia="宋体"/>
                <w:lang w:val="en-US" w:eastAsia="zh-CN" w:bidi="ar"/>
              </w:rPr>
              <w:t xml:space="preserve">  </w:t>
            </w:r>
            <w:r>
              <w:rPr>
                <w:rStyle w:val="12"/>
                <w:lang w:val="en-US" w:eastAsia="zh-CN" w:bidi="ar"/>
              </w:rPr>
              <w:t>目</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古龙</w:t>
            </w: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Style w:val="12"/>
                <w:lang w:val="en-US" w:eastAsia="zh-CN" w:bidi="ar"/>
              </w:rPr>
              <w:t>公共财政预算收入合计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5083</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Style w:val="12"/>
                <w:lang w:val="en-US" w:eastAsia="zh-CN" w:bidi="ar"/>
              </w:rPr>
              <w:t>公共财政预算支出合计</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一、税收收入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5083</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一、本年公共财政预算支出</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营业税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1</w:t>
            </w:r>
            <w:r>
              <w:rPr>
                <w:rStyle w:val="15"/>
                <w:lang w:val="en-US" w:eastAsia="zh-CN" w:bidi="ar"/>
              </w:rPr>
              <w:t>、一般公共服务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企业所得税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2</w:t>
            </w:r>
            <w:r>
              <w:rPr>
                <w:rStyle w:val="15"/>
                <w:lang w:val="en-US" w:eastAsia="zh-CN" w:bidi="ar"/>
              </w:rPr>
              <w:t>、外交</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企业所得税退税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3</w:t>
            </w:r>
            <w:r>
              <w:rPr>
                <w:rStyle w:val="15"/>
                <w:lang w:val="en-US" w:eastAsia="zh-CN" w:bidi="ar"/>
              </w:rPr>
              <w:t>、国防</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个人所得税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4</w:t>
            </w:r>
            <w:r>
              <w:rPr>
                <w:rStyle w:val="15"/>
                <w:lang w:val="en-US" w:eastAsia="zh-CN" w:bidi="ar"/>
              </w:rPr>
              <w:t>、公共安全</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资源税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5</w:t>
            </w:r>
            <w:r>
              <w:rPr>
                <w:rStyle w:val="15"/>
                <w:lang w:val="en-US" w:eastAsia="zh-CN" w:bidi="ar"/>
              </w:rPr>
              <w:t>、教育</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固定资产投资方向调节税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6</w:t>
            </w:r>
            <w:r>
              <w:rPr>
                <w:rStyle w:val="15"/>
                <w:lang w:val="en-US" w:eastAsia="zh-CN" w:bidi="ar"/>
              </w:rPr>
              <w:t>、科学技术</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城市维护建设税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7</w:t>
            </w:r>
            <w:r>
              <w:rPr>
                <w:rStyle w:val="15"/>
                <w:lang w:val="en-US" w:eastAsia="zh-CN" w:bidi="ar"/>
              </w:rPr>
              <w:t>、文化体育与传媒</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房产税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8</w:t>
            </w:r>
            <w:r>
              <w:rPr>
                <w:rStyle w:val="15"/>
                <w:lang w:val="en-US" w:eastAsia="zh-CN" w:bidi="ar"/>
              </w:rPr>
              <w:t>、社会保障和就业</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印花税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9</w:t>
            </w:r>
            <w:r>
              <w:rPr>
                <w:rStyle w:val="15"/>
                <w:lang w:val="en-US" w:eastAsia="zh-CN" w:bidi="ar"/>
              </w:rPr>
              <w:t>、医疗卫生</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城镇土地使用税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10</w:t>
            </w:r>
            <w:r>
              <w:rPr>
                <w:rStyle w:val="15"/>
                <w:lang w:val="en-US" w:eastAsia="zh-CN" w:bidi="ar"/>
              </w:rPr>
              <w:t>、环境保护</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土地增值税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11</w:t>
            </w:r>
            <w:r>
              <w:rPr>
                <w:rStyle w:val="15"/>
                <w:lang w:val="en-US" w:eastAsia="zh-CN" w:bidi="ar"/>
              </w:rPr>
              <w:t>、城乡社区事务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车船税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12</w:t>
            </w:r>
            <w:r>
              <w:rPr>
                <w:rStyle w:val="15"/>
                <w:lang w:val="en-US" w:eastAsia="zh-CN" w:bidi="ar"/>
              </w:rPr>
              <w:t>、农林水事务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耕地占用税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13</w:t>
            </w:r>
            <w:r>
              <w:rPr>
                <w:rStyle w:val="15"/>
                <w:lang w:val="en-US" w:eastAsia="zh-CN" w:bidi="ar"/>
              </w:rPr>
              <w:t>、交通运输</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契税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5083</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14</w:t>
            </w:r>
            <w:r>
              <w:rPr>
                <w:rStyle w:val="15"/>
                <w:lang w:val="en-US" w:eastAsia="zh-CN" w:bidi="ar"/>
              </w:rPr>
              <w:t>、工业商业金融等事务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烟叶税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15</w:t>
            </w:r>
            <w:r>
              <w:rPr>
                <w:rStyle w:val="15"/>
                <w:lang w:val="en-US" w:eastAsia="zh-CN" w:bidi="ar"/>
              </w:rPr>
              <w:t>、其他支出</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其他税收收入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其中：预备费</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二、非税收入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二、财力性转移支付</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专项收入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体制上解支出</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行政事业性收费收入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出口退税专项上解支出</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罚没收入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三、专项转移支付</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国有资本经营收入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专项上解支出</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国有资源（资产）有偿使用收入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专项上解支出</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四、调出资金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    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21012589.8</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五、年终结余                         </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返还性收入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其中:乡镇本级</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增值税和消费税税收返还收入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Style w:val="12"/>
                <w:lang w:val="en-US" w:eastAsia="zh-CN" w:bidi="ar"/>
              </w:rPr>
              <w:t>基</w:t>
            </w:r>
            <w:r>
              <w:rPr>
                <w:rStyle w:val="13"/>
                <w:rFonts w:eastAsia="宋体"/>
                <w:lang w:val="en-US" w:eastAsia="zh-CN" w:bidi="ar"/>
              </w:rPr>
              <w:t xml:space="preserve"> </w:t>
            </w:r>
            <w:r>
              <w:rPr>
                <w:rStyle w:val="12"/>
                <w:lang w:val="en-US" w:eastAsia="zh-CN" w:bidi="ar"/>
              </w:rPr>
              <w:t>金</w:t>
            </w:r>
            <w:r>
              <w:rPr>
                <w:rStyle w:val="13"/>
                <w:rFonts w:eastAsia="宋体"/>
                <w:lang w:val="en-US" w:eastAsia="zh-CN" w:bidi="ar"/>
              </w:rPr>
              <w:t xml:space="preserve"> </w:t>
            </w:r>
            <w:r>
              <w:rPr>
                <w:rStyle w:val="12"/>
                <w:lang w:val="en-US" w:eastAsia="zh-CN" w:bidi="ar"/>
              </w:rPr>
              <w:t>收</w:t>
            </w:r>
            <w:r>
              <w:rPr>
                <w:rStyle w:val="13"/>
                <w:rFonts w:eastAsia="宋体"/>
                <w:lang w:val="en-US" w:eastAsia="zh-CN" w:bidi="ar"/>
              </w:rPr>
              <w:t xml:space="preserve"> </w:t>
            </w:r>
            <w:r>
              <w:rPr>
                <w:rStyle w:val="12"/>
                <w:lang w:val="en-US" w:eastAsia="zh-CN" w:bidi="ar"/>
              </w:rPr>
              <w:t>入</w:t>
            </w:r>
            <w:r>
              <w:rPr>
                <w:rStyle w:val="13"/>
                <w:rFonts w:eastAsia="宋体"/>
                <w:lang w:val="en-US" w:eastAsia="zh-CN" w:bidi="ar"/>
              </w:rPr>
              <w:t xml:space="preserve"> </w:t>
            </w:r>
            <w:r>
              <w:rPr>
                <w:rStyle w:val="12"/>
                <w:lang w:val="en-US" w:eastAsia="zh-CN" w:bidi="ar"/>
              </w:rPr>
              <w:t>合</w:t>
            </w:r>
            <w:r>
              <w:rPr>
                <w:rStyle w:val="13"/>
                <w:rFonts w:eastAsia="宋体"/>
                <w:lang w:val="en-US" w:eastAsia="zh-CN" w:bidi="ar"/>
              </w:rPr>
              <w:t xml:space="preserve"> </w:t>
            </w:r>
            <w:r>
              <w:rPr>
                <w:rStyle w:val="12"/>
                <w:lang w:val="en-US" w:eastAsia="zh-CN" w:bidi="ar"/>
              </w:rPr>
              <w:t>计</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4103703.00 </w:t>
            </w: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所得税基数返还收入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政府性基金收入</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财力性转移支付收入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12312313.8</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4103703.00 </w:t>
            </w: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体制补助收入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4924925.52</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上年结余</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均衡性转移支付收入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7387388.28</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Style w:val="12"/>
                <w:lang w:val="en-US" w:eastAsia="zh-CN" w:bidi="ar"/>
              </w:rPr>
              <w:t>基</w:t>
            </w:r>
            <w:r>
              <w:rPr>
                <w:rStyle w:val="13"/>
                <w:rFonts w:eastAsia="宋体"/>
                <w:lang w:val="en-US" w:eastAsia="zh-CN" w:bidi="ar"/>
              </w:rPr>
              <w:t xml:space="preserve"> </w:t>
            </w:r>
            <w:r>
              <w:rPr>
                <w:rStyle w:val="12"/>
                <w:lang w:val="en-US" w:eastAsia="zh-CN" w:bidi="ar"/>
              </w:rPr>
              <w:t>金</w:t>
            </w:r>
            <w:r>
              <w:rPr>
                <w:rStyle w:val="13"/>
                <w:rFonts w:eastAsia="宋体"/>
                <w:lang w:val="en-US" w:eastAsia="zh-CN" w:bidi="ar"/>
              </w:rPr>
              <w:t xml:space="preserve"> </w:t>
            </w:r>
            <w:r>
              <w:rPr>
                <w:rStyle w:val="12"/>
                <w:lang w:val="en-US" w:eastAsia="zh-CN" w:bidi="ar"/>
              </w:rPr>
              <w:t>支</w:t>
            </w:r>
            <w:r>
              <w:rPr>
                <w:rStyle w:val="13"/>
                <w:rFonts w:eastAsia="宋体"/>
                <w:lang w:val="en-US" w:eastAsia="zh-CN" w:bidi="ar"/>
              </w:rPr>
              <w:t xml:space="preserve"> </w:t>
            </w:r>
            <w:r>
              <w:rPr>
                <w:rStyle w:val="12"/>
                <w:lang w:val="en-US" w:eastAsia="zh-CN" w:bidi="ar"/>
              </w:rPr>
              <w:t>出</w:t>
            </w:r>
            <w:r>
              <w:rPr>
                <w:rStyle w:val="13"/>
                <w:rFonts w:eastAsia="宋体"/>
                <w:lang w:val="en-US" w:eastAsia="zh-CN" w:bidi="ar"/>
              </w:rPr>
              <w:t xml:space="preserve"> </w:t>
            </w:r>
            <w:r>
              <w:rPr>
                <w:rStyle w:val="12"/>
                <w:lang w:val="en-US" w:eastAsia="zh-CN" w:bidi="ar"/>
              </w:rPr>
              <w:t>合</w:t>
            </w:r>
            <w:r>
              <w:rPr>
                <w:rStyle w:val="13"/>
                <w:rFonts w:eastAsia="宋体"/>
                <w:lang w:val="en-US" w:eastAsia="zh-CN" w:bidi="ar"/>
              </w:rPr>
              <w:t xml:space="preserve"> </w:t>
            </w:r>
            <w:r>
              <w:rPr>
                <w:rStyle w:val="12"/>
                <w:lang w:val="en-US" w:eastAsia="zh-CN" w:bidi="ar"/>
              </w:rPr>
              <w:t>计</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定向转移支付补助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一般公共服务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民族地区转移支付补助收入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调整工资转移支付补助收入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文化体育与传媒</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农村义务教育补助收入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 xml:space="preserve">     </w:t>
            </w:r>
            <w:r>
              <w:rPr>
                <w:rStyle w:val="15"/>
                <w:lang w:val="en-US" w:eastAsia="zh-CN" w:bidi="ar"/>
              </w:rPr>
              <w:t>取消农业税转移支付补助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城乡社区事务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农村税费改革补助收入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农林水事务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缓解县乡困难转移支付补助收入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交通运输</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结算补助收入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工业商业金融等事务</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企事业单位预算划转补助收入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其他财力性转移支付收入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上解上级支出</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专项转移支付收入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8700276</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调出资金</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专项补助收入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8700276</w:t>
            </w:r>
          </w:p>
        </w:tc>
        <w:tc>
          <w:tcPr>
            <w:tcW w:w="290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年终结余</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增发国债补助收入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乡镇公共预算财力</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19727943.80 </w:t>
            </w: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省补助计划单列市收入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乡镇总财力</w:t>
            </w: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25121375.80 </w:t>
            </w: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国债转贷收入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国债转贷资金上年结余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国债转贷转补助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1289729</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调入资金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 1.政府性基金调入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2.预算外调入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425" w:hRule="exac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3.其他调入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eastAsia" w:ascii="方正仿宋_GBK" w:hAnsi="方正仿宋_GBK" w:eastAsia="方正仿宋_GBK" w:cs="方正仿宋_GBK"/>
          <w:color w:val="000000"/>
          <w:sz w:val="32"/>
          <w:szCs w:val="32"/>
        </w:rPr>
      </w:pPr>
    </w:p>
    <w:p>
      <w:pPr>
        <w:pStyle w:val="2"/>
        <w:rPr>
          <w:rFonts w:hint="eastAsia" w:ascii="方正仿宋_GBK" w:hAnsi="方正仿宋_GBK" w:eastAsia="方正仿宋_GBK" w:cs="方正仿宋_GBK"/>
          <w:color w:val="000000"/>
          <w:sz w:val="32"/>
          <w:szCs w:val="32"/>
        </w:rPr>
      </w:pPr>
    </w:p>
    <w:p>
      <w:pPr>
        <w:jc w:val="left"/>
        <w:rPr>
          <w:rFonts w:hint="eastAsia" w:ascii="宋体" w:hAnsi="宋体" w:eastAsia="宋体" w:cs="宋体"/>
          <w:i w:val="0"/>
          <w:color w:val="000000"/>
          <w:sz w:val="18"/>
          <w:szCs w:val="18"/>
          <w:u w:val="none"/>
        </w:rPr>
        <w:sectPr>
          <w:headerReference r:id="rId3" w:type="default"/>
          <w:footerReference r:id="rId4" w:type="default"/>
          <w:footerReference r:id="rId5" w:type="even"/>
          <w:pgSz w:w="11906" w:h="16838"/>
          <w:pgMar w:top="1701" w:right="1701" w:bottom="1361" w:left="1701" w:header="851" w:footer="992" w:gutter="0"/>
          <w:pgNumType w:fmt="decimal" w:start="1"/>
          <w:cols w:space="720" w:num="1"/>
          <w:docGrid w:type="lines" w:linePitch="312" w:charSpace="0"/>
        </w:sectPr>
      </w:pPr>
    </w:p>
    <w:tbl>
      <w:tblPr>
        <w:tblStyle w:val="7"/>
        <w:tblW w:w="15727" w:type="dxa"/>
        <w:jc w:val="center"/>
        <w:shd w:val="clear" w:color="auto" w:fill="auto"/>
        <w:tblLayout w:type="fixed"/>
        <w:tblCellMar>
          <w:top w:w="0" w:type="dxa"/>
          <w:left w:w="0" w:type="dxa"/>
          <w:bottom w:w="0" w:type="dxa"/>
          <w:right w:w="0" w:type="dxa"/>
        </w:tblCellMar>
      </w:tblPr>
      <w:tblGrid>
        <w:gridCol w:w="2195"/>
        <w:gridCol w:w="518"/>
        <w:gridCol w:w="982"/>
        <w:gridCol w:w="964"/>
        <w:gridCol w:w="996"/>
        <w:gridCol w:w="2025"/>
        <w:gridCol w:w="472"/>
        <w:gridCol w:w="878"/>
        <w:gridCol w:w="879"/>
        <w:gridCol w:w="868"/>
        <w:gridCol w:w="1735"/>
        <w:gridCol w:w="240"/>
        <w:gridCol w:w="1016"/>
        <w:gridCol w:w="1007"/>
        <w:gridCol w:w="952"/>
      </w:tblGrid>
      <w:tr>
        <w:tblPrEx>
          <w:shd w:val="clear" w:color="auto" w:fill="auto"/>
          <w:tblCellMar>
            <w:top w:w="0" w:type="dxa"/>
            <w:left w:w="0" w:type="dxa"/>
            <w:bottom w:w="0" w:type="dxa"/>
            <w:right w:w="0" w:type="dxa"/>
          </w:tblCellMar>
        </w:tblPrEx>
        <w:trPr>
          <w:trHeight w:val="471" w:hRule="exact"/>
          <w:jc w:val="center"/>
        </w:trPr>
        <w:tc>
          <w:tcPr>
            <w:tcW w:w="15727" w:type="dxa"/>
            <w:gridSpan w:val="15"/>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收入支出决算总表</w:t>
            </w:r>
          </w:p>
        </w:tc>
      </w:tr>
      <w:tr>
        <w:tblPrEx>
          <w:shd w:val="clear" w:color="auto" w:fill="auto"/>
          <w:tblCellMar>
            <w:top w:w="0" w:type="dxa"/>
            <w:left w:w="0" w:type="dxa"/>
            <w:bottom w:w="0" w:type="dxa"/>
            <w:right w:w="0" w:type="dxa"/>
          </w:tblCellMar>
        </w:tblPrEx>
        <w:trPr>
          <w:trHeight w:val="90" w:hRule="exact"/>
          <w:jc w:val="center"/>
        </w:trPr>
        <w:tc>
          <w:tcPr>
            <w:tcW w:w="15727" w:type="dxa"/>
            <w:gridSpan w:val="15"/>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黑体" w:hAnsi="宋体" w:eastAsia="黑体" w:cs="黑体"/>
                <w:i w:val="0"/>
                <w:color w:val="000000"/>
                <w:kern w:val="0"/>
                <w:sz w:val="32"/>
                <w:szCs w:val="32"/>
                <w:u w:val="none"/>
                <w:lang w:val="en-US" w:eastAsia="zh-CN" w:bidi="ar"/>
              </w:rPr>
            </w:pP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8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64"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9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0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47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87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87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86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73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01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00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52" w:type="dxa"/>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财决01表</w:t>
            </w: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nil"/>
              <w:bottom w:val="single" w:color="auto" w:sz="4" w:space="0"/>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编制单位：重庆市大足区古龙镇人民政府</w:t>
            </w:r>
          </w:p>
        </w:tc>
        <w:tc>
          <w:tcPr>
            <w:tcW w:w="518" w:type="dxa"/>
            <w:tcBorders>
              <w:top w:val="nil"/>
              <w:left w:val="nil"/>
              <w:bottom w:val="single" w:color="auto"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82" w:type="dxa"/>
            <w:tcBorders>
              <w:top w:val="nil"/>
              <w:left w:val="nil"/>
              <w:bottom w:val="single" w:color="auto"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64" w:type="dxa"/>
            <w:tcBorders>
              <w:top w:val="nil"/>
              <w:left w:val="nil"/>
              <w:bottom w:val="single" w:color="auto"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96" w:type="dxa"/>
            <w:tcBorders>
              <w:top w:val="nil"/>
              <w:left w:val="nil"/>
              <w:bottom w:val="single" w:color="auto"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025" w:type="dxa"/>
            <w:tcBorders>
              <w:top w:val="nil"/>
              <w:left w:val="nil"/>
              <w:bottom w:val="single" w:color="auto"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472" w:type="dxa"/>
            <w:tcBorders>
              <w:top w:val="nil"/>
              <w:left w:val="nil"/>
              <w:bottom w:val="single" w:color="auto"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878" w:type="dxa"/>
            <w:tcBorders>
              <w:top w:val="nil"/>
              <w:left w:val="nil"/>
              <w:bottom w:val="single" w:color="auto"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2020年度</w:t>
            </w:r>
          </w:p>
        </w:tc>
        <w:tc>
          <w:tcPr>
            <w:tcW w:w="879" w:type="dxa"/>
            <w:tcBorders>
              <w:top w:val="nil"/>
              <w:left w:val="nil"/>
              <w:bottom w:val="single" w:color="auto"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868" w:type="dxa"/>
            <w:tcBorders>
              <w:top w:val="nil"/>
              <w:left w:val="nil"/>
              <w:bottom w:val="single" w:color="auto"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735" w:type="dxa"/>
            <w:tcBorders>
              <w:top w:val="nil"/>
              <w:left w:val="nil"/>
              <w:bottom w:val="single" w:color="auto"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40" w:type="dxa"/>
            <w:tcBorders>
              <w:top w:val="nil"/>
              <w:left w:val="nil"/>
              <w:bottom w:val="single" w:color="auto"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016" w:type="dxa"/>
            <w:tcBorders>
              <w:top w:val="nil"/>
              <w:left w:val="nil"/>
              <w:bottom w:val="single" w:color="auto"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007" w:type="dxa"/>
            <w:tcBorders>
              <w:top w:val="nil"/>
              <w:left w:val="nil"/>
              <w:bottom w:val="single" w:color="auto" w:sz="4" w:space="0"/>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52" w:type="dxa"/>
            <w:tcBorders>
              <w:top w:val="nil"/>
              <w:left w:val="nil"/>
              <w:bottom w:val="single" w:color="auto" w:sz="4" w:space="0"/>
              <w:right w:val="nil"/>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金额单位：元</w:t>
            </w:r>
          </w:p>
        </w:tc>
      </w:tr>
      <w:tr>
        <w:tblPrEx>
          <w:shd w:val="clear" w:color="auto" w:fill="auto"/>
          <w:tblCellMar>
            <w:top w:w="0" w:type="dxa"/>
            <w:left w:w="0" w:type="dxa"/>
            <w:bottom w:w="0" w:type="dxa"/>
            <w:right w:w="0" w:type="dxa"/>
          </w:tblCellMar>
        </w:tblPrEx>
        <w:trPr>
          <w:trHeight w:val="244" w:hRule="exact"/>
          <w:jc w:val="center"/>
        </w:trPr>
        <w:tc>
          <w:tcPr>
            <w:tcW w:w="5655" w:type="dxa"/>
            <w:gridSpan w:val="5"/>
            <w:tcBorders>
              <w:top w:val="single" w:color="auto" w:sz="4" w:space="0"/>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收入</w:t>
            </w:r>
          </w:p>
        </w:tc>
        <w:tc>
          <w:tcPr>
            <w:tcW w:w="10072" w:type="dxa"/>
            <w:gridSpan w:val="10"/>
            <w:tcBorders>
              <w:top w:val="single" w:color="auto" w:sz="4" w:space="0"/>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支出</w:t>
            </w: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w:t>
            </w: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9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年初预算数</w:t>
            </w:r>
          </w:p>
        </w:tc>
        <w:tc>
          <w:tcPr>
            <w:tcW w:w="9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调整预算数</w:t>
            </w:r>
          </w:p>
        </w:tc>
        <w:tc>
          <w:tcPr>
            <w:tcW w:w="9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项目(按功能分类)</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8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年初预算数</w:t>
            </w:r>
          </w:p>
        </w:tc>
        <w:tc>
          <w:tcPr>
            <w:tcW w:w="87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调整预算数</w:t>
            </w:r>
          </w:p>
        </w:tc>
        <w:tc>
          <w:tcPr>
            <w:tcW w:w="8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项目(按支出性质和经济分类)</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行次</w:t>
            </w:r>
          </w:p>
        </w:tc>
        <w:tc>
          <w:tcPr>
            <w:tcW w:w="10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年初预算数</w:t>
            </w:r>
          </w:p>
        </w:tc>
        <w:tc>
          <w:tcPr>
            <w:tcW w:w="100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调整预算数</w:t>
            </w:r>
          </w:p>
        </w:tc>
        <w:tc>
          <w:tcPr>
            <w:tcW w:w="952"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决算数</w:t>
            </w: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8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964"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99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87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879"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86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栏次</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1016"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1007"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952" w:type="dxa"/>
            <w:tcBorders>
              <w:top w:val="nil"/>
              <w:left w:val="nil"/>
              <w:bottom w:val="single" w:color="000000" w:sz="4" w:space="0"/>
              <w:right w:val="single" w:color="000000" w:sz="12"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一、一般公共预算财政拨款收入</w:t>
            </w: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w:t>
            </w:r>
          </w:p>
        </w:tc>
        <w:tc>
          <w:tcPr>
            <w:tcW w:w="982"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12,021,031.00</w:t>
            </w:r>
          </w:p>
        </w:tc>
        <w:tc>
          <w:tcPr>
            <w:tcW w:w="964"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21,017,672.80</w:t>
            </w:r>
          </w:p>
        </w:tc>
        <w:tc>
          <w:tcPr>
            <w:tcW w:w="996"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21,017,672.80</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一、一般公共服务支出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6,018,938.00</w:t>
            </w: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7,418,168.00</w:t>
            </w: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7,418,168.00</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一、基本支出</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58</w:t>
            </w:r>
          </w:p>
        </w:tc>
        <w:tc>
          <w:tcPr>
            <w:tcW w:w="1016"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10,431,031.00</w:t>
            </w:r>
          </w:p>
        </w:tc>
        <w:tc>
          <w:tcPr>
            <w:tcW w:w="1007"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9,578,237.18</w:t>
            </w:r>
          </w:p>
        </w:tc>
        <w:tc>
          <w:tcPr>
            <w:tcW w:w="952" w:type="dxa"/>
            <w:tcBorders>
              <w:top w:val="nil"/>
              <w:left w:val="nil"/>
              <w:bottom w:val="single" w:color="000000" w:sz="4" w:space="0"/>
              <w:right w:val="single" w:color="000000" w:sz="12"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9,578,237.18</w:t>
            </w:r>
          </w:p>
        </w:tc>
      </w:tr>
      <w:tr>
        <w:tblPrEx>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二、政府性基金预算财政拨款收入</w:t>
            </w: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w:t>
            </w:r>
          </w:p>
        </w:tc>
        <w:tc>
          <w:tcPr>
            <w:tcW w:w="982"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4,103,703.00</w:t>
            </w:r>
          </w:p>
        </w:tc>
        <w:tc>
          <w:tcPr>
            <w:tcW w:w="996"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4,103,703.00</w:t>
            </w: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二、外交支出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人员经费</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59</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7,949,992.00</w:t>
            </w: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7,992,268.38</w:t>
            </w:r>
          </w:p>
        </w:tc>
        <w:tc>
          <w:tcPr>
            <w:tcW w:w="952" w:type="dxa"/>
            <w:tcBorders>
              <w:top w:val="nil"/>
              <w:left w:val="nil"/>
              <w:bottom w:val="single" w:color="000000" w:sz="4" w:space="0"/>
              <w:right w:val="single" w:color="000000" w:sz="12"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7,992,268.38</w:t>
            </w: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三、国有资本经营预算财政拨款收入</w:t>
            </w: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9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三、国防支出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34</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1,866.00</w:t>
            </w: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1,866.00</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公用经费</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60</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2,481,039.00</w:t>
            </w: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1,585,968.80</w:t>
            </w:r>
          </w:p>
        </w:tc>
        <w:tc>
          <w:tcPr>
            <w:tcW w:w="952" w:type="dxa"/>
            <w:tcBorders>
              <w:top w:val="nil"/>
              <w:left w:val="nil"/>
              <w:bottom w:val="single" w:color="000000" w:sz="4" w:space="0"/>
              <w:right w:val="single" w:color="000000" w:sz="12"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1,585,968.80</w:t>
            </w: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四、上级补助收入</w:t>
            </w: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9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四、公共安全支出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35</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124,000.00</w:t>
            </w: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124,000.00</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二、项目支出</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61</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1,590,000.00</w:t>
            </w: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15,543,138.62</w:t>
            </w:r>
          </w:p>
        </w:tc>
        <w:tc>
          <w:tcPr>
            <w:tcW w:w="952" w:type="dxa"/>
            <w:tcBorders>
              <w:top w:val="nil"/>
              <w:left w:val="nil"/>
              <w:bottom w:val="single" w:color="000000" w:sz="4" w:space="0"/>
              <w:right w:val="single" w:color="000000" w:sz="12"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15,543,138.62</w:t>
            </w: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五、事业收入</w:t>
            </w: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9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五、教育支出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36</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其中：基本建设类项目</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62</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52" w:type="dxa"/>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六、经营收入</w:t>
            </w: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9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六、科学技术支出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37</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三、上缴上级支出</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52" w:type="dxa"/>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七、附属单位上缴收入</w:t>
            </w: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9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七、文化旅游体育与传媒支出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38</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324,305.00</w:t>
            </w: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333,328.00</w:t>
            </w: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333,328.00</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四、经营支出</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64</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52" w:type="dxa"/>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八、其他收入</w:t>
            </w: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w:t>
            </w:r>
          </w:p>
        </w:tc>
        <w:tc>
          <w:tcPr>
            <w:tcW w:w="9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99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FFFF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八、社会保障和就业支出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39</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1,914,549.00</w:t>
            </w: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1,715,746.03</w:t>
            </w: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1,715,746.03</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五、对附属单位补助支出</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65</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52" w:type="dxa"/>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9</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九、卫生健康支出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40</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364,472.00</w:t>
            </w: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845,321.35</w:t>
            </w: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845,321.35</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66</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5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十、节能环保支出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41</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285,000.00</w:t>
            </w: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285,000.00</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67</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5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十一、城乡社区支出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42</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4,829,703.00</w:t>
            </w: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4,829,703.00</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经济分类支出合计</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68</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952" w:type="dxa"/>
            <w:tcBorders>
              <w:top w:val="nil"/>
              <w:left w:val="nil"/>
              <w:bottom w:val="single" w:color="000000" w:sz="4" w:space="0"/>
              <w:right w:val="single" w:color="000000" w:sz="12"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25,121,375.80</w:t>
            </w:r>
          </w:p>
        </w:tc>
      </w:tr>
      <w:tr>
        <w:tblPrEx>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十二、农林水支出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43</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3,044,974.00</w:t>
            </w: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6,354,906.42</w:t>
            </w: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6,354,906.42</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一、工资福利支出</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69</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952" w:type="dxa"/>
            <w:tcBorders>
              <w:top w:val="nil"/>
              <w:left w:val="nil"/>
              <w:bottom w:val="single" w:color="000000" w:sz="4" w:space="0"/>
              <w:right w:val="single" w:color="000000" w:sz="12"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7,574,628.38</w:t>
            </w: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13</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十三、交通运输支出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44</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2,560,659.00</w:t>
            </w: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2,560,659.00</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二、商品和服务支出</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70</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952" w:type="dxa"/>
            <w:tcBorders>
              <w:top w:val="nil"/>
              <w:left w:val="nil"/>
              <w:bottom w:val="single" w:color="000000" w:sz="4" w:space="0"/>
              <w:right w:val="single" w:color="000000" w:sz="12"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1,898,048.80</w:t>
            </w: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14</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十四、资源勘探工业信息等支出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45</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三、对个人和家庭的补助</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71</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952" w:type="dxa"/>
            <w:tcBorders>
              <w:top w:val="nil"/>
              <w:left w:val="nil"/>
              <w:bottom w:val="single" w:color="000000" w:sz="4" w:space="0"/>
              <w:right w:val="single" w:color="000000" w:sz="12"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3,789,146.42</w:t>
            </w: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15</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十五、商业服务业等支出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46</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四、债务利息及费用支出</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72</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952" w:type="dxa"/>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16</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十六、金融支出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47</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五、资本性支出（基本建设）</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73</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952" w:type="dxa"/>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17</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十七、援助其他地区支出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48</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六、资本性支出</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74</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952" w:type="dxa"/>
            <w:tcBorders>
              <w:top w:val="nil"/>
              <w:left w:val="nil"/>
              <w:bottom w:val="single" w:color="000000" w:sz="4" w:space="0"/>
              <w:right w:val="single" w:color="000000" w:sz="12"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11,859,552.20</w:t>
            </w: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18</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十八、自然资源海洋气象等支出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49</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七、对企业补助（基本建设）</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75</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952" w:type="dxa"/>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19</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十九、住房保障支出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50</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353,793.00</w:t>
            </w: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552,678.00</w:t>
            </w: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552,678.00</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八、对企业补助</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76</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952" w:type="dxa"/>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20</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二十、粮油物资储备支出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51</w:t>
            </w:r>
          </w:p>
        </w:tc>
        <w:tc>
          <w:tcPr>
            <w:tcW w:w="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九、对社会保障基金补助</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77</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952" w:type="dxa"/>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21</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二十一、国有资本经营预算支出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52</w:t>
            </w:r>
          </w:p>
        </w:tc>
        <w:tc>
          <w:tcPr>
            <w:tcW w:w="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十、其他支出</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78</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952" w:type="dxa"/>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22</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二十二、灾害防治及应急管理支出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53</w:t>
            </w:r>
          </w:p>
        </w:tc>
        <w:tc>
          <w:tcPr>
            <w:tcW w:w="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79</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5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23</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二十三、其他支出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54</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100,000.00</w:t>
            </w:r>
          </w:p>
        </w:tc>
        <w:tc>
          <w:tcPr>
            <w:tcW w:w="868"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100,000.00</w:t>
            </w: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80</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5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24</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二十四、债务还本支出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55</w:t>
            </w:r>
          </w:p>
        </w:tc>
        <w:tc>
          <w:tcPr>
            <w:tcW w:w="8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81</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5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二十五、债务付息支出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56</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82</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5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26</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202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二十六、抗疫特别国债安排的支出</w:t>
            </w:r>
          </w:p>
        </w:tc>
        <w:tc>
          <w:tcPr>
            <w:tcW w:w="472"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57</w:t>
            </w:r>
          </w:p>
        </w:tc>
        <w:tc>
          <w:tcPr>
            <w:tcW w:w="87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8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735"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83</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5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本年收入合计</w:t>
            </w: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27</w:t>
            </w:r>
          </w:p>
        </w:tc>
        <w:tc>
          <w:tcPr>
            <w:tcW w:w="982"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12,021,031.00</w:t>
            </w:r>
          </w:p>
        </w:tc>
        <w:tc>
          <w:tcPr>
            <w:tcW w:w="964"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25,121,375.80</w:t>
            </w:r>
          </w:p>
        </w:tc>
        <w:tc>
          <w:tcPr>
            <w:tcW w:w="996"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25,121,375.80</w:t>
            </w:r>
          </w:p>
        </w:tc>
        <w:tc>
          <w:tcPr>
            <w:tcW w:w="6857"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本年支出合计</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84</w:t>
            </w:r>
          </w:p>
        </w:tc>
        <w:tc>
          <w:tcPr>
            <w:tcW w:w="1016"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12,021,031.00</w:t>
            </w:r>
          </w:p>
        </w:tc>
        <w:tc>
          <w:tcPr>
            <w:tcW w:w="1007" w:type="dxa"/>
            <w:tcBorders>
              <w:top w:val="nil"/>
              <w:left w:val="nil"/>
              <w:bottom w:val="single" w:color="000000" w:sz="4"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25,121,375.80</w:t>
            </w:r>
          </w:p>
        </w:tc>
        <w:tc>
          <w:tcPr>
            <w:tcW w:w="952" w:type="dxa"/>
            <w:tcBorders>
              <w:top w:val="nil"/>
              <w:left w:val="nil"/>
              <w:bottom w:val="single" w:color="000000" w:sz="4" w:space="0"/>
              <w:right w:val="single" w:color="000000" w:sz="12"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25,121,375.80</w:t>
            </w: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使用非财政拨款结余</w:t>
            </w: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28</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857"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结余分配</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85</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w:t>
            </w:r>
          </w:p>
        </w:tc>
        <w:tc>
          <w:tcPr>
            <w:tcW w:w="952" w:type="dxa"/>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年初结转和结余</w:t>
            </w: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29</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857"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 xml:space="preserve">    年末结转和结余</w:t>
            </w: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86</w:t>
            </w:r>
          </w:p>
        </w:tc>
        <w:tc>
          <w:tcPr>
            <w:tcW w:w="10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10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952" w:type="dxa"/>
            <w:tcBorders>
              <w:top w:val="nil"/>
              <w:left w:val="nil"/>
              <w:bottom w:val="single" w:color="000000" w:sz="4" w:space="0"/>
              <w:right w:val="single" w:color="000000" w:sz="12"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518"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30</w:t>
            </w:r>
          </w:p>
        </w:tc>
        <w:tc>
          <w:tcPr>
            <w:tcW w:w="98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64"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9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c>
          <w:tcPr>
            <w:tcW w:w="6857" w:type="dxa"/>
            <w:gridSpan w:val="6"/>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40" w:type="dxa"/>
            <w:tcBorders>
              <w:top w:val="nil"/>
              <w:left w:val="nil"/>
              <w:bottom w:val="single" w:color="000000" w:sz="4"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87</w:t>
            </w:r>
          </w:p>
        </w:tc>
        <w:tc>
          <w:tcPr>
            <w:tcW w:w="1016"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1007"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952" w:type="dxa"/>
            <w:tcBorders>
              <w:top w:val="nil"/>
              <w:left w:val="nil"/>
              <w:bottom w:val="single" w:color="000000" w:sz="4" w:space="0"/>
              <w:right w:val="single" w:color="000000" w:sz="12" w:space="0"/>
            </w:tcBorders>
            <w:shd w:val="clear" w:color="auto" w:fill="FFFFFF"/>
            <w:noWrap/>
            <w:tcMar>
              <w:top w:w="15" w:type="dxa"/>
              <w:left w:w="15" w:type="dxa"/>
              <w:right w:w="15" w:type="dxa"/>
            </w:tcMar>
            <w:vAlign w:val="center"/>
          </w:tcPr>
          <w:p>
            <w:pPr>
              <w:jc w:val="righ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44" w:hRule="exact"/>
          <w:jc w:val="center"/>
        </w:trPr>
        <w:tc>
          <w:tcPr>
            <w:tcW w:w="2195" w:type="dxa"/>
            <w:tcBorders>
              <w:top w:val="nil"/>
              <w:left w:val="single" w:color="000000" w:sz="12" w:space="0"/>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总计</w:t>
            </w:r>
          </w:p>
        </w:tc>
        <w:tc>
          <w:tcPr>
            <w:tcW w:w="518"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31</w:t>
            </w:r>
          </w:p>
        </w:tc>
        <w:tc>
          <w:tcPr>
            <w:tcW w:w="982" w:type="dxa"/>
            <w:tcBorders>
              <w:top w:val="nil"/>
              <w:left w:val="nil"/>
              <w:bottom w:val="single" w:color="000000" w:sz="12"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12,021,031.00</w:t>
            </w:r>
          </w:p>
        </w:tc>
        <w:tc>
          <w:tcPr>
            <w:tcW w:w="964" w:type="dxa"/>
            <w:tcBorders>
              <w:top w:val="nil"/>
              <w:left w:val="nil"/>
              <w:bottom w:val="single" w:color="000000" w:sz="12"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25,121,375.80</w:t>
            </w:r>
          </w:p>
        </w:tc>
        <w:tc>
          <w:tcPr>
            <w:tcW w:w="996" w:type="dxa"/>
            <w:tcBorders>
              <w:top w:val="nil"/>
              <w:left w:val="nil"/>
              <w:bottom w:val="single" w:color="000000" w:sz="12"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25,121,375.80</w:t>
            </w:r>
          </w:p>
        </w:tc>
        <w:tc>
          <w:tcPr>
            <w:tcW w:w="6857" w:type="dxa"/>
            <w:gridSpan w:val="6"/>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3"/>
                <w:szCs w:val="13"/>
                <w:u w:val="none"/>
              </w:rPr>
            </w:pPr>
            <w:r>
              <w:rPr>
                <w:rFonts w:hint="eastAsia" w:ascii="宋体" w:hAnsi="宋体" w:eastAsia="宋体" w:cs="宋体"/>
                <w:b/>
                <w:i w:val="0"/>
                <w:color w:val="000000"/>
                <w:kern w:val="0"/>
                <w:sz w:val="13"/>
                <w:szCs w:val="13"/>
                <w:u w:val="none"/>
                <w:lang w:val="en-US" w:eastAsia="zh-CN" w:bidi="ar"/>
              </w:rPr>
              <w:t>总计</w:t>
            </w:r>
          </w:p>
        </w:tc>
        <w:tc>
          <w:tcPr>
            <w:tcW w:w="240" w:type="dxa"/>
            <w:tcBorders>
              <w:top w:val="nil"/>
              <w:left w:val="nil"/>
              <w:bottom w:val="single" w:color="000000" w:sz="12" w:space="0"/>
              <w:right w:val="single" w:color="000000" w:sz="4" w:space="0"/>
            </w:tcBorders>
            <w:shd w:val="clear" w:color="auto"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88</w:t>
            </w:r>
          </w:p>
        </w:tc>
        <w:tc>
          <w:tcPr>
            <w:tcW w:w="1016" w:type="dxa"/>
            <w:tcBorders>
              <w:top w:val="nil"/>
              <w:left w:val="nil"/>
              <w:bottom w:val="single" w:color="000000" w:sz="12"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12,021,031.00</w:t>
            </w:r>
          </w:p>
        </w:tc>
        <w:tc>
          <w:tcPr>
            <w:tcW w:w="1007" w:type="dxa"/>
            <w:tcBorders>
              <w:top w:val="nil"/>
              <w:left w:val="nil"/>
              <w:bottom w:val="single" w:color="000000" w:sz="12" w:space="0"/>
              <w:right w:val="single" w:color="000000" w:sz="4"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25,121,375.80</w:t>
            </w:r>
          </w:p>
        </w:tc>
        <w:tc>
          <w:tcPr>
            <w:tcW w:w="952" w:type="dxa"/>
            <w:tcBorders>
              <w:top w:val="nil"/>
              <w:left w:val="nil"/>
              <w:bottom w:val="single" w:color="000000" w:sz="12" w:space="0"/>
              <w:right w:val="single" w:color="000000" w:sz="12" w:space="0"/>
            </w:tcBorders>
            <w:shd w:val="clear" w:color="auto" w:fill="FFFF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25,121,375.80</w:t>
            </w:r>
          </w:p>
        </w:tc>
      </w:tr>
      <w:tr>
        <w:tblPrEx>
          <w:shd w:val="clear" w:color="auto" w:fill="auto"/>
          <w:tblCellMar>
            <w:top w:w="0" w:type="dxa"/>
            <w:left w:w="0" w:type="dxa"/>
            <w:bottom w:w="0" w:type="dxa"/>
            <w:right w:w="0" w:type="dxa"/>
          </w:tblCellMar>
        </w:tblPrEx>
        <w:trPr>
          <w:trHeight w:val="244" w:hRule="exact"/>
          <w:jc w:val="center"/>
        </w:trPr>
        <w:tc>
          <w:tcPr>
            <w:tcW w:w="5655"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备注：本套报表金额单位转换时可能存在尾数误差。</w:t>
            </w:r>
          </w:p>
        </w:tc>
        <w:tc>
          <w:tcPr>
            <w:tcW w:w="20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47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87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87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86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73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01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00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5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r>
      <w:tr>
        <w:tblPrEx>
          <w:shd w:val="clear" w:color="auto" w:fill="auto"/>
          <w:tblCellMar>
            <w:top w:w="0" w:type="dxa"/>
            <w:left w:w="0" w:type="dxa"/>
            <w:bottom w:w="0" w:type="dxa"/>
            <w:right w:w="0" w:type="dxa"/>
          </w:tblCellMar>
        </w:tblPrEx>
        <w:trPr>
          <w:trHeight w:val="244" w:hRule="exact"/>
          <w:jc w:val="center"/>
        </w:trPr>
        <w:tc>
          <w:tcPr>
            <w:tcW w:w="5655" w:type="dxa"/>
            <w:gridSpan w:val="5"/>
            <w:tcBorders>
              <w:top w:val="nil"/>
              <w:left w:val="nil"/>
              <w:bottom w:val="nil"/>
              <w:right w:val="nil"/>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3"/>
                <w:szCs w:val="13"/>
                <w:u w:val="none"/>
              </w:rPr>
            </w:pPr>
            <w:r>
              <w:rPr>
                <w:rFonts w:hint="eastAsia" w:ascii="宋体" w:hAnsi="宋体" w:eastAsia="宋体" w:cs="宋体"/>
                <w:i w:val="0"/>
                <w:color w:val="000000"/>
                <w:kern w:val="0"/>
                <w:sz w:val="13"/>
                <w:szCs w:val="13"/>
                <w:u w:val="none"/>
                <w:lang w:val="en-US" w:eastAsia="zh-CN" w:bidi="ar"/>
              </w:rPr>
              <w:t>注：本套决算报表中刷绿色单元格为自动取数生成，不需人工录入数据。</w:t>
            </w:r>
          </w:p>
        </w:tc>
        <w:tc>
          <w:tcPr>
            <w:tcW w:w="202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472"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87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879"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868"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735"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240" w:type="dxa"/>
            <w:tcBorders>
              <w:top w:val="nil"/>
              <w:left w:val="nil"/>
              <w:bottom w:val="nil"/>
              <w:right w:val="nil"/>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3"/>
                <w:szCs w:val="13"/>
                <w:u w:val="none"/>
              </w:rPr>
            </w:pPr>
          </w:p>
        </w:tc>
        <w:tc>
          <w:tcPr>
            <w:tcW w:w="1016"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1007"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c>
          <w:tcPr>
            <w:tcW w:w="952" w:type="dxa"/>
            <w:tcBorders>
              <w:top w:val="nil"/>
              <w:left w:val="nil"/>
              <w:bottom w:val="nil"/>
              <w:right w:val="nil"/>
            </w:tcBorders>
            <w:shd w:val="clear" w:color="auto" w:fill="FFFFFF"/>
            <w:noWrap/>
            <w:tcMar>
              <w:top w:w="15" w:type="dxa"/>
              <w:left w:w="15" w:type="dxa"/>
              <w:right w:w="15" w:type="dxa"/>
            </w:tcMar>
            <w:vAlign w:val="center"/>
          </w:tcPr>
          <w:p>
            <w:pPr>
              <w:jc w:val="left"/>
              <w:rPr>
                <w:rFonts w:hint="eastAsia" w:ascii="宋体" w:hAnsi="宋体" w:eastAsia="宋体" w:cs="宋体"/>
                <w:i w:val="0"/>
                <w:color w:val="000000"/>
                <w:sz w:val="13"/>
                <w:szCs w:val="13"/>
                <w:u w:val="none"/>
              </w:rPr>
            </w:pPr>
          </w:p>
        </w:tc>
      </w:tr>
    </w:tbl>
    <w:p>
      <w:pPr>
        <w:pStyle w:val="2"/>
        <w:rPr>
          <w:rFonts w:hint="eastAsia"/>
        </w:rPr>
        <w:sectPr>
          <w:pgSz w:w="16838" w:h="11906" w:orient="landscape"/>
          <w:pgMar w:top="1134" w:right="1134" w:bottom="850" w:left="1134" w:header="851" w:footer="680" w:gutter="0"/>
          <w:pgNumType w:fmt="decimal"/>
          <w:cols w:space="0" w:num="1"/>
          <w:rtlGutter w:val="0"/>
          <w:docGrid w:type="lines" w:linePitch="314" w:charSpace="0"/>
        </w:sectPr>
      </w:pPr>
    </w:p>
    <w:p>
      <w:pPr>
        <w:pStyle w:val="2"/>
        <w:keepNext w:val="0"/>
        <w:keepLines w:val="0"/>
        <w:pageBreakBefore w:val="0"/>
        <w:kinsoku/>
        <w:wordWrap/>
        <w:overflowPunct/>
        <w:topLinePunct w:val="0"/>
        <w:autoSpaceDE/>
        <w:autoSpaceDN/>
        <w:bidi w:val="0"/>
        <w:adjustRightInd/>
        <w:snapToGrid/>
        <w:spacing w:beforeAutospacing="0" w:afterAutospacing="0" w:line="580" w:lineRule="exact"/>
        <w:textAlignment w:val="auto"/>
        <w:rPr>
          <w:rFonts w:hint="eastAsia" w:ascii="方正仿宋_GBK" w:hAnsi="方正仿宋_GBK" w:eastAsia="方正仿宋_GBK" w:cs="方正仿宋_GBK"/>
          <w:sz w:val="32"/>
          <w:szCs w:val="32"/>
        </w:rPr>
      </w:pPr>
    </w:p>
    <w:sectPr>
      <w:pgSz w:w="11906" w:h="16838"/>
      <w:pgMar w:top="1701" w:right="1701" w:bottom="1361"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1</w:t>
                </w:r>
                <w:r>
                  <w:rPr>
                    <w:rFonts w:ascii="宋体" w:hAnsi="宋体"/>
                    <w:sz w:val="28"/>
                    <w:szCs w:val="28"/>
                  </w:rPr>
                  <w:fldChar w:fldCharType="end"/>
                </w:r>
                <w:r>
                  <w:rPr>
                    <w:rStyle w:val="9"/>
                    <w:rFonts w:hint="eastAsia" w:ascii="宋体" w:hAnsi="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7"/>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1MWRhZjkyNDA4YmRhYTViN2E5YjAyM2Y5NDRlZTMifQ=="/>
  </w:docVars>
  <w:rsids>
    <w:rsidRoot w:val="00172A27"/>
    <w:rsid w:val="00023A31"/>
    <w:rsid w:val="0003499F"/>
    <w:rsid w:val="000A05F0"/>
    <w:rsid w:val="000B7A6B"/>
    <w:rsid w:val="000C07C2"/>
    <w:rsid w:val="000C455B"/>
    <w:rsid w:val="000D421F"/>
    <w:rsid w:val="000E2AA5"/>
    <w:rsid w:val="00135172"/>
    <w:rsid w:val="00152F92"/>
    <w:rsid w:val="0016711B"/>
    <w:rsid w:val="00172A27"/>
    <w:rsid w:val="0019616D"/>
    <w:rsid w:val="001A2F6B"/>
    <w:rsid w:val="001A5344"/>
    <w:rsid w:val="001C0877"/>
    <w:rsid w:val="001C193F"/>
    <w:rsid w:val="001D66BE"/>
    <w:rsid w:val="001F0AC5"/>
    <w:rsid w:val="00204F63"/>
    <w:rsid w:val="0021156D"/>
    <w:rsid w:val="00214885"/>
    <w:rsid w:val="002164DD"/>
    <w:rsid w:val="002333EC"/>
    <w:rsid w:val="002419B1"/>
    <w:rsid w:val="00257A48"/>
    <w:rsid w:val="00262706"/>
    <w:rsid w:val="002666C2"/>
    <w:rsid w:val="00275327"/>
    <w:rsid w:val="002B0EEE"/>
    <w:rsid w:val="002C0616"/>
    <w:rsid w:val="00316883"/>
    <w:rsid w:val="003314B5"/>
    <w:rsid w:val="00376AD7"/>
    <w:rsid w:val="0038238F"/>
    <w:rsid w:val="00397DA5"/>
    <w:rsid w:val="003D3608"/>
    <w:rsid w:val="003D5152"/>
    <w:rsid w:val="00401480"/>
    <w:rsid w:val="00405769"/>
    <w:rsid w:val="004515ED"/>
    <w:rsid w:val="004603A9"/>
    <w:rsid w:val="004675FF"/>
    <w:rsid w:val="004A5B2E"/>
    <w:rsid w:val="004F7220"/>
    <w:rsid w:val="00506814"/>
    <w:rsid w:val="00515AF4"/>
    <w:rsid w:val="00520D7F"/>
    <w:rsid w:val="005233B3"/>
    <w:rsid w:val="00562939"/>
    <w:rsid w:val="00587EBF"/>
    <w:rsid w:val="005A580B"/>
    <w:rsid w:val="005C4997"/>
    <w:rsid w:val="005C79BD"/>
    <w:rsid w:val="005D76B9"/>
    <w:rsid w:val="005F3141"/>
    <w:rsid w:val="00600A4B"/>
    <w:rsid w:val="006057A2"/>
    <w:rsid w:val="00607FE9"/>
    <w:rsid w:val="00614135"/>
    <w:rsid w:val="00615E71"/>
    <w:rsid w:val="00615F49"/>
    <w:rsid w:val="006225E2"/>
    <w:rsid w:val="00624526"/>
    <w:rsid w:val="006254F3"/>
    <w:rsid w:val="006261FB"/>
    <w:rsid w:val="00626802"/>
    <w:rsid w:val="00647A0B"/>
    <w:rsid w:val="00661472"/>
    <w:rsid w:val="00661510"/>
    <w:rsid w:val="00665028"/>
    <w:rsid w:val="006902AA"/>
    <w:rsid w:val="00691517"/>
    <w:rsid w:val="006A07FE"/>
    <w:rsid w:val="006A6E1A"/>
    <w:rsid w:val="006A6E76"/>
    <w:rsid w:val="006B2448"/>
    <w:rsid w:val="006C65B6"/>
    <w:rsid w:val="006D1EC0"/>
    <w:rsid w:val="006D471A"/>
    <w:rsid w:val="006D6C6E"/>
    <w:rsid w:val="006E47A2"/>
    <w:rsid w:val="006E70E8"/>
    <w:rsid w:val="007020C6"/>
    <w:rsid w:val="00712D26"/>
    <w:rsid w:val="00741053"/>
    <w:rsid w:val="00763F15"/>
    <w:rsid w:val="007A3318"/>
    <w:rsid w:val="007C345B"/>
    <w:rsid w:val="007D1378"/>
    <w:rsid w:val="007D661F"/>
    <w:rsid w:val="007F63C9"/>
    <w:rsid w:val="00811387"/>
    <w:rsid w:val="008147E1"/>
    <w:rsid w:val="008236F6"/>
    <w:rsid w:val="00841EF5"/>
    <w:rsid w:val="00860FD1"/>
    <w:rsid w:val="0088098D"/>
    <w:rsid w:val="008A4097"/>
    <w:rsid w:val="008D77CF"/>
    <w:rsid w:val="008D7DE7"/>
    <w:rsid w:val="008F6822"/>
    <w:rsid w:val="00904DC8"/>
    <w:rsid w:val="00920499"/>
    <w:rsid w:val="009545C9"/>
    <w:rsid w:val="00956057"/>
    <w:rsid w:val="009560B0"/>
    <w:rsid w:val="009642EA"/>
    <w:rsid w:val="00973B4A"/>
    <w:rsid w:val="009936A9"/>
    <w:rsid w:val="00997B30"/>
    <w:rsid w:val="009A226B"/>
    <w:rsid w:val="009A45ED"/>
    <w:rsid w:val="009B45A4"/>
    <w:rsid w:val="009C1C81"/>
    <w:rsid w:val="009E2159"/>
    <w:rsid w:val="009E3FA7"/>
    <w:rsid w:val="00A56AE8"/>
    <w:rsid w:val="00A87556"/>
    <w:rsid w:val="00AB0889"/>
    <w:rsid w:val="00AD0E24"/>
    <w:rsid w:val="00AE1389"/>
    <w:rsid w:val="00B27124"/>
    <w:rsid w:val="00B273E2"/>
    <w:rsid w:val="00B36ADF"/>
    <w:rsid w:val="00B52356"/>
    <w:rsid w:val="00B669C7"/>
    <w:rsid w:val="00B7342D"/>
    <w:rsid w:val="00B75C48"/>
    <w:rsid w:val="00BF0865"/>
    <w:rsid w:val="00BF1FB5"/>
    <w:rsid w:val="00C340B6"/>
    <w:rsid w:val="00CA30E2"/>
    <w:rsid w:val="00CA75C6"/>
    <w:rsid w:val="00CB2B44"/>
    <w:rsid w:val="00CB3F60"/>
    <w:rsid w:val="00CE022C"/>
    <w:rsid w:val="00CF4752"/>
    <w:rsid w:val="00CF5ECD"/>
    <w:rsid w:val="00D22B48"/>
    <w:rsid w:val="00D32905"/>
    <w:rsid w:val="00D4423C"/>
    <w:rsid w:val="00D505D2"/>
    <w:rsid w:val="00D55D61"/>
    <w:rsid w:val="00D76FE4"/>
    <w:rsid w:val="00D812A8"/>
    <w:rsid w:val="00DD5DE5"/>
    <w:rsid w:val="00E8113F"/>
    <w:rsid w:val="00EC1D32"/>
    <w:rsid w:val="00F1156E"/>
    <w:rsid w:val="00F13499"/>
    <w:rsid w:val="00F24B55"/>
    <w:rsid w:val="00F267AD"/>
    <w:rsid w:val="00FB1DC1"/>
    <w:rsid w:val="011E71B3"/>
    <w:rsid w:val="017C4FCE"/>
    <w:rsid w:val="025C611C"/>
    <w:rsid w:val="02AD40C2"/>
    <w:rsid w:val="03627BDC"/>
    <w:rsid w:val="036B4BAC"/>
    <w:rsid w:val="053E4AD8"/>
    <w:rsid w:val="05750484"/>
    <w:rsid w:val="0598072A"/>
    <w:rsid w:val="05D35B36"/>
    <w:rsid w:val="062622AE"/>
    <w:rsid w:val="07251039"/>
    <w:rsid w:val="077E0859"/>
    <w:rsid w:val="08B50215"/>
    <w:rsid w:val="0C7024BA"/>
    <w:rsid w:val="0D03265A"/>
    <w:rsid w:val="0E206FB9"/>
    <w:rsid w:val="0E5C09A6"/>
    <w:rsid w:val="0E7F4C74"/>
    <w:rsid w:val="0E9901FD"/>
    <w:rsid w:val="0F8B37D2"/>
    <w:rsid w:val="0FF508CC"/>
    <w:rsid w:val="103A68CC"/>
    <w:rsid w:val="10E75330"/>
    <w:rsid w:val="123D7DE3"/>
    <w:rsid w:val="125A505C"/>
    <w:rsid w:val="141C4392"/>
    <w:rsid w:val="157059C4"/>
    <w:rsid w:val="16870F86"/>
    <w:rsid w:val="18296908"/>
    <w:rsid w:val="191B3D31"/>
    <w:rsid w:val="19AB57AF"/>
    <w:rsid w:val="1B437095"/>
    <w:rsid w:val="1C083A60"/>
    <w:rsid w:val="1CAA1A51"/>
    <w:rsid w:val="1CC677A4"/>
    <w:rsid w:val="1D772EB6"/>
    <w:rsid w:val="1EE576F6"/>
    <w:rsid w:val="1F9565A9"/>
    <w:rsid w:val="21AD6E5C"/>
    <w:rsid w:val="21B26DD5"/>
    <w:rsid w:val="2205204B"/>
    <w:rsid w:val="230E2931"/>
    <w:rsid w:val="23A52A88"/>
    <w:rsid w:val="243B7D03"/>
    <w:rsid w:val="248B374A"/>
    <w:rsid w:val="249B1B36"/>
    <w:rsid w:val="249F6523"/>
    <w:rsid w:val="24D41DC9"/>
    <w:rsid w:val="259A0136"/>
    <w:rsid w:val="261F1E10"/>
    <w:rsid w:val="26396C9C"/>
    <w:rsid w:val="26947C6E"/>
    <w:rsid w:val="280C075E"/>
    <w:rsid w:val="296C7FD4"/>
    <w:rsid w:val="2A1B59C6"/>
    <w:rsid w:val="2AA1338C"/>
    <w:rsid w:val="2AD46F05"/>
    <w:rsid w:val="2C223F4A"/>
    <w:rsid w:val="2C5F5E15"/>
    <w:rsid w:val="2CCF5F3F"/>
    <w:rsid w:val="2D1E6790"/>
    <w:rsid w:val="2D283248"/>
    <w:rsid w:val="2E5E5E26"/>
    <w:rsid w:val="2E7D6172"/>
    <w:rsid w:val="30787C72"/>
    <w:rsid w:val="319D066B"/>
    <w:rsid w:val="31BF180D"/>
    <w:rsid w:val="32063FAA"/>
    <w:rsid w:val="328714F2"/>
    <w:rsid w:val="332501B4"/>
    <w:rsid w:val="333D0FC9"/>
    <w:rsid w:val="333E3DD9"/>
    <w:rsid w:val="334527C0"/>
    <w:rsid w:val="33B97522"/>
    <w:rsid w:val="33C53093"/>
    <w:rsid w:val="3433303A"/>
    <w:rsid w:val="353D6568"/>
    <w:rsid w:val="356F1CA7"/>
    <w:rsid w:val="370C2AAC"/>
    <w:rsid w:val="37C33B30"/>
    <w:rsid w:val="38B9471D"/>
    <w:rsid w:val="39505366"/>
    <w:rsid w:val="3BE8383D"/>
    <w:rsid w:val="3D770EFA"/>
    <w:rsid w:val="3E72567D"/>
    <w:rsid w:val="3EA70758"/>
    <w:rsid w:val="3EC27554"/>
    <w:rsid w:val="4075279B"/>
    <w:rsid w:val="40C74FFB"/>
    <w:rsid w:val="43F75567"/>
    <w:rsid w:val="465B6097"/>
    <w:rsid w:val="474A1F99"/>
    <w:rsid w:val="480D006B"/>
    <w:rsid w:val="488E6AB9"/>
    <w:rsid w:val="48F467BF"/>
    <w:rsid w:val="4BA97AC0"/>
    <w:rsid w:val="4C61588D"/>
    <w:rsid w:val="4E7E1120"/>
    <w:rsid w:val="4F1C492E"/>
    <w:rsid w:val="50042C9E"/>
    <w:rsid w:val="507D7987"/>
    <w:rsid w:val="50B41B9C"/>
    <w:rsid w:val="519B090F"/>
    <w:rsid w:val="51B07591"/>
    <w:rsid w:val="523939C4"/>
    <w:rsid w:val="542422BB"/>
    <w:rsid w:val="550D00FE"/>
    <w:rsid w:val="55203A36"/>
    <w:rsid w:val="554B00FD"/>
    <w:rsid w:val="56281938"/>
    <w:rsid w:val="57635DD2"/>
    <w:rsid w:val="578C11FB"/>
    <w:rsid w:val="57C34A1C"/>
    <w:rsid w:val="57EA5CED"/>
    <w:rsid w:val="57F31DCF"/>
    <w:rsid w:val="59652178"/>
    <w:rsid w:val="59D10996"/>
    <w:rsid w:val="59FF35B4"/>
    <w:rsid w:val="5F281F2A"/>
    <w:rsid w:val="5FC51103"/>
    <w:rsid w:val="5FE307E1"/>
    <w:rsid w:val="5FF251E0"/>
    <w:rsid w:val="61700B03"/>
    <w:rsid w:val="62293208"/>
    <w:rsid w:val="62A24694"/>
    <w:rsid w:val="634F47FF"/>
    <w:rsid w:val="64427540"/>
    <w:rsid w:val="65453F9D"/>
    <w:rsid w:val="670F695F"/>
    <w:rsid w:val="680D6313"/>
    <w:rsid w:val="6885395C"/>
    <w:rsid w:val="690724AD"/>
    <w:rsid w:val="69161EE4"/>
    <w:rsid w:val="69A64FB6"/>
    <w:rsid w:val="6BDA3B4D"/>
    <w:rsid w:val="6C666467"/>
    <w:rsid w:val="6C885DE3"/>
    <w:rsid w:val="6DA00D62"/>
    <w:rsid w:val="6FE2070A"/>
    <w:rsid w:val="70C1345C"/>
    <w:rsid w:val="71177AE5"/>
    <w:rsid w:val="71511D07"/>
    <w:rsid w:val="716B08DD"/>
    <w:rsid w:val="72233AED"/>
    <w:rsid w:val="72615106"/>
    <w:rsid w:val="73DB3199"/>
    <w:rsid w:val="756A1C4F"/>
    <w:rsid w:val="76E33AD7"/>
    <w:rsid w:val="77047DA3"/>
    <w:rsid w:val="78B66CF9"/>
    <w:rsid w:val="7A656CB6"/>
    <w:rsid w:val="7AE97ECF"/>
    <w:rsid w:val="7AF320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Autospacing="1" w:afterAutospacing="1"/>
      <w:jc w:val="left"/>
      <w:outlineLvl w:val="0"/>
    </w:pPr>
    <w:rPr>
      <w:rFonts w:ascii="宋体" w:hAnsi="宋体" w:cs="宋体"/>
      <w:b/>
      <w:bCs/>
      <w:kern w:val="36"/>
      <w:sz w:val="48"/>
      <w:szCs w:val="4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autoRedefine/>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autoRedefine/>
    <w:qFormat/>
    <w:uiPriority w:val="0"/>
  </w:style>
  <w:style w:type="character" w:customStyle="1" w:styleId="10">
    <w:name w:val="页眉 Char"/>
    <w:basedOn w:val="8"/>
    <w:link w:val="5"/>
    <w:qFormat/>
    <w:uiPriority w:val="0"/>
    <w:rPr>
      <w:rFonts w:eastAsia="宋体"/>
      <w:kern w:val="2"/>
      <w:sz w:val="18"/>
      <w:szCs w:val="18"/>
      <w:lang w:val="en-US" w:eastAsia="zh-CN" w:bidi="ar-SA"/>
    </w:rPr>
  </w:style>
  <w:style w:type="paragraph" w:customStyle="1" w:styleId="11">
    <w:name w:val="正文（缩进）"/>
    <w:basedOn w:val="1"/>
    <w:qFormat/>
    <w:uiPriority w:val="0"/>
    <w:pPr>
      <w:spacing w:line="594" w:lineRule="exact"/>
      <w:ind w:firstLine="482"/>
    </w:pPr>
    <w:rPr>
      <w:rFonts w:eastAsia="方正仿宋_GBK"/>
      <w:sz w:val="32"/>
    </w:rPr>
  </w:style>
  <w:style w:type="character" w:customStyle="1" w:styleId="12">
    <w:name w:val="font41"/>
    <w:basedOn w:val="8"/>
    <w:autoRedefine/>
    <w:qFormat/>
    <w:uiPriority w:val="0"/>
    <w:rPr>
      <w:rFonts w:hint="eastAsia" w:ascii="宋体" w:hAnsi="宋体" w:eastAsia="宋体" w:cs="宋体"/>
      <w:b/>
      <w:color w:val="000000"/>
      <w:sz w:val="20"/>
      <w:szCs w:val="20"/>
      <w:u w:val="none"/>
    </w:rPr>
  </w:style>
  <w:style w:type="character" w:customStyle="1" w:styleId="13">
    <w:name w:val="font11"/>
    <w:basedOn w:val="8"/>
    <w:qFormat/>
    <w:uiPriority w:val="0"/>
    <w:rPr>
      <w:rFonts w:hint="default" w:ascii="Times New Roman" w:hAnsi="Times New Roman" w:cs="Times New Roman"/>
      <w:b/>
      <w:color w:val="000000"/>
      <w:sz w:val="20"/>
      <w:szCs w:val="20"/>
      <w:u w:val="none"/>
    </w:rPr>
  </w:style>
  <w:style w:type="character" w:customStyle="1" w:styleId="14">
    <w:name w:val="font21"/>
    <w:basedOn w:val="8"/>
    <w:qFormat/>
    <w:uiPriority w:val="0"/>
    <w:rPr>
      <w:rFonts w:hint="default" w:ascii="Times New Roman" w:hAnsi="Times New Roman" w:cs="Times New Roman"/>
      <w:color w:val="000000"/>
      <w:sz w:val="20"/>
      <w:szCs w:val="20"/>
      <w:u w:val="none"/>
    </w:rPr>
  </w:style>
  <w:style w:type="character" w:customStyle="1" w:styleId="15">
    <w:name w:val="font3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40</Pages>
  <Words>2922</Words>
  <Characters>16660</Characters>
  <Lines>138</Lines>
  <Paragraphs>39</Paragraphs>
  <TotalTime>18</TotalTime>
  <ScaleCrop>false</ScaleCrop>
  <LinksUpToDate>false</LinksUpToDate>
  <CharactersWithSpaces>19543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2020-01-08T05:01:00Z</dcterms:created>
  <dc:creator>user</dc:creator>
  <cp:lastModifiedBy>Lucy</cp:lastModifiedBy>
  <cp:lastPrinted>2021-03-17T11:32:00Z</cp:lastPrinted>
  <dcterms:modified xsi:type="dcterms:W3CDTF">2023-12-08T09:40:55Z</dcterms:modified>
  <dc:title>大足区古龙镇第二届人民代表大会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330914963_cloud</vt:lpwstr>
  </property>
  <property fmtid="{D5CDD505-2E9C-101B-9397-08002B2CF9AE}" pid="4" name="ICV">
    <vt:lpwstr>10F36C17B8204F429977E785A799DDC2</vt:lpwstr>
  </property>
</Properties>
</file>