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w:t>
      </w:r>
      <w:r>
        <w:rPr>
          <w:rFonts w:hint="eastAsia" w:ascii="方正小标宋_GBK" w:hAnsi="方正小标宋_GBK" w:eastAsia="方正小标宋_GBK" w:cs="方正小标宋_GBK"/>
          <w:sz w:val="36"/>
          <w:szCs w:val="36"/>
          <w:lang w:val="en-US" w:eastAsia="zh-CN"/>
        </w:rPr>
        <w:t>20</w:t>
      </w:r>
      <w:r>
        <w:rPr>
          <w:rFonts w:hint="eastAsia" w:ascii="方正小标宋_GBK" w:hAnsi="方正小标宋_GBK" w:eastAsia="方正小标宋_GBK" w:cs="方正小标宋_GBK"/>
          <w:sz w:val="36"/>
          <w:szCs w:val="36"/>
        </w:rPr>
        <w:t>年大足区新增政府债券资金使用情况说明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2020年全区地方政府债券转贷收入26.26亿元，其中：新增地方政府债券17亿元、再融资债券9.26亿元。2020年末，全区地方政府债务限额115.6亿元（含一般债务限额54.8亿元，专项债务限额60.8亿元），地方政府债务余额115.51亿元（含一般债务余额54.72亿元，专项债务余额60.79亿元），政府债务余额低于上级财政下达的政府债务限额，政府债务风险总体可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Times New Roman" w:hAnsi="Times New Roman" w:eastAsia="方正小标宋_GBK" w:cs="Times New Roman"/>
          <w:sz w:val="28"/>
          <w:szCs w:val="28"/>
          <w:lang w:val="en-US" w:eastAsia="zh-CN"/>
        </w:rPr>
      </w:pPr>
      <w:r>
        <w:rPr>
          <w:rFonts w:hint="eastAsia" w:ascii="Times New Roman" w:hAnsi="Times New Roman" w:eastAsia="方正小标宋_GBK" w:cs="Times New Roman"/>
          <w:sz w:val="28"/>
          <w:szCs w:val="28"/>
          <w:lang w:val="en-US" w:eastAsia="zh-CN"/>
        </w:rPr>
        <w:t>2020年大足区新增政府一般债券安排情况表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方正小标宋_GBK" w:cs="Times New Roman"/>
          <w:sz w:val="28"/>
          <w:szCs w:val="28"/>
          <w:lang w:val="en-US" w:eastAsia="zh-CN"/>
        </w:rPr>
      </w:pPr>
      <w:r>
        <w:rPr>
          <w:rFonts w:hint="default" w:ascii="Times New Roman" w:hAnsi="Times New Roman" w:eastAsia="方正仿宋_GBK" w:cs="Times New Roman"/>
          <w:b w:val="0"/>
          <w:bCs w:val="0"/>
          <w:i w:val="0"/>
          <w:snapToGrid/>
          <w:color w:val="000000"/>
          <w:sz w:val="24"/>
          <w:szCs w:val="24"/>
          <w:u w:val="none"/>
          <w:shd w:val="clear" w:color="auto" w:fill="FFFFFF"/>
          <w:lang w:eastAsia="zh-CN"/>
        </w:rPr>
        <w:t>单位：万元</w:t>
      </w:r>
    </w:p>
    <w:tbl>
      <w:tblPr>
        <w:tblStyle w:val="3"/>
        <w:tblpPr w:leftFromText="180" w:rightFromText="180" w:vertAnchor="text" w:horzAnchor="page" w:tblpX="874" w:tblpY="496"/>
        <w:tblOverlap w:val="never"/>
        <w:tblW w:w="6312" w:type="pct"/>
        <w:tblInd w:w="0" w:type="dxa"/>
        <w:shd w:val="clear" w:color="auto" w:fill="auto"/>
        <w:tblLayout w:type="fixed"/>
        <w:tblCellMar>
          <w:top w:w="0" w:type="dxa"/>
          <w:left w:w="0" w:type="dxa"/>
          <w:bottom w:w="0" w:type="dxa"/>
          <w:right w:w="0" w:type="dxa"/>
        </w:tblCellMar>
      </w:tblPr>
      <w:tblGrid>
        <w:gridCol w:w="428"/>
        <w:gridCol w:w="1862"/>
        <w:gridCol w:w="2880"/>
        <w:gridCol w:w="1260"/>
        <w:gridCol w:w="1065"/>
        <w:gridCol w:w="930"/>
        <w:gridCol w:w="1274"/>
        <w:gridCol w:w="825"/>
      </w:tblGrid>
      <w:tr>
        <w:tblPrEx>
          <w:shd w:val="clear" w:color="auto" w:fill="auto"/>
          <w:tblCellMar>
            <w:top w:w="0" w:type="dxa"/>
            <w:left w:w="0" w:type="dxa"/>
            <w:bottom w:w="0" w:type="dxa"/>
            <w:right w:w="0" w:type="dxa"/>
          </w:tblCellMar>
        </w:tblPrEx>
        <w:trPr>
          <w:trHeight w:val="270"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项目名称</w:t>
            </w:r>
          </w:p>
        </w:tc>
        <w:tc>
          <w:tcPr>
            <w:tcW w:w="13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预算单位</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债券类型</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债券批次</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投向</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债券发行额度</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27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27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75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大足区市民中心建设工程</w:t>
            </w:r>
          </w:p>
        </w:tc>
        <w:tc>
          <w:tcPr>
            <w:tcW w:w="1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海棠新城管委会</w:t>
            </w:r>
          </w:p>
        </w:tc>
        <w:tc>
          <w:tcPr>
            <w:tcW w:w="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一般债券</w:t>
            </w:r>
          </w:p>
        </w:tc>
        <w:tc>
          <w:tcPr>
            <w:tcW w:w="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第一批</w:t>
            </w:r>
          </w:p>
        </w:tc>
        <w:tc>
          <w:tcPr>
            <w:tcW w:w="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其他</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10,000 </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5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体育运动中心</w:t>
            </w:r>
          </w:p>
        </w:tc>
        <w:tc>
          <w:tcPr>
            <w:tcW w:w="1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文化和旅游发展委员会</w:t>
            </w:r>
          </w:p>
        </w:tc>
        <w:tc>
          <w:tcPr>
            <w:tcW w:w="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一般债券</w:t>
            </w:r>
          </w:p>
        </w:tc>
        <w:tc>
          <w:tcPr>
            <w:tcW w:w="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第一批</w:t>
            </w:r>
          </w:p>
        </w:tc>
        <w:tc>
          <w:tcPr>
            <w:tcW w:w="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体育</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10,000 </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400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合计</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20,000 </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bl>
    <w:p>
      <w:pPr>
        <w:pStyle w:val="2"/>
        <w:rPr>
          <w:rFonts w:hint="default"/>
          <w:lang w:val="en-US" w:eastAsia="zh-CN"/>
        </w:rPr>
      </w:pPr>
    </w:p>
    <w:p>
      <w:pPr>
        <w:pStyle w:val="2"/>
        <w:rPr>
          <w:rFonts w:hint="default"/>
          <w:lang w:val="en-US" w:eastAsia="zh-CN"/>
        </w:rPr>
      </w:pPr>
    </w:p>
    <w:p>
      <w:pPr>
        <w:jc w:val="center"/>
        <w:rPr>
          <w:rFonts w:hint="eastAsia" w:ascii="Times New Roman" w:hAnsi="Times New Roman" w:eastAsia="方正小标宋_GBK" w:cs="Times New Roman"/>
          <w:sz w:val="28"/>
          <w:szCs w:val="28"/>
          <w:lang w:val="en-US" w:eastAsia="zh-CN"/>
        </w:rPr>
      </w:pPr>
    </w:p>
    <w:p>
      <w:pPr>
        <w:jc w:val="center"/>
        <w:rPr>
          <w:rFonts w:hint="eastAsia" w:ascii="Times New Roman" w:hAnsi="Times New Roman" w:eastAsia="方正小标宋_GBK" w:cs="Times New Roman"/>
          <w:sz w:val="28"/>
          <w:szCs w:val="28"/>
          <w:lang w:val="en-US" w:eastAsia="zh-CN"/>
        </w:rPr>
      </w:pPr>
    </w:p>
    <w:p>
      <w:pPr>
        <w:jc w:val="center"/>
        <w:rPr>
          <w:rFonts w:hint="eastAsia" w:ascii="Times New Roman" w:hAnsi="Times New Roman" w:eastAsia="方正小标宋_GBK" w:cs="Times New Roman"/>
          <w:sz w:val="28"/>
          <w:szCs w:val="28"/>
          <w:lang w:val="en-US" w:eastAsia="zh-CN"/>
        </w:rPr>
      </w:pPr>
    </w:p>
    <w:p>
      <w:pPr>
        <w:jc w:val="center"/>
        <w:rPr>
          <w:rFonts w:hint="eastAsia" w:ascii="Times New Roman" w:hAnsi="Times New Roman" w:eastAsia="方正小标宋_GBK" w:cs="Times New Roman"/>
          <w:sz w:val="28"/>
          <w:szCs w:val="28"/>
          <w:lang w:val="en-US" w:eastAsia="zh-CN"/>
        </w:rPr>
      </w:pPr>
    </w:p>
    <w:p>
      <w:pPr>
        <w:jc w:val="center"/>
        <w:rPr>
          <w:rFonts w:hint="eastAsia" w:ascii="Times New Roman" w:hAnsi="Times New Roman" w:eastAsia="方正小标宋_GBK" w:cs="Times New Roman"/>
          <w:sz w:val="28"/>
          <w:szCs w:val="28"/>
          <w:lang w:val="en-US" w:eastAsia="zh-CN"/>
        </w:rPr>
      </w:pPr>
    </w:p>
    <w:p>
      <w:pPr>
        <w:jc w:val="center"/>
        <w:rPr>
          <w:rFonts w:hint="eastAsia" w:ascii="Times New Roman" w:hAnsi="Times New Roman" w:eastAsia="方正小标宋_GBK" w:cs="Times New Roman"/>
          <w:sz w:val="28"/>
          <w:szCs w:val="28"/>
          <w:lang w:val="en-US" w:eastAsia="zh-CN"/>
        </w:rPr>
      </w:pPr>
      <w:r>
        <w:rPr>
          <w:rFonts w:hint="eastAsia" w:ascii="Times New Roman" w:hAnsi="Times New Roman" w:eastAsia="方正小标宋_GBK" w:cs="Times New Roman"/>
          <w:sz w:val="28"/>
          <w:szCs w:val="28"/>
          <w:lang w:val="en-US" w:eastAsia="zh-CN"/>
        </w:rPr>
        <w:t>2020年大足区新增政府专项债券安排情况表</w:t>
      </w:r>
    </w:p>
    <w:p>
      <w:pPr>
        <w:keepNext w:val="0"/>
        <w:keepLines w:val="0"/>
        <w:pageBreakBefore w:val="0"/>
        <w:widowControl w:val="0"/>
        <w:kinsoku/>
        <w:wordWrap/>
        <w:overflowPunct/>
        <w:topLinePunct w:val="0"/>
        <w:autoSpaceDE/>
        <w:autoSpaceDN/>
        <w:bidi w:val="0"/>
        <w:adjustRightInd/>
        <w:snapToGrid/>
        <w:spacing w:line="100" w:lineRule="atLeast"/>
        <w:jc w:val="right"/>
        <w:textAlignment w:val="auto"/>
        <w:rPr>
          <w:rFonts w:hint="eastAsia" w:ascii="Times New Roman" w:hAnsi="Times New Roman" w:eastAsia="方正小标宋_GBK" w:cs="Times New Roman"/>
          <w:sz w:val="28"/>
          <w:szCs w:val="28"/>
          <w:lang w:val="en-US" w:eastAsia="zh-CN"/>
        </w:rPr>
      </w:pPr>
      <w:bookmarkStart w:id="0" w:name="_GoBack"/>
      <w:bookmarkEnd w:id="0"/>
      <w:r>
        <w:rPr>
          <w:rFonts w:hint="eastAsia" w:ascii="方正仿宋_GBK" w:hAnsi="方正仿宋_GBK" w:eastAsia="方正仿宋_GBK" w:cs="方正仿宋_GBK"/>
          <w:sz w:val="24"/>
          <w:szCs w:val="24"/>
          <w:lang w:val="en-US" w:eastAsia="zh-CN"/>
        </w:rPr>
        <w:t>单元：万元</w:t>
      </w:r>
    </w:p>
    <w:tbl>
      <w:tblPr>
        <w:tblStyle w:val="3"/>
        <w:tblpPr w:leftFromText="180" w:rightFromText="180" w:vertAnchor="text" w:horzAnchor="page" w:tblpX="844" w:tblpY="1447"/>
        <w:tblOverlap w:val="never"/>
        <w:tblW w:w="6323" w:type="pct"/>
        <w:tblInd w:w="0" w:type="dxa"/>
        <w:shd w:val="clear" w:color="auto" w:fill="auto"/>
        <w:tblLayout w:type="autofit"/>
        <w:tblCellMar>
          <w:top w:w="0" w:type="dxa"/>
          <w:left w:w="0" w:type="dxa"/>
          <w:bottom w:w="0" w:type="dxa"/>
          <w:right w:w="0" w:type="dxa"/>
        </w:tblCellMar>
      </w:tblPr>
      <w:tblGrid>
        <w:gridCol w:w="732"/>
        <w:gridCol w:w="2387"/>
        <w:gridCol w:w="1565"/>
        <w:gridCol w:w="941"/>
        <w:gridCol w:w="1227"/>
        <w:gridCol w:w="1611"/>
        <w:gridCol w:w="1107"/>
        <w:gridCol w:w="972"/>
      </w:tblGrid>
      <w:tr>
        <w:tblPrEx>
          <w:shd w:val="clear" w:color="auto" w:fill="auto"/>
          <w:tblCellMar>
            <w:top w:w="0" w:type="dxa"/>
            <w:left w:w="0" w:type="dxa"/>
            <w:bottom w:w="0" w:type="dxa"/>
            <w:right w:w="0" w:type="dxa"/>
          </w:tblCellMar>
        </w:tblPrEx>
        <w:trPr>
          <w:trHeight w:val="525" w:hRule="atLeast"/>
        </w:trPr>
        <w:tc>
          <w:tcPr>
            <w:tcW w:w="34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1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74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预算单位</w:t>
            </w:r>
          </w:p>
        </w:tc>
        <w:tc>
          <w:tcPr>
            <w:tcW w:w="44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债券类型</w:t>
            </w:r>
          </w:p>
        </w:tc>
        <w:tc>
          <w:tcPr>
            <w:tcW w:w="58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债券批次</w:t>
            </w:r>
          </w:p>
        </w:tc>
        <w:tc>
          <w:tcPr>
            <w:tcW w:w="76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投向</w:t>
            </w:r>
          </w:p>
        </w:tc>
        <w:tc>
          <w:tcPr>
            <w:tcW w:w="52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债券发行额度</w:t>
            </w:r>
          </w:p>
        </w:tc>
        <w:tc>
          <w:tcPr>
            <w:tcW w:w="4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70" w:hRule="atLeast"/>
        </w:trPr>
        <w:tc>
          <w:tcPr>
            <w:tcW w:w="4013"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150,000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425" w:hRule="atLeast"/>
        </w:trPr>
        <w:tc>
          <w:tcPr>
            <w:tcW w:w="3249" w:type="pct"/>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第一批小计（提前下达）</w:t>
            </w:r>
          </w:p>
        </w:tc>
        <w:tc>
          <w:tcPr>
            <w:tcW w:w="76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6,000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重庆市大足区胜天湖水库扩建工程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重庆市大足区水利局</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5" w:hRule="atLeast"/>
        </w:trPr>
        <w:tc>
          <w:tcPr>
            <w:tcW w:w="3249" w:type="pct"/>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第二批小计</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大足区人民医院业务综合楼</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重庆市大足区卫生健康委员会</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医疗卫生</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大足工业园区标准化厂房（五期）工程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重庆市大足区工业园区管理委员会</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市政和产业园区基础设施</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大足区老城区综合管网及入河排污口治理工程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重庆市大足区城市管理局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3249" w:type="pct"/>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第三批小计</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大足区妇幼保健院住院部大楼建设工程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重庆市大足区卫生健康委员会</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医疗卫生</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重庆市大足区中医院综合楼建设工程医疗服务配套设施项目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重庆市大足区卫生健康委员会</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医疗卫生</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大足高新区幼儿园新建工程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重庆市大足区教育委员会</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学前教育</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大足区龙水镇中心幼儿园教学用房装饰工程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重庆市大足区教育委员会</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学前教育</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世界文化遗产大足石刻游客服务中心</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大足石刻研究院</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文化旅游</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13,807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重汽博览馆建设工程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文化旅游</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大足石刻文创园游客服务中心（可变方舱医院）</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重庆市大足区三驱镇人民政府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文化旅游</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大足区中水回用工程城区段（一期））</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重庆市大足区水利局</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5,547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重庆市大足区麻柳冲水库工程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重庆市大足区水利局</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大足高新区汽摩产业孵化园</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重庆大足高新技术产业开发区管理委员会</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市政和产业园区基础设施</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大足区治丧服务中心</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重庆市大足区民政局</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其他社会事业</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重庆市大足区残疾人托养中心</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区残联</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其他社会事业</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重庆市大足区龙岗街道老年养护院</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区残联</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其他社会事业</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2,396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大足区老年养护中心</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三驱镇人民政府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其他社会事业</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重庆市大足区香国公园项目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（土储中心）</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财政局代列</w:t>
            </w: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大足区宝兴镇红桥社区老旧小区改造及配套基础设施工程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大足区宝兴镇人民政府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大足区棠香街道东关社区老旧小区配套基础设施改造项目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棠香街道办事处</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920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智凤街道污水管网综合整治工程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智凤街道办事处</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大足区龙岗街道北禅社区老旧小区配套基础设施改造项目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龙岗街道办事处</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龙岗街道翠屏社区老旧小区改造配套基础设施改造项目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龙岗街道办事处</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大足区龙水镇古南社区老旧小区改造及配套基础设施工程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龙水镇人民政府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大足区龙水镇幸光社区老旧小区改造及配套基础设施工程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龙水镇人民政府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万古镇石香万兴社区老旧小区配套基础设施改造项目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万古镇人民政府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1,560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大足区三驱镇老旧小区配套基础设施改造项目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三驱镇人民政府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0" w:hRule="atLeast"/>
        </w:trPr>
        <w:tc>
          <w:tcPr>
            <w:tcW w:w="3249" w:type="pct"/>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第四批小计</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重庆市大足区第二人民医院迁建项目一期工程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重庆市大足区卫生健康委员会</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医疗卫生</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双桥实验幼儿园扩建工程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学前教育</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大足区镇、村自来水厂废水治理工程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重庆市大足区水利局</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大足区三合、金星片区城中村改造及配套基础设施项目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重庆市大足区泰禾土地房屋经营管理有限公司</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棚户区改造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财政局代列</w:t>
            </w: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大足区水峰、五星、和平片区城中村改造及配套基础设施项目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重庆市大足区泰禾土地房屋经营管理有限公司</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棚户区改造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财政局代列</w:t>
            </w: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大足区龙滩子街道社区服务中心及周边基础设施改造工程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龙滩子街道办事处</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大足区邮亭镇老旧小区综合改造工程和大足区邮亭镇火车站、长河社区服务中心及周边道路等基础设施改造工程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邮亭镇人民政府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大足区双路街道双龙西路社区老旧小区综合改造工程和大足区双路街道双龙西路片区雨污管网分流及基础设施改造工程</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双路街道办事处</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大足区棠香街道海棠社区老旧小区配套基础设施改造项目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棠香街道办事处</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城镇老旧小区改造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 </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E3F84"/>
    <w:rsid w:val="1A9C7D45"/>
    <w:rsid w:val="20F6527D"/>
    <w:rsid w:val="224C6CDF"/>
    <w:rsid w:val="25397A02"/>
    <w:rsid w:val="34AA1283"/>
    <w:rsid w:val="35023353"/>
    <w:rsid w:val="38C23D23"/>
    <w:rsid w:val="3FE76D3A"/>
    <w:rsid w:val="453F3509"/>
    <w:rsid w:val="455A4956"/>
    <w:rsid w:val="4CEC60F9"/>
    <w:rsid w:val="4EB32991"/>
    <w:rsid w:val="53142392"/>
    <w:rsid w:val="532005FE"/>
    <w:rsid w:val="54B10F92"/>
    <w:rsid w:val="553326E1"/>
    <w:rsid w:val="57DB3DE1"/>
    <w:rsid w:val="5AFD752F"/>
    <w:rsid w:val="5C3D6B2A"/>
    <w:rsid w:val="608F1F69"/>
    <w:rsid w:val="6292473B"/>
    <w:rsid w:val="6C510DA1"/>
    <w:rsid w:val="6EC1594A"/>
    <w:rsid w:val="726358E5"/>
    <w:rsid w:val="786C3D48"/>
    <w:rsid w:val="7B20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kern w:val="2"/>
      <w:sz w:val="21"/>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2020-03-24T03:03:00Z</dcterms:created>
  <dc:creator>Acer</dc:creator>
  <cp:lastModifiedBy>Acer</cp:lastModifiedBy>
  <dcterms:modified xsi:type="dcterms:W3CDTF">2021-02-20T01:41:58Z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