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pacing w:val="-2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pacing w:val="-2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pacing w:val="-2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大足农委文〔2024〕68号           签发人：</w:t>
      </w:r>
      <w:bookmarkStart w:id="0" w:name="_GoBack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黄克成  欧国枫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  <w:t>重庆市大足区农业农村委员会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spacing w:val="4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48"/>
          <w:sz w:val="44"/>
          <w:szCs w:val="44"/>
        </w:rPr>
        <w:t>重庆市大足区财政局</w:t>
      </w:r>
    </w:p>
    <w:p>
      <w:pPr>
        <w:spacing w:line="62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关于202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动物疫病强制免疫“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先打后补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政策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养殖场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备案的请示</w:t>
      </w:r>
    </w:p>
    <w:p>
      <w:pPr>
        <w:pStyle w:val="7"/>
        <w:spacing w:line="540" w:lineRule="exact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pStyle w:val="7"/>
        <w:spacing w:line="5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市农业农村委：</w:t>
      </w:r>
    </w:p>
    <w:p>
      <w:pPr>
        <w:pStyle w:val="7"/>
        <w:spacing w:line="54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根据《重庆市农业农村委员会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重庆市财政局关于调整完善动物疫病防控支持政策的通知》（渝农规〔2021〕3号）和《重庆市农业农村委员会办公室关于全面推进动物疫病强制免疫病种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先打后补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有关工作的通知》（渝农办发〔2022〕94号）等文件要求，结合我区实际情况和规模养殖场业主意愿，严格按照要求把关审核，202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年我区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家规模养殖场符合申报动物防疫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先打后补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的政策，现将有关情况请示如下：</w:t>
      </w:r>
    </w:p>
    <w:p>
      <w:pPr>
        <w:pStyle w:val="7"/>
        <w:spacing w:line="54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一、申报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基本情况</w:t>
      </w:r>
    </w:p>
    <w:p>
      <w:pPr>
        <w:pStyle w:val="7"/>
        <w:spacing w:line="540" w:lineRule="exact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按照有关文件要求，符合相关申报条件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家规模养殖场，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（养猪场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4家、鸡场2家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）分别是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重庆市双桥经开区谭弦养殖农民专业合作社、重庆市双桥经开区茂必梁养猪场、重庆市双桥经开区咯咯咯蛋鸡养殖场、重庆牧文农业有限公司、重庆市大足区大铭农牧发展有限公司以及重庆正东猪养殖有限公司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申报实施动物防疫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先打后补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政策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6家企业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已完整提交动物疫病强制免疫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先打后补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政策申报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相关材料，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经审核材料符合要求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。</w:t>
      </w:r>
    </w:p>
    <w:p>
      <w:pPr>
        <w:pStyle w:val="7"/>
        <w:spacing w:line="54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eastAsia="zh-CN"/>
        </w:rPr>
        <w:t>规范审核审查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监督管理。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区农业农村委将加强对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申报“先打后补”政策的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规模养殖场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加大监督管理力度，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督促镇街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主体责任，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对实施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先打后补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政策的养殖场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日常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监督管理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特别是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养殖场饲养数量、免疫剂量和次数等方面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的监管，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指导养殖场订购疫苗</w:t>
      </w:r>
      <w:r>
        <w:rPr>
          <w:rFonts w:hint="default" w:ascii="Times New Roman" w:hAnsi="Times New Roman" w:eastAsia="方正仿宋_GBK" w:cs="Times New Roman"/>
          <w:kern w:val="0"/>
          <w:sz w:val="32"/>
        </w:rPr>
        <w:t>做到</w:t>
      </w:r>
      <w:r>
        <w:rPr>
          <w:rFonts w:hint="default" w:ascii="Times New Roman" w:hAnsi="Times New Roman" w:eastAsia="方正仿宋_GBK" w:cs="Times New Roman"/>
          <w:kern w:val="0"/>
          <w:sz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</w:rPr>
        <w:t>科学计划，合理安排、程序免疫</w:t>
      </w:r>
      <w:r>
        <w:rPr>
          <w:rFonts w:hint="default" w:ascii="Times New Roman" w:hAnsi="Times New Roman" w:eastAsia="方正仿宋_GBK" w:cs="Times New Roman"/>
          <w:kern w:val="0"/>
          <w:sz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</w:rPr>
        <w:t>，减少损失和浪费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（二）严格审核把关。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各镇街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加强对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企业申报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档案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资料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的审核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，区农业农村委与财政部门全力配合，加强经费使用监督管理，确保资金专款专用，有效提高资金的使用效率。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严厉杜绝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套取国家财政资金的情况发生，一经发现弄虚作假，严肃追究相关责任，并将其纳入财政涉农项目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黑名单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pStyle w:val="7"/>
        <w:spacing w:line="54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（三）加大应急储备。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为全面做好防疫工作的有效实施，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有力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推动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先打后补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政策，应对突发应急疫情等情况的发生，区农业农村委将储备一定数量的疫苗，用于突发应急方面的紧急免疫疫苗，避免发生重大动物疫情风险。</w:t>
      </w:r>
    </w:p>
    <w:p>
      <w:pPr>
        <w:pStyle w:val="7"/>
        <w:spacing w:line="540" w:lineRule="exact"/>
        <w:ind w:firstLine="48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当否，请批示。</w:t>
      </w:r>
    </w:p>
    <w:p>
      <w:pPr>
        <w:pStyle w:val="7"/>
        <w:spacing w:line="540" w:lineRule="exact"/>
        <w:ind w:left="1757" w:leftChars="227" w:hanging="1280" w:hangingChars="4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spacing w:line="540" w:lineRule="exact"/>
        <w:ind w:left="1757" w:leftChars="227" w:hanging="1280" w:hangingChars="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1.重庆市实行动物疫病强制免疫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先打后补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政策申请核实详情表</w:t>
      </w:r>
    </w:p>
    <w:p>
      <w:pPr>
        <w:numPr>
          <w:ilvl w:val="0"/>
          <w:numId w:val="0"/>
        </w:numPr>
        <w:spacing w:line="600" w:lineRule="exact"/>
        <w:ind w:firstLine="1600" w:firstLineChars="5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重庆市实行动物疫病强制免疫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先打后补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政策</w:t>
      </w:r>
    </w:p>
    <w:p>
      <w:pPr>
        <w:numPr>
          <w:ilvl w:val="0"/>
          <w:numId w:val="0"/>
        </w:numPr>
        <w:spacing w:line="600" w:lineRule="exact"/>
        <w:ind w:firstLine="1600" w:firstLineChars="5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审核汇总表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1"/>
          <w:kern w:val="0"/>
          <w:sz w:val="32"/>
          <w:szCs w:val="32"/>
        </w:rPr>
        <w:t>重庆市大足区农业农村委</w:t>
      </w:r>
      <w:r>
        <w:rPr>
          <w:rFonts w:hint="default" w:ascii="Times New Roman" w:hAnsi="Times New Roman" w:eastAsia="方正仿宋_GBK" w:cs="Times New Roman"/>
          <w:spacing w:val="-11"/>
          <w:kern w:val="0"/>
          <w:sz w:val="32"/>
          <w:szCs w:val="32"/>
        </w:rPr>
        <w:t>员会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重庆市大足区财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局</w:t>
      </w:r>
    </w:p>
    <w:p>
      <w:pPr>
        <w:spacing w:line="600" w:lineRule="exact"/>
        <w:ind w:firstLine="320" w:firstLineChars="1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李光友；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联系电话：43721669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（此件不予公开）</w: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0" w:num="1"/>
          <w:rtlGutter w:val="0"/>
          <w:docGrid w:type="lines" w:linePitch="325" w:charSpace="0"/>
        </w:sectPr>
      </w:pPr>
    </w:p>
    <w:tbl>
      <w:tblPr>
        <w:tblStyle w:val="5"/>
        <w:tblW w:w="15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1052"/>
        <w:gridCol w:w="2959"/>
        <w:gridCol w:w="1010"/>
        <w:gridCol w:w="1460"/>
        <w:gridCol w:w="2375"/>
        <w:gridCol w:w="1812"/>
        <w:gridCol w:w="913"/>
        <w:gridCol w:w="995"/>
        <w:gridCol w:w="786"/>
        <w:gridCol w:w="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5219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5219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重庆市大足区实行动物疫病强制免疫“先打后补”政策申请核实详情表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219" w:type="dxa"/>
            <w:gridSpan w:val="11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                                             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 xml:space="preserve"> 万头/万只/万羽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场主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动物防疫条件合格证编码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动物种类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上年度种畜禽存栏量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上年度畜禽出栏量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本年度预计畜禽出栏量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邮亭镇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重庆市双桥经开区谭弦养殖农民专业合作社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谭祖才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18996293525</w:t>
            </w:r>
          </w:p>
        </w:tc>
        <w:tc>
          <w:tcPr>
            <w:tcW w:w="2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邮亭镇天堂村7组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val="en-US" w:eastAsia="zh-CN"/>
              </w:rPr>
              <w:t>500111101170004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0.1538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邮亭镇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重庆市双桥经开区茂必梁养猪场</w:t>
            </w:r>
          </w:p>
        </w:tc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李清洪</w:t>
            </w:r>
          </w:p>
        </w:tc>
        <w:tc>
          <w:tcPr>
            <w:tcW w:w="1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15023303825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邮亭镇友谊村10组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val="en-US" w:eastAsia="zh-CN"/>
              </w:rPr>
              <w:t>500111101200007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0.1986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邮亭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重庆市双桥经开区咯咯咯蛋鸡养殖场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蒋文珍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13271819993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东胜村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500111104230002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蛋鸡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val="en-US" w:eastAsia="zh-CN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石马镇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重庆牧文农业有限公司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武文川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13883667666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石马镇红灯社区四组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val="en-US" w:eastAsia="zh-CN"/>
              </w:rPr>
              <w:t>500111130012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石马镇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重庆市大足区大铭农牧发展有限公司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赵辉强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13883915576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石马镇胜利村3组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val="en-US" w:eastAsia="zh-CN"/>
              </w:rPr>
              <w:t>50011103180013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青年蛋鸡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19.5968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石马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重庆正东猪养殖有限公司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肖志昂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15923970200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白光村10组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500111101200001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0.0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val="en-US" w:eastAsia="zh-CN"/>
              </w:rPr>
              <w:t>276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val="en-US" w:eastAsia="zh-CN"/>
              </w:rPr>
              <w:t>.5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32" w:charSpace="0"/>
        </w:sectPr>
      </w:pPr>
    </w:p>
    <w:tbl>
      <w:tblPr>
        <w:tblStyle w:val="5"/>
        <w:tblW w:w="103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619"/>
        <w:gridCol w:w="1590"/>
        <w:gridCol w:w="1515"/>
        <w:gridCol w:w="1725"/>
        <w:gridCol w:w="1215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9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039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重庆市实行动物疫病强制免疫“先打后补”政策审核汇总表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392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填报单位：重庆市大足区农业农村委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万头/万只/万羽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动物种类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养殖场数量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上年度种畜禽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存栏量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上年度畜禽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出栏量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本年度预计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畜禽出栏量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1.2812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青年蛋鸡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19.5968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262626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0.3524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21.5804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593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区县兽医主管部门审核意见（签章）：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    年   月   日   </w:t>
            </w:r>
          </w:p>
        </w:tc>
        <w:tc>
          <w:tcPr>
            <w:tcW w:w="44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   区县财政部门审核意见（签章）：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   年   月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59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59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3" w:hRule="atLeast"/>
          <w:jc w:val="center"/>
        </w:trPr>
        <w:tc>
          <w:tcPr>
            <w:tcW w:w="59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39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联系人：李芳        联系电话： 43721669      填报人：李光友     填报日期： 202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4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年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2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月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28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1039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备注：1、此表一式两份，由区县兽医主管部门填写，一份由区县兽医主管部门留存，一份报市级备案。2、此表按乡镇和动物种类分别汇总，表格不够自行添加。</w:t>
            </w:r>
          </w:p>
        </w:tc>
      </w:tr>
    </w:tbl>
    <w:p>
      <w:pPr>
        <w:pStyle w:val="3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（此页无正文）</w:t>
      </w: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3"/>
        <w:pBdr>
          <w:top w:val="single" w:color="auto" w:sz="4" w:space="0"/>
          <w:bottom w:val="none" w:color="auto" w:sz="0" w:space="0"/>
        </w:pBdr>
        <w:ind w:left="0" w:leftChars="0" w:firstLine="0" w:firstLineChars="0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抄送：市疫控中心。</w:t>
      </w:r>
    </w:p>
    <w:p>
      <w:pPr>
        <w:pBdr>
          <w:top w:val="single" w:color="auto" w:sz="4" w:space="0"/>
          <w:bottom w:val="single" w:color="auto" w:sz="4" w:space="0"/>
        </w:pBd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重庆市大足区农业农村委员会办公室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2024年3月5日印发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  <w:embedRegular r:id="rId1" w:fontKey="{40ED87B0-0BD9-444F-BF98-D7DC2F934EF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DFC5A02-DF7C-478D-B382-A4C6F0427DD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6751894-5AEC-444B-BE9C-BCE43DC22979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ED692C23-A7D3-422A-A68E-FFB7DD0A760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F4ED358-CB83-4F25-BBBD-382685FE2B7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FA641FC7-7DA8-40E0-BAB9-5D17438AEF82}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Mzc1ZjYxNDBlMDJlZDgzZjc0YWJkMjQ1MzFkYzUifQ=="/>
  </w:docVars>
  <w:rsids>
    <w:rsidRoot w:val="067567D3"/>
    <w:rsid w:val="0236794F"/>
    <w:rsid w:val="067567D3"/>
    <w:rsid w:val="25CB409C"/>
    <w:rsid w:val="3F682D95"/>
    <w:rsid w:val="66A3719F"/>
    <w:rsid w:val="7C213AA4"/>
    <w:rsid w:val="7EEF5417"/>
    <w:rsid w:val="D3F7D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</w:style>
  <w:style w:type="paragraph" w:styleId="3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普通(网站)1"/>
    <w:basedOn w:val="1"/>
    <w:autoRedefine/>
    <w:qFormat/>
    <w:uiPriority w:val="0"/>
    <w:pPr>
      <w:widowControl/>
      <w:spacing w:line="39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2024-02-26T11:30:00Z</dcterms:created>
  <dc:creator>陈颖</dc:creator>
  <cp:lastModifiedBy>清亲思思</cp:lastModifiedBy>
  <dcterms:modified xsi:type="dcterms:W3CDTF">2024-03-05T01:24:40Z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F635914B7FEB45F886F239242546CA6D_13</vt:lpwstr>
  </property>
</Properties>
</file>