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40E8D">
      <w:pPr>
        <w:snapToGrid w:val="0"/>
        <w:spacing w:line="600" w:lineRule="exact"/>
        <w:jc w:val="center"/>
        <w:rPr>
          <w:rFonts w:eastAsia="仿宋_GB2312"/>
          <w:sz w:val="28"/>
          <w:szCs w:val="28"/>
        </w:rPr>
      </w:pPr>
    </w:p>
    <w:p w14:paraId="3FA03870">
      <w:pPr>
        <w:snapToGrid w:val="0"/>
        <w:spacing w:line="600" w:lineRule="exact"/>
        <w:jc w:val="center"/>
        <w:rPr>
          <w:rFonts w:eastAsia="仿宋_GB2312"/>
          <w:sz w:val="32"/>
          <w:szCs w:val="32"/>
        </w:rPr>
      </w:pPr>
    </w:p>
    <w:p w14:paraId="3095DCC6">
      <w:pPr>
        <w:snapToGrid w:val="0"/>
        <w:spacing w:line="600" w:lineRule="exact"/>
        <w:jc w:val="center"/>
        <w:rPr>
          <w:rFonts w:eastAsia="仿宋_GB2312"/>
          <w:sz w:val="32"/>
          <w:szCs w:val="32"/>
        </w:rPr>
      </w:pPr>
    </w:p>
    <w:p w14:paraId="2BE92F21">
      <w:pPr>
        <w:snapToGrid w:val="0"/>
        <w:spacing w:line="600" w:lineRule="exact"/>
        <w:jc w:val="center"/>
        <w:rPr>
          <w:rFonts w:eastAsia="仿宋_GB2312"/>
          <w:sz w:val="32"/>
          <w:szCs w:val="32"/>
        </w:rPr>
      </w:pPr>
    </w:p>
    <w:p w14:paraId="3B29EE8C">
      <w:pPr>
        <w:snapToGrid w:val="0"/>
        <w:spacing w:line="600" w:lineRule="exact"/>
        <w:jc w:val="center"/>
        <w:rPr>
          <w:rFonts w:eastAsia="仿宋_GB2312"/>
          <w:sz w:val="32"/>
          <w:szCs w:val="32"/>
        </w:rPr>
      </w:pPr>
    </w:p>
    <w:p w14:paraId="362BD02A">
      <w:pPr>
        <w:snapToGrid w:val="0"/>
        <w:spacing w:line="600" w:lineRule="exact"/>
        <w:jc w:val="center"/>
        <w:rPr>
          <w:rFonts w:eastAsia="仿宋_GB2312"/>
          <w:sz w:val="32"/>
          <w:szCs w:val="32"/>
        </w:rPr>
      </w:pPr>
    </w:p>
    <w:p w14:paraId="48E91551">
      <w:pPr>
        <w:snapToGrid w:val="0"/>
        <w:spacing w:line="600" w:lineRule="exact"/>
        <w:rPr>
          <w:rFonts w:eastAsia="方正仿宋_GBK"/>
          <w:sz w:val="32"/>
          <w:szCs w:val="32"/>
        </w:rPr>
      </w:pPr>
    </w:p>
    <w:p w14:paraId="79428D20">
      <w:pPr>
        <w:snapToGrid w:val="0"/>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大足民发〔2022〕2号</w:t>
      </w:r>
    </w:p>
    <w:p w14:paraId="3EF6423A">
      <w:pPr>
        <w:snapToGrid w:val="0"/>
        <w:spacing w:line="578" w:lineRule="exact"/>
        <w:jc w:val="center"/>
        <w:rPr>
          <w:rFonts w:eastAsia="仿宋_GB2312"/>
          <w:sz w:val="44"/>
          <w:szCs w:val="44"/>
        </w:rPr>
      </w:pPr>
    </w:p>
    <w:p w14:paraId="72EA5252">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重庆市大足区民政局</w:t>
      </w:r>
    </w:p>
    <w:p w14:paraId="471FFC3B">
      <w:pPr>
        <w:pStyle w:val="4"/>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关于印发《大足区民政服务机构安全生产分类分级管理办法》的通知</w:t>
      </w:r>
    </w:p>
    <w:p w14:paraId="543EF4DB">
      <w:pPr>
        <w:overflowPunct w:val="0"/>
        <w:spacing w:line="579" w:lineRule="exact"/>
        <w:contextualSpacing/>
        <w:rPr>
          <w:rFonts w:ascii="方正仿宋_GBK" w:hAnsi="方正仿宋_GBK" w:eastAsia="方正仿宋_GBK" w:cs="方正仿宋_GBK"/>
          <w:spacing w:val="-11"/>
          <w:sz w:val="32"/>
          <w:szCs w:val="32"/>
        </w:rPr>
      </w:pPr>
    </w:p>
    <w:p w14:paraId="1780FB2F">
      <w:pPr>
        <w:overflowPunct w:val="0"/>
        <w:spacing w:line="600" w:lineRule="exact"/>
        <w:contextualSpacing/>
        <w:rPr>
          <w:rFonts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rPr>
        <w:t>各镇街民政和社会（区）事务办，局机关各科室、站所、中心，</w:t>
      </w:r>
      <w:r>
        <w:rPr>
          <w:rFonts w:hint="eastAsia" w:ascii="方正仿宋_GBK" w:hAnsi="方正仿宋_GBK" w:eastAsia="方正仿宋_GBK" w:cs="方正仿宋_GBK"/>
          <w:color w:val="000000"/>
          <w:sz w:val="32"/>
          <w:szCs w:val="32"/>
        </w:rPr>
        <w:t>各民政服务机构</w:t>
      </w:r>
      <w:r>
        <w:rPr>
          <w:rFonts w:hint="eastAsia" w:ascii="方正仿宋_GBK" w:hAnsi="方正仿宋_GBK" w:eastAsia="方正仿宋_GBK" w:cs="方正仿宋_GBK"/>
          <w:sz w:val="32"/>
          <w:szCs w:val="32"/>
        </w:rPr>
        <w:t>：</w:t>
      </w:r>
    </w:p>
    <w:p w14:paraId="7A60396F">
      <w:pPr>
        <w:overflowPunct w:val="0"/>
        <w:spacing w:line="600" w:lineRule="exact"/>
        <w:ind w:firstLine="640" w:firstLineChars="200"/>
        <w:contextualSpacing/>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《大足区民政服务机构安全生产分类分级管理办法》已经区民政局党委2022年第1 次会议审议通过，现印发你们，请遵照执行。</w:t>
      </w:r>
    </w:p>
    <w:p w14:paraId="645C28DC">
      <w:pPr>
        <w:overflowPunct w:val="0"/>
        <w:spacing w:line="600" w:lineRule="exact"/>
        <w:contextualSpacing/>
        <w:rPr>
          <w:rFonts w:ascii="方正仿宋_GBK" w:hAnsi="方正仿宋_GBK" w:eastAsia="方正仿宋_GBK" w:cs="方正仿宋_GBK"/>
          <w:sz w:val="32"/>
          <w:szCs w:val="32"/>
        </w:rPr>
      </w:pPr>
    </w:p>
    <w:p w14:paraId="7EAA3FC4">
      <w:pPr>
        <w:overflowPunct w:val="0"/>
        <w:spacing w:line="600" w:lineRule="exact"/>
        <w:ind w:firstLine="5600" w:firstLineChars="1750"/>
        <w:contextualSpacing/>
        <w:rPr>
          <w:rFonts w:ascii="方正仿宋_GBK" w:hAnsi="方正仿宋_GBK" w:eastAsia="方正仿宋_GBK" w:cs="方正仿宋_GBK"/>
          <w:sz w:val="32"/>
          <w:szCs w:val="32"/>
        </w:rPr>
      </w:pPr>
    </w:p>
    <w:p w14:paraId="5162E4B8">
      <w:pPr>
        <w:overflowPunct w:val="0"/>
        <w:spacing w:line="600" w:lineRule="exact"/>
        <w:ind w:firstLine="4480" w:firstLineChars="1400"/>
        <w:contextualSpacing/>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重庆市大足区民政局</w:t>
      </w:r>
    </w:p>
    <w:p w14:paraId="2B9C2876">
      <w:pPr>
        <w:overflowPunct w:val="0"/>
        <w:spacing w:line="600" w:lineRule="exact"/>
        <w:ind w:firstLine="4480" w:firstLineChars="1400"/>
        <w:contextualSpacing/>
        <w:rPr>
          <w:rFonts w:eastAsia="方正仿宋_GBK"/>
          <w:sz w:val="32"/>
          <w:szCs w:val="32"/>
        </w:rPr>
      </w:pPr>
      <w:r>
        <w:rPr>
          <w:rFonts w:hint="eastAsia" w:ascii="方正仿宋_GBK" w:hAnsi="方正仿宋_GBK" w:eastAsia="方正仿宋_GBK" w:cs="方正仿宋_GBK"/>
          <w:sz w:val="32"/>
          <w:szCs w:val="32"/>
        </w:rPr>
        <w:t xml:space="preserve"> 2022年1月25 日</w:t>
      </w:r>
    </w:p>
    <w:p w14:paraId="41779F50">
      <w:pPr>
        <w:pStyle w:val="4"/>
        <w:widowControl/>
        <w:spacing w:beforeAutospacing="0" w:afterAutospacing="0"/>
        <w:jc w:val="both"/>
        <w:rPr>
          <w:rFonts w:ascii="方正仿宋_GBK" w:hAnsi="方正仿宋_GBK" w:eastAsia="方正仿宋_GBK" w:cs="方正仿宋_GBK"/>
          <w:spacing w:val="-6"/>
          <w:sz w:val="44"/>
          <w:szCs w:val="44"/>
        </w:rPr>
      </w:pPr>
      <w:r>
        <w:rPr>
          <w:rFonts w:hint="eastAsia" w:ascii="方正小标宋_GBK" w:hAnsi="方正小标宋_GBK" w:eastAsia="方正小标宋_GBK" w:cs="方正小标宋_GBK"/>
          <w:spacing w:val="-6"/>
          <w:sz w:val="44"/>
          <w:szCs w:val="44"/>
        </w:rPr>
        <w:t>大足区民政服务机构安全生产分类分级管理办法</w:t>
      </w:r>
    </w:p>
    <w:p w14:paraId="1C2002CB">
      <w:pPr>
        <w:pStyle w:val="4"/>
        <w:widowControl/>
        <w:spacing w:beforeAutospacing="0" w:afterAutospacing="0"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14:paraId="75D67056">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第一条</w:t>
      </w:r>
      <w:r>
        <w:rPr>
          <w:rFonts w:hint="eastAsia" w:ascii="方正仿宋_GBK" w:hAnsi="方正仿宋_GBK" w:eastAsia="方正仿宋_GBK" w:cs="方正仿宋_GBK"/>
          <w:sz w:val="32"/>
          <w:szCs w:val="32"/>
        </w:rPr>
        <w:t> 为切实加强全区各级民政服务机构的安全生产管理工作，构建安全风险分级管控和隐患排查治理双重预防机制,强化和落实各机构的安全生产主体责任，有效防范重特大生产安全事故发生，促进全区民政系统安全生产形势持续稳定好转，根据《中华人民共和国安全生产法》、《重庆市安全生产条例》、《重庆市消防条例》等法律、法规及有关规定，结合我区实际，制定本办法。</w:t>
      </w:r>
    </w:p>
    <w:p w14:paraId="34E2EC53">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第二条</w:t>
      </w:r>
      <w:r>
        <w:rPr>
          <w:rFonts w:hint="eastAsia" w:ascii="方正仿宋_GBK" w:hAnsi="方正仿宋_GBK" w:eastAsia="方正仿宋_GBK" w:cs="方正仿宋_GBK"/>
          <w:sz w:val="32"/>
          <w:szCs w:val="32"/>
        </w:rPr>
        <w:t> 在我区行政区域范围内各级民政服务机构（具有独立办公场所或服务场所的养老服务、救助管理、未成年人救助保护、殡葬服务等机构）的安全生产分类分级管理，适用本办法。</w:t>
      </w:r>
    </w:p>
    <w:p w14:paraId="1900F612">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第三条</w:t>
      </w:r>
      <w:r>
        <w:rPr>
          <w:rFonts w:hint="eastAsia" w:ascii="方正仿宋_GBK" w:hAnsi="方正仿宋_GBK" w:eastAsia="方正仿宋_GBK" w:cs="方正仿宋_GBK"/>
          <w:sz w:val="32"/>
          <w:szCs w:val="32"/>
        </w:rPr>
        <w:t> 各级民政服务机构安全生产管理坚持“管行业必须管安全、管业务必须管安全、管生产经营必须管安全”的原则，坚持“谁主管谁负责，属地管理”原则，坚持源头防范、全员参与、分级管控、动态管理原则。区级民政部门负责统筹协调、组织实施、监督指导民政服务机构的安全风险管控工作。</w:t>
      </w:r>
    </w:p>
    <w:p w14:paraId="7153B11A">
      <w:pPr>
        <w:pStyle w:val="4"/>
        <w:widowControl/>
        <w:spacing w:beforeAutospacing="0" w:afterAutospacing="0"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民政服务机构分类分级标准</w:t>
      </w:r>
    </w:p>
    <w:p w14:paraId="29135CB4">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第四条 </w:t>
      </w:r>
      <w:r>
        <w:rPr>
          <w:rFonts w:hint="eastAsia" w:ascii="方正仿宋_GBK" w:hAnsi="方正仿宋_GBK" w:eastAsia="方正仿宋_GBK" w:cs="方正仿宋_GBK"/>
          <w:sz w:val="32"/>
          <w:szCs w:val="32"/>
        </w:rPr>
        <w:t>安全生产分类分级管理是指将全区各级民政服务机构，根据安全生产管理水平评定为红黄绿三级，分别表示“不合格”“一般”“好”。</w:t>
      </w:r>
    </w:p>
    <w:p w14:paraId="41E9141F">
      <w:pPr>
        <w:widowControl/>
        <w:spacing w:line="600" w:lineRule="exact"/>
        <w:ind w:firstLine="42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第五条</w:t>
      </w:r>
      <w:r>
        <w:rPr>
          <w:rFonts w:hint="eastAsia" w:ascii="方正仿宋_GBK" w:hAnsi="方正仿宋_GBK" w:eastAsia="方正仿宋_GBK" w:cs="方正仿宋_GBK"/>
          <w:sz w:val="32"/>
          <w:szCs w:val="32"/>
        </w:rPr>
        <w:t> 在安全等级评定中，民政及行业职能监管部门专业人员组成评定小组，运用科学方式方法进行辨识、评估和分级。评估适用《大足区民政服务机构等级划分与评定标准（试行）》（附表），分值在90以上为绿灯机构；分值在80-90为黄灯机构；分值在80以下或被市里督查暗访挂牌、区委区政府及消防单位通报的为红灯机构。</w:t>
      </w:r>
    </w:p>
    <w:p w14:paraId="02986848">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第六条</w:t>
      </w:r>
      <w:r>
        <w:rPr>
          <w:rFonts w:hint="eastAsia" w:ascii="方正仿宋_GBK" w:hAnsi="方正仿宋_GBK" w:eastAsia="方正仿宋_GBK" w:cs="方正仿宋_GBK"/>
          <w:sz w:val="32"/>
          <w:szCs w:val="32"/>
        </w:rPr>
        <w:t> 分级管理实行不定期评议制度。</w:t>
      </w:r>
    </w:p>
    <w:p w14:paraId="62CF8A7A">
      <w:pPr>
        <w:pStyle w:val="4"/>
        <w:widowControl/>
        <w:spacing w:beforeAutospacing="0" w:afterAutospacing="0"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分类分级管理</w:t>
      </w:r>
    </w:p>
    <w:p w14:paraId="46310854">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第七条</w:t>
      </w:r>
      <w:r>
        <w:rPr>
          <w:rFonts w:hint="eastAsia" w:ascii="方正仿宋_GBK" w:hAnsi="方正仿宋_GBK" w:eastAsia="方正仿宋_GBK" w:cs="方正仿宋_GBK"/>
          <w:sz w:val="32"/>
          <w:szCs w:val="32"/>
        </w:rPr>
        <w:t xml:space="preserve"> 各级民政部门对辖区民政服务机构采取差异化管理。按照“巩固绿灯、提高黄灯、重点整治红灯”原则，对各级民政服务机构实施不同方式和频次强度的针对性监管、检查。对安全管理好的绿灯单位，减少一般性检查；对基本规范的黄灯单位，定期组织督导检查；对存在隐患和问题的红灯单位，重点检查监督，实施重点跟踪监管。</w:t>
      </w:r>
    </w:p>
    <w:p w14:paraId="6D73900D">
      <w:pPr>
        <w:pStyle w:val="4"/>
        <w:overflowPunct w:val="0"/>
        <w:adjustRightInd w:val="0"/>
        <w:snapToGrid w:val="0"/>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第八条</w:t>
      </w:r>
      <w:r>
        <w:rPr>
          <w:rFonts w:hint="eastAsia" w:ascii="方正仿宋_GBK" w:hAnsi="方正仿宋_GBK" w:eastAsia="方正仿宋_GBK" w:cs="方正仿宋_GBK"/>
          <w:sz w:val="32"/>
          <w:szCs w:val="32"/>
        </w:rPr>
        <w:t> 在日常管理中，各级民政部门要根据民政服务机构的不同等级进行监督检查。红灯为被市里督查暗访挂牌、区委区政府通报、消防单位通报及主管部门认为存在突出问题或严重安全隐患的，针对红灯机构，实行挂牌整治，联合执法，逐一销号。黄灯为一般性安全问题，主要是日常管理不到位等一般性问题，针对黄灯机构，督促其落实主体责任，及时完成整改，形成常态化制度。绿灯为安全达标，只进行例行检查。</w:t>
      </w:r>
    </w:p>
    <w:p w14:paraId="43F6E9D0">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第九条</w:t>
      </w:r>
      <w:r>
        <w:rPr>
          <w:rFonts w:hint="eastAsia" w:ascii="方正仿宋_GBK" w:hAnsi="方正仿宋_GBK" w:eastAsia="方正仿宋_GBK" w:cs="方正仿宋_GBK"/>
          <w:sz w:val="32"/>
          <w:szCs w:val="32"/>
        </w:rPr>
        <w:t> 对因重大隐患评为红灯的民政服务机构由区级民政部门提请区级人民政府进行挂牌督办。经停产、停业整顿仍不具备安全生产条件的，依法予以关闭。</w:t>
      </w:r>
    </w:p>
    <w:p w14:paraId="3DB23509">
      <w:pPr>
        <w:pStyle w:val="4"/>
        <w:widowControl/>
        <w:spacing w:beforeAutospacing="0" w:afterAutospacing="0"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附则</w:t>
      </w:r>
    </w:p>
    <w:p w14:paraId="38A3D440">
      <w:pPr>
        <w:pStyle w:val="4"/>
        <w:widowControl/>
        <w:spacing w:beforeAutospacing="0" w:afterAutospacing="0" w:line="600" w:lineRule="exact"/>
        <w:ind w:firstLine="42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第十条</w:t>
      </w:r>
      <w:r>
        <w:rPr>
          <w:rFonts w:hint="eastAsia" w:ascii="方正仿宋_GBK" w:hAnsi="方正仿宋_GBK" w:eastAsia="方正仿宋_GBK" w:cs="方正仿宋_GBK"/>
          <w:sz w:val="32"/>
          <w:szCs w:val="32"/>
        </w:rPr>
        <w:t>  本办法自印发之日起施行。</w:t>
      </w:r>
    </w:p>
    <w:p w14:paraId="6EBBD7F9">
      <w:pPr>
        <w:pStyle w:val="4"/>
        <w:widowControl/>
        <w:spacing w:beforeAutospacing="0" w:afterAutospacing="0"/>
        <w:rPr>
          <w:rFonts w:ascii="方正仿宋_GBK" w:hAnsi="方正仿宋_GBK" w:eastAsia="方正仿宋_GBK" w:cs="方正仿宋_GBK"/>
          <w:sz w:val="32"/>
          <w:szCs w:val="32"/>
        </w:rPr>
      </w:pPr>
    </w:p>
    <w:p w14:paraId="058E88F2">
      <w:pPr>
        <w:pStyle w:val="4"/>
        <w:widowControl/>
        <w:spacing w:beforeAutospacing="0" w:afterAutospacing="0"/>
        <w:jc w:val="center"/>
        <w:rPr>
          <w:rFonts w:ascii="方正仿宋_GBK" w:hAnsi="方正仿宋_GBK" w:eastAsia="方正仿宋_GBK" w:cs="方正仿宋_GBK"/>
          <w:sz w:val="32"/>
          <w:szCs w:val="32"/>
        </w:rPr>
      </w:pPr>
    </w:p>
    <w:p w14:paraId="71BF0075">
      <w:pPr>
        <w:pStyle w:val="4"/>
        <w:widowControl/>
        <w:spacing w:beforeAutospacing="0" w:afterAutospacing="0"/>
        <w:jc w:val="center"/>
        <w:rPr>
          <w:rFonts w:ascii="方正仿宋_GBK" w:hAnsi="方正仿宋_GBK" w:eastAsia="方正仿宋_GBK" w:cs="方正仿宋_GBK"/>
          <w:sz w:val="32"/>
          <w:szCs w:val="32"/>
        </w:rPr>
      </w:pPr>
    </w:p>
    <w:p w14:paraId="312AB81B">
      <w:pPr>
        <w:pStyle w:val="4"/>
        <w:widowControl/>
        <w:spacing w:beforeAutospacing="0" w:afterAutospacing="0"/>
        <w:jc w:val="center"/>
        <w:rPr>
          <w:rFonts w:ascii="方正仿宋_GBK" w:hAnsi="方正仿宋_GBK" w:eastAsia="方正仿宋_GBK" w:cs="方正仿宋_GBK"/>
          <w:sz w:val="32"/>
          <w:szCs w:val="32"/>
        </w:rPr>
      </w:pPr>
    </w:p>
    <w:p w14:paraId="1C7DFFB5">
      <w:pPr>
        <w:pStyle w:val="4"/>
        <w:widowControl/>
        <w:spacing w:beforeAutospacing="0" w:afterAutospacing="0"/>
        <w:jc w:val="center"/>
        <w:rPr>
          <w:rFonts w:ascii="方正仿宋_GBK" w:hAnsi="方正仿宋_GBK" w:eastAsia="方正仿宋_GBK" w:cs="方正仿宋_GBK"/>
          <w:sz w:val="32"/>
          <w:szCs w:val="32"/>
        </w:rPr>
      </w:pPr>
    </w:p>
    <w:p w14:paraId="0FF460AC">
      <w:pPr>
        <w:pStyle w:val="4"/>
        <w:widowControl/>
        <w:spacing w:beforeAutospacing="0" w:afterAutospacing="0"/>
        <w:jc w:val="center"/>
        <w:rPr>
          <w:rFonts w:ascii="方正仿宋_GBK" w:hAnsi="方正仿宋_GBK" w:eastAsia="方正仿宋_GBK" w:cs="方正仿宋_GBK"/>
          <w:sz w:val="32"/>
          <w:szCs w:val="32"/>
        </w:rPr>
        <w:sectPr>
          <w:footerReference r:id="rId3" w:type="default"/>
          <w:pgSz w:w="11906" w:h="16838"/>
          <w:pgMar w:top="1984" w:right="1446" w:bottom="1644" w:left="1446" w:header="851" w:footer="992" w:gutter="0"/>
          <w:pgNumType w:fmt="numberInDash"/>
          <w:cols w:space="0" w:num="1"/>
          <w:docGrid w:type="lines" w:linePitch="319" w:charSpace="0"/>
        </w:sectPr>
      </w:pPr>
    </w:p>
    <w:p w14:paraId="3703F672">
      <w:pPr>
        <w:pStyle w:val="4"/>
        <w:widowControl/>
        <w:spacing w:beforeAutospacing="0" w:afterAutospacing="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大足区民政服务机构安全生产等级评分标准（试行）</w:t>
      </w:r>
    </w:p>
    <w:tbl>
      <w:tblPr>
        <w:tblStyle w:val="5"/>
        <w:tblW w:w="12495" w:type="dxa"/>
        <w:jc w:val="center"/>
        <w:tblLayout w:type="fixed"/>
        <w:tblCellMar>
          <w:top w:w="15" w:type="dxa"/>
          <w:left w:w="15" w:type="dxa"/>
          <w:bottom w:w="15" w:type="dxa"/>
          <w:right w:w="15" w:type="dxa"/>
        </w:tblCellMar>
      </w:tblPr>
      <w:tblGrid>
        <w:gridCol w:w="934"/>
        <w:gridCol w:w="7553"/>
        <w:gridCol w:w="874"/>
        <w:gridCol w:w="870"/>
        <w:gridCol w:w="2264"/>
      </w:tblGrid>
      <w:tr w14:paraId="295AC05D">
        <w:tblPrEx>
          <w:tblCellMar>
            <w:top w:w="15" w:type="dxa"/>
            <w:left w:w="15" w:type="dxa"/>
            <w:bottom w:w="15" w:type="dxa"/>
            <w:right w:w="15" w:type="dxa"/>
          </w:tblCellMar>
        </w:tblPrEx>
        <w:trPr>
          <w:trHeight w:val="690" w:hRule="atLeast"/>
          <w:jc w:val="center"/>
        </w:trPr>
        <w:tc>
          <w:tcPr>
            <w:tcW w:w="934" w:type="dxa"/>
            <w:tcBorders>
              <w:top w:val="single" w:color="2B2B2B"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6643901">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7553" w:type="dxa"/>
            <w:tcBorders>
              <w:top w:val="single" w:color="2B2B2B"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A242B92">
            <w:pPr>
              <w:pStyle w:val="4"/>
              <w:widowControl/>
              <w:spacing w:beforeAutospacing="0" w:afterAutospacing="0" w:line="400" w:lineRule="exact"/>
              <w:ind w:firstLine="4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评定项目</w:t>
            </w:r>
          </w:p>
        </w:tc>
        <w:tc>
          <w:tcPr>
            <w:tcW w:w="874" w:type="dxa"/>
            <w:tcBorders>
              <w:top w:val="single" w:color="2B2B2B"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85066EC">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c>
          <w:tcPr>
            <w:tcW w:w="870" w:type="dxa"/>
            <w:tcBorders>
              <w:top w:val="single" w:color="2B2B2B"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48DB717">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得分</w:t>
            </w:r>
          </w:p>
        </w:tc>
        <w:tc>
          <w:tcPr>
            <w:tcW w:w="2264" w:type="dxa"/>
            <w:tcBorders>
              <w:top w:val="single" w:color="2B2B2B"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A4A660F">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14:paraId="3D42C680">
        <w:tblPrEx>
          <w:tblCellMar>
            <w:top w:w="15" w:type="dxa"/>
            <w:left w:w="15" w:type="dxa"/>
            <w:bottom w:w="15" w:type="dxa"/>
            <w:right w:w="15" w:type="dxa"/>
          </w:tblCellMar>
        </w:tblPrEx>
        <w:trPr>
          <w:trHeight w:val="37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C119C86">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0D64AD4">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安全发展理念</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616C2A3">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E76C2C1">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155819B">
            <w:pPr>
              <w:widowControl/>
              <w:spacing w:line="400" w:lineRule="exact"/>
              <w:jc w:val="left"/>
              <w:rPr>
                <w:rFonts w:ascii="方正仿宋_GBK" w:hAnsi="方正仿宋_GBK" w:eastAsia="方正仿宋_GBK" w:cs="方正仿宋_GBK"/>
                <w:sz w:val="32"/>
                <w:szCs w:val="32"/>
              </w:rPr>
            </w:pPr>
          </w:p>
        </w:tc>
      </w:tr>
      <w:tr w14:paraId="0B67E838">
        <w:tblPrEx>
          <w:tblCellMar>
            <w:top w:w="15" w:type="dxa"/>
            <w:left w:w="15" w:type="dxa"/>
            <w:bottom w:w="15" w:type="dxa"/>
            <w:right w:w="15" w:type="dxa"/>
          </w:tblCellMar>
        </w:tblPrEx>
        <w:trPr>
          <w:trHeight w:val="54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4FB543A">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10493B5">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及时学习国家和市、区安委会重要会议及文件精神，召开会议专题研究安全生产工作。</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7333BCE">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3971FAA">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255EA69">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7B49F3B4">
        <w:tblPrEx>
          <w:tblCellMar>
            <w:top w:w="15" w:type="dxa"/>
            <w:left w:w="15" w:type="dxa"/>
            <w:bottom w:w="15" w:type="dxa"/>
            <w:right w:w="15" w:type="dxa"/>
          </w:tblCellMar>
        </w:tblPrEx>
        <w:trPr>
          <w:trHeight w:val="40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2EA33F3">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0966087">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在元旦、春节、全国和全市、全区“党代会”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全国和全市、全区</w:t>
            </w:r>
            <w:bookmarkStart w:id="0" w:name="_GoBack"/>
            <w:bookmarkEnd w:id="0"/>
            <w:r>
              <w:rPr>
                <w:rFonts w:hint="eastAsia" w:ascii="方正仿宋_GBK" w:hAnsi="方正仿宋_GBK" w:eastAsia="方正仿宋_GBK" w:cs="方正仿宋_GBK"/>
                <w:sz w:val="32"/>
                <w:szCs w:val="32"/>
              </w:rPr>
              <w:t>“两会”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“五一”、国庆等重要时间节点安排安全工作。</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ADF44BC">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0F4A8BE">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AC7C3A5">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2AFFCBE9">
        <w:tblPrEx>
          <w:tblCellMar>
            <w:top w:w="15" w:type="dxa"/>
            <w:left w:w="15" w:type="dxa"/>
            <w:bottom w:w="15" w:type="dxa"/>
            <w:right w:w="15" w:type="dxa"/>
          </w:tblCellMar>
        </w:tblPrEx>
        <w:trPr>
          <w:trHeight w:val="43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2872B35">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4BB3DB1">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开展安全生产培训。</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A4A1531">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22A22F7">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F7AA072">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194009B7">
        <w:tblPrEx>
          <w:tblCellMar>
            <w:top w:w="15" w:type="dxa"/>
            <w:left w:w="15" w:type="dxa"/>
            <w:bottom w:w="15" w:type="dxa"/>
            <w:right w:w="15" w:type="dxa"/>
          </w:tblCellMar>
        </w:tblPrEx>
        <w:trPr>
          <w:trHeight w:val="37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D609637">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25984DF">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建筑安全</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1A449EF">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1D4FC4A">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C04659D">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当机构内不存在此类不安全因素时自动得分。</w:t>
            </w:r>
          </w:p>
        </w:tc>
      </w:tr>
      <w:tr w14:paraId="2D67CCC4">
        <w:tblPrEx>
          <w:tblCellMar>
            <w:top w:w="15" w:type="dxa"/>
            <w:left w:w="15" w:type="dxa"/>
            <w:bottom w:w="15" w:type="dxa"/>
            <w:right w:w="15" w:type="dxa"/>
          </w:tblCellMar>
        </w:tblPrEx>
        <w:trPr>
          <w:trHeight w:val="49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DB2AE66">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9302515">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房屋结构安全，无年久失修、改变承重结构装修现象。</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E5A0E62">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BE1EEFF">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F72ED5D">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w:t>
            </w:r>
          </w:p>
        </w:tc>
      </w:tr>
      <w:tr w14:paraId="63868F7B">
        <w:tblPrEx>
          <w:tblCellMar>
            <w:top w:w="15" w:type="dxa"/>
            <w:left w:w="15" w:type="dxa"/>
            <w:bottom w:w="15" w:type="dxa"/>
            <w:right w:w="15" w:type="dxa"/>
          </w:tblCellMar>
        </w:tblPrEx>
        <w:trPr>
          <w:trHeight w:val="43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7A44ED3">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1AF1897">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机构场所周边环境安全，无自然灾害隐患风险点。</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1103B7D">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001F324">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4B0AF18">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w:t>
            </w:r>
          </w:p>
        </w:tc>
      </w:tr>
      <w:tr w14:paraId="7DFE5269">
        <w:tblPrEx>
          <w:tblCellMar>
            <w:top w:w="15" w:type="dxa"/>
            <w:left w:w="15" w:type="dxa"/>
            <w:bottom w:w="15" w:type="dxa"/>
            <w:right w:w="15" w:type="dxa"/>
          </w:tblCellMar>
        </w:tblPrEx>
        <w:trPr>
          <w:trHeight w:val="3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3A1842B">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F03E974">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对建筑物进行日常巡查，发现隐患及时处理；对建筑物进行日常维护，有记录。</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AF84BB9">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F8E0624">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7052FBB">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w:t>
            </w:r>
          </w:p>
        </w:tc>
      </w:tr>
      <w:tr w14:paraId="4D8C3C32">
        <w:tblPrEx>
          <w:tblCellMar>
            <w:top w:w="15" w:type="dxa"/>
            <w:left w:w="15" w:type="dxa"/>
            <w:bottom w:w="15" w:type="dxa"/>
            <w:right w:w="15" w:type="dxa"/>
          </w:tblCellMar>
        </w:tblPrEx>
        <w:trPr>
          <w:trHeight w:val="36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330119C">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C052446">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无使用彩钢夹芯板和彩钢板复合保温材料搭建的建（构）筑物情况。</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C3D4325">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EAF5486">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CE72BF2">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w:t>
            </w:r>
          </w:p>
        </w:tc>
      </w:tr>
      <w:tr w14:paraId="2D82BBE8">
        <w:tblPrEx>
          <w:tblCellMar>
            <w:top w:w="15" w:type="dxa"/>
            <w:left w:w="15" w:type="dxa"/>
            <w:bottom w:w="15" w:type="dxa"/>
            <w:right w:w="15" w:type="dxa"/>
          </w:tblCellMar>
        </w:tblPrEx>
        <w:trPr>
          <w:trHeight w:val="42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72C3427">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622F75F">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无农村房屋违法改造用作民政服务机构场所情况；无加建改建扩建和改变用途行为。</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65A41CC">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1244D83">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5AB0D2B">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w:t>
            </w:r>
          </w:p>
        </w:tc>
      </w:tr>
      <w:tr w14:paraId="4DD71BDC">
        <w:tblPrEx>
          <w:tblCellMar>
            <w:top w:w="15" w:type="dxa"/>
            <w:left w:w="15" w:type="dxa"/>
            <w:bottom w:w="15" w:type="dxa"/>
            <w:right w:w="15" w:type="dxa"/>
          </w:tblCellMar>
        </w:tblPrEx>
        <w:trPr>
          <w:trHeight w:val="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CCB116E">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AA2874E">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消防安全</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AF2AD84">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EC8C924">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97DC333">
            <w:pPr>
              <w:widowControl/>
              <w:spacing w:line="400" w:lineRule="exact"/>
              <w:jc w:val="left"/>
              <w:rPr>
                <w:rFonts w:ascii="方正仿宋_GBK" w:hAnsi="方正仿宋_GBK" w:eastAsia="方正仿宋_GBK" w:cs="方正仿宋_GBK"/>
                <w:sz w:val="32"/>
                <w:szCs w:val="32"/>
              </w:rPr>
            </w:pPr>
          </w:p>
        </w:tc>
      </w:tr>
      <w:tr w14:paraId="0F18A072">
        <w:tblPrEx>
          <w:tblCellMar>
            <w:top w:w="15" w:type="dxa"/>
            <w:left w:w="15" w:type="dxa"/>
            <w:bottom w:w="15" w:type="dxa"/>
            <w:right w:w="15" w:type="dxa"/>
          </w:tblCellMar>
        </w:tblPrEx>
        <w:trPr>
          <w:trHeight w:val="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74E027F">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F255E40">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严格落实消防安全主体责任，明确消防安全责任人、管理人，配备专(兼)职安全管理人员（包括但不限于消防安全管理人员）。</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77EE030">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41698DD">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378F7BA">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7797176F">
        <w:tblPrEx>
          <w:tblCellMar>
            <w:top w:w="15" w:type="dxa"/>
            <w:left w:w="15" w:type="dxa"/>
            <w:bottom w:w="15" w:type="dxa"/>
            <w:right w:w="15" w:type="dxa"/>
          </w:tblCellMar>
        </w:tblPrEx>
        <w:trPr>
          <w:trHeight w:val="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B8734F8">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39BC532">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开展突发事件应急知识的宣传普及；制定、发布消防应急预案、组织应急演练。</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6BC604F">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A6A1735">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97A29F3">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61D48576">
        <w:tblPrEx>
          <w:tblCellMar>
            <w:top w:w="15" w:type="dxa"/>
            <w:left w:w="15" w:type="dxa"/>
            <w:bottom w:w="15" w:type="dxa"/>
            <w:right w:w="15" w:type="dxa"/>
          </w:tblCellMar>
        </w:tblPrEx>
        <w:trPr>
          <w:trHeight w:val="42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4EBBB27">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65EE956">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按照消防技术标准配置灭火器、火灾自动报警系统、自动喷水灭火系统、应急照明等消防设施设备，定期进行维护保养并完好有效。</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9923FF7">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CA4CC1A">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56E5D6A">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现场查看能否正常使用</w:t>
            </w:r>
          </w:p>
        </w:tc>
      </w:tr>
      <w:tr w14:paraId="0452317A">
        <w:tblPrEx>
          <w:tblCellMar>
            <w:top w:w="15" w:type="dxa"/>
            <w:left w:w="15" w:type="dxa"/>
            <w:bottom w:w="15" w:type="dxa"/>
            <w:right w:w="15" w:type="dxa"/>
          </w:tblCellMar>
        </w:tblPrEx>
        <w:trPr>
          <w:trHeight w:val="43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D8DFBD1">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E031503">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疏散通道、安全出口保持畅通，在疏散通道、安全出口等重点位置设置消防安全警示、提示标识等。</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2370D4A">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79813EA">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824E88A">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w:t>
            </w:r>
          </w:p>
        </w:tc>
      </w:tr>
      <w:tr w14:paraId="1175DEE4">
        <w:tblPrEx>
          <w:tblCellMar>
            <w:top w:w="15" w:type="dxa"/>
            <w:left w:w="15" w:type="dxa"/>
            <w:bottom w:w="15" w:type="dxa"/>
            <w:right w:w="15" w:type="dxa"/>
          </w:tblCellMar>
        </w:tblPrEx>
        <w:trPr>
          <w:trHeight w:val="70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8319311">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1E16A87">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用火、用电、用油、用气制度健全；无私拉乱接电线，超负荷用电现象；在起居室、疗养室、病房内</w:t>
            </w:r>
            <w:r>
              <w:rPr>
                <w:rFonts w:ascii="方正仿宋_GBK" w:hAnsi="方正仿宋_GBK" w:eastAsia="方正仿宋_GBK" w:cs="方正仿宋_GBK"/>
                <w:sz w:val="32"/>
                <w:szCs w:val="32"/>
              </w:rPr>
              <w:t>无吸烟、</w:t>
            </w:r>
            <w:r>
              <w:rPr>
                <w:rFonts w:hint="eastAsia" w:ascii="方正仿宋_GBK" w:hAnsi="方正仿宋_GBK" w:eastAsia="方正仿宋_GBK" w:cs="方正仿宋_GBK"/>
                <w:sz w:val="32"/>
                <w:szCs w:val="32"/>
              </w:rPr>
              <w:t>无使用明火、使用大功率电器设备等现象。</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BCD89F3">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8DF44F8">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4212490">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w:t>
            </w:r>
          </w:p>
        </w:tc>
      </w:tr>
      <w:tr w14:paraId="37F0C39A">
        <w:tblPrEx>
          <w:tblCellMar>
            <w:top w:w="15" w:type="dxa"/>
            <w:left w:w="15" w:type="dxa"/>
            <w:bottom w:w="15" w:type="dxa"/>
            <w:right w:w="15" w:type="dxa"/>
          </w:tblCellMar>
        </w:tblPrEx>
        <w:trPr>
          <w:trHeight w:val="6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F368FC0">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3191716">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食品安全</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42677EE">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950A08B">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572052B">
            <w:pPr>
              <w:widowControl/>
              <w:spacing w:line="400" w:lineRule="exact"/>
              <w:jc w:val="left"/>
              <w:rPr>
                <w:rFonts w:ascii="方正仿宋_GBK" w:hAnsi="方正仿宋_GBK" w:eastAsia="方正仿宋_GBK" w:cs="方正仿宋_GBK"/>
                <w:sz w:val="32"/>
                <w:szCs w:val="32"/>
              </w:rPr>
            </w:pPr>
          </w:p>
        </w:tc>
      </w:tr>
      <w:tr w14:paraId="04ECE83F">
        <w:tblPrEx>
          <w:tblCellMar>
            <w:top w:w="15" w:type="dxa"/>
            <w:left w:w="15" w:type="dxa"/>
            <w:bottom w:w="15" w:type="dxa"/>
            <w:right w:w="15" w:type="dxa"/>
          </w:tblCellMar>
        </w:tblPrEx>
        <w:trPr>
          <w:trHeight w:val="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7A4EAF5">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95611B6">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严格执行民政服务机构食品安全操作规范和标准。</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B6FF152">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77DFEE4">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4A5A3CA">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7F87273D">
        <w:tblPrEx>
          <w:tblCellMar>
            <w:top w:w="15" w:type="dxa"/>
            <w:left w:w="15" w:type="dxa"/>
            <w:bottom w:w="15" w:type="dxa"/>
            <w:right w:w="15" w:type="dxa"/>
          </w:tblCellMar>
        </w:tblPrEx>
        <w:trPr>
          <w:trHeight w:val="3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19BACDD">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1C462D0">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食堂严格执行原料控制、餐具饮具清洗消毒等制度，定期开展食品安全自查。</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849F88E">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7DFE314">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9D88461">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1F762472">
        <w:tblPrEx>
          <w:tblCellMar>
            <w:top w:w="15" w:type="dxa"/>
            <w:left w:w="15" w:type="dxa"/>
            <w:bottom w:w="15" w:type="dxa"/>
            <w:right w:w="15" w:type="dxa"/>
          </w:tblCellMar>
        </w:tblPrEx>
        <w:trPr>
          <w:trHeight w:val="54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1BF8D62">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49B2A25">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建立食品留样备查制度。每个品种留样量不少于100g，留样容器外应记录食品名称、时间、餐别、采样人，且储存时间不少于48小时。</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574E5E4">
            <w:pPr>
              <w:widowControl/>
              <w:spacing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31D5F21">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A2DB3FB">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查看制度、记录，现场查看</w:t>
            </w:r>
          </w:p>
        </w:tc>
      </w:tr>
      <w:tr w14:paraId="68BAA7CD">
        <w:tblPrEx>
          <w:tblCellMar>
            <w:top w:w="15" w:type="dxa"/>
            <w:left w:w="15" w:type="dxa"/>
            <w:bottom w:w="15" w:type="dxa"/>
            <w:right w:w="15" w:type="dxa"/>
          </w:tblCellMar>
        </w:tblPrEx>
        <w:trPr>
          <w:trHeight w:val="675"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7EEF64A">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821EDD3">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服务安全（专项）</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820E5F8">
            <w:pPr>
              <w:pStyle w:val="4"/>
              <w:widowControl/>
              <w:spacing w:beforeAutospacing="0" w:afterAutospacing="0" w:line="4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D92F32E">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4B681FE">
            <w:pPr>
              <w:widowControl/>
              <w:spacing w:line="400" w:lineRule="exact"/>
              <w:jc w:val="left"/>
              <w:rPr>
                <w:rFonts w:ascii="方正仿宋_GBK" w:hAnsi="方正仿宋_GBK" w:eastAsia="方正仿宋_GBK" w:cs="方正仿宋_GBK"/>
                <w:sz w:val="32"/>
                <w:szCs w:val="32"/>
              </w:rPr>
            </w:pPr>
          </w:p>
        </w:tc>
      </w:tr>
      <w:tr w14:paraId="4EE0DC8F">
        <w:tblPrEx>
          <w:tblCellMar>
            <w:top w:w="15" w:type="dxa"/>
            <w:left w:w="15" w:type="dxa"/>
            <w:bottom w:w="15" w:type="dxa"/>
            <w:right w:w="15" w:type="dxa"/>
          </w:tblCellMar>
        </w:tblPrEx>
        <w:trPr>
          <w:trHeight w:val="9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A4BD6EF">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3B11D1FE">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养老机构服务安全。老年人综合评估、常见疾病护理、院内感染控制等工作制度健全；配备专职或兼职维修人员，定期对水、电、消防、通信、特种设备及取暖、降温、排污等设施设备进行维护和保养。</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B8FB01D">
            <w:pPr>
              <w:widowControl/>
              <w:spacing w:line="400" w:lineRule="exact"/>
              <w:jc w:val="center"/>
              <w:rPr>
                <w:rFonts w:ascii="方正仿宋_GBK" w:hAnsi="方正仿宋_GBK" w:eastAsia="方正仿宋_GBK" w:cs="方正仿宋_GBK"/>
                <w:sz w:val="32"/>
                <w:szCs w:val="32"/>
              </w:rPr>
            </w:pP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D1CC324">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6E8E8865">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5C9BB902">
        <w:tblPrEx>
          <w:tblCellMar>
            <w:top w:w="15" w:type="dxa"/>
            <w:left w:w="15" w:type="dxa"/>
            <w:bottom w:w="15" w:type="dxa"/>
            <w:right w:w="15" w:type="dxa"/>
          </w:tblCellMar>
        </w:tblPrEx>
        <w:trPr>
          <w:trHeight w:val="96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1D48612B">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3078E42">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救助管理机构服务安全。服务流程和工作规范等制度健全，接待、入站、离站等服务规范，对于机构内的传染病人、疑似传染病人和精神病人，临时安排其单独食宿。</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EF3819B">
            <w:pPr>
              <w:widowControl/>
              <w:spacing w:line="400" w:lineRule="exact"/>
              <w:jc w:val="center"/>
              <w:rPr>
                <w:rFonts w:ascii="方正仿宋_GBK" w:hAnsi="方正仿宋_GBK" w:eastAsia="方正仿宋_GBK" w:cs="方正仿宋_GBK"/>
                <w:sz w:val="32"/>
                <w:szCs w:val="32"/>
              </w:rPr>
            </w:pP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CD39D1F">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710F15D3">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r w14:paraId="1F273B6F">
        <w:tblPrEx>
          <w:tblCellMar>
            <w:top w:w="15" w:type="dxa"/>
            <w:left w:w="15" w:type="dxa"/>
            <w:bottom w:w="15" w:type="dxa"/>
            <w:right w:w="15" w:type="dxa"/>
          </w:tblCellMar>
        </w:tblPrEx>
        <w:trPr>
          <w:trHeight w:val="810" w:hRule="atLeast"/>
          <w:jc w:val="center"/>
        </w:trPr>
        <w:tc>
          <w:tcPr>
            <w:tcW w:w="934" w:type="dxa"/>
            <w:tcBorders>
              <w:top w:val="single" w:color="auto" w:sz="6" w:space="0"/>
              <w:left w:val="single" w:color="2B2B2B"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972476F">
            <w:pPr>
              <w:pStyle w:val="4"/>
              <w:widowControl/>
              <w:spacing w:beforeAutospacing="0" w:afterAutospacing="0" w:line="4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3</w:t>
            </w:r>
          </w:p>
        </w:tc>
        <w:tc>
          <w:tcPr>
            <w:tcW w:w="7553"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2C0E2C37">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殡葬机构服务安全。规范业务档案的归档、保管、移交和销毁等，骨灰盒有序存放，无丢失情况发生。</w:t>
            </w:r>
          </w:p>
        </w:tc>
        <w:tc>
          <w:tcPr>
            <w:tcW w:w="87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5375B706">
            <w:pPr>
              <w:widowControl/>
              <w:spacing w:line="400" w:lineRule="exact"/>
              <w:jc w:val="center"/>
              <w:rPr>
                <w:rFonts w:ascii="方正仿宋_GBK" w:hAnsi="方正仿宋_GBK" w:eastAsia="方正仿宋_GBK" w:cs="方正仿宋_GBK"/>
                <w:sz w:val="32"/>
                <w:szCs w:val="32"/>
              </w:rPr>
            </w:pPr>
          </w:p>
        </w:tc>
        <w:tc>
          <w:tcPr>
            <w:tcW w:w="870"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0ABABB5E">
            <w:pPr>
              <w:widowControl/>
              <w:spacing w:line="400" w:lineRule="exact"/>
              <w:jc w:val="left"/>
              <w:rPr>
                <w:rFonts w:ascii="方正仿宋_GBK" w:hAnsi="方正仿宋_GBK" w:eastAsia="方正仿宋_GBK" w:cs="方正仿宋_GBK"/>
                <w:sz w:val="32"/>
                <w:szCs w:val="32"/>
              </w:rPr>
            </w:pPr>
          </w:p>
        </w:tc>
        <w:tc>
          <w:tcPr>
            <w:tcW w:w="2264" w:type="dxa"/>
            <w:tcBorders>
              <w:top w:val="single" w:color="auto" w:sz="6" w:space="0"/>
              <w:left w:val="single" w:color="auto" w:sz="6" w:space="0"/>
              <w:bottom w:val="single" w:color="2B2B2B" w:sz="6" w:space="0"/>
              <w:right w:val="single" w:color="2B2B2B" w:sz="6" w:space="0"/>
            </w:tcBorders>
            <w:shd w:val="clear" w:color="auto" w:fill="auto"/>
            <w:tcMar>
              <w:top w:w="0" w:type="dxa"/>
              <w:left w:w="105" w:type="dxa"/>
              <w:bottom w:w="0" w:type="dxa"/>
              <w:right w:w="105" w:type="dxa"/>
            </w:tcMar>
            <w:vAlign w:val="center"/>
          </w:tcPr>
          <w:p w14:paraId="4356E1B6">
            <w:pPr>
              <w:pStyle w:val="4"/>
              <w:widowControl/>
              <w:spacing w:beforeAutospacing="0" w:afterAutospacing="0" w:line="400" w:lineRule="exact"/>
              <w:ind w:firstLine="42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现场查看相关印证资料</w:t>
            </w:r>
          </w:p>
        </w:tc>
      </w:tr>
    </w:tbl>
    <w:p w14:paraId="579CF2C6">
      <w:pPr>
        <w:pStyle w:val="4"/>
        <w:widowControl/>
        <w:spacing w:beforeAutospacing="0" w:afterAutospacing="0"/>
        <w:rPr>
          <w:rFonts w:ascii="方正仿宋_GBK" w:hAnsi="方正仿宋_GBK" w:eastAsia="方正仿宋_GBK" w:cs="方正仿宋_GBK"/>
          <w:sz w:val="32"/>
          <w:szCs w:val="32"/>
        </w:rPr>
        <w:sectPr>
          <w:pgSz w:w="16838" w:h="11906" w:orient="landscape"/>
          <w:pgMar w:top="1803" w:right="1440" w:bottom="1803" w:left="1440" w:header="851" w:footer="992" w:gutter="0"/>
          <w:pgNumType w:fmt="numberInDash"/>
          <w:cols w:space="0" w:num="1"/>
          <w:docGrid w:type="lines" w:linePitch="319" w:charSpace="0"/>
        </w:sectPr>
      </w:pPr>
    </w:p>
    <w:p w14:paraId="1AF5F783">
      <w:pPr>
        <w:pStyle w:val="4"/>
        <w:widowControl/>
        <w:spacing w:beforeAutospacing="0" w:afterAutospacing="0"/>
        <w:rPr>
          <w:rFonts w:ascii="方正仿宋_GBK" w:hAnsi="方正仿宋_GBK" w:eastAsia="方正仿宋_GBK" w:cs="方正仿宋_GBK"/>
          <w:sz w:val="32"/>
          <w:szCs w:val="32"/>
        </w:rPr>
      </w:pPr>
    </w:p>
    <w:tbl>
      <w:tblPr>
        <w:tblStyle w:val="6"/>
        <w:tblpPr w:leftFromText="180" w:rightFromText="180" w:vertAnchor="text" w:horzAnchor="page" w:tblpX="1457" w:tblpY="1120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30"/>
      </w:tblGrid>
      <w:tr w14:paraId="09375E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230" w:type="dxa"/>
            <w:tcBorders>
              <w:tl2br w:val="nil"/>
              <w:tr2bl w:val="nil"/>
            </w:tcBorders>
            <w:noWrap/>
          </w:tcPr>
          <w:p w14:paraId="11ACD570">
            <w:pPr>
              <w:overflowPunct w:val="0"/>
              <w:snapToGrid w:val="0"/>
              <w:spacing w:line="579"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抄送：区住房城乡建委，区应急局，区市场监管局，区消防救援支队。</w:t>
            </w:r>
          </w:p>
        </w:tc>
      </w:tr>
      <w:tr w14:paraId="1010E81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230" w:type="dxa"/>
            <w:tcBorders>
              <w:tl2br w:val="nil"/>
              <w:tr2bl w:val="nil"/>
            </w:tcBorders>
            <w:noWrap/>
          </w:tcPr>
          <w:p w14:paraId="5881FF28">
            <w:pPr>
              <w:overflowPunct w:val="0"/>
              <w:snapToGrid w:val="0"/>
              <w:spacing w:line="579" w:lineRule="exact"/>
              <w:rPr>
                <w:rFonts w:ascii="Times New Roman" w:hAnsi="方正仿宋_GBK" w:eastAsia="方正仿宋_GBK"/>
                <w:sz w:val="32"/>
                <w:szCs w:val="32"/>
              </w:rPr>
            </w:pPr>
            <w:r>
              <w:rPr>
                <w:rFonts w:hint="eastAsia" w:ascii="方正仿宋_GBK" w:hAnsi="方正仿宋_GBK" w:eastAsia="方正仿宋_GBK" w:cs="方正仿宋_GBK"/>
                <w:sz w:val="28"/>
                <w:szCs w:val="28"/>
              </w:rPr>
              <w:t>重庆市大足区民政局办公室     2022年1月25日印发</w:t>
            </w:r>
          </w:p>
        </w:tc>
      </w:tr>
    </w:tbl>
    <w:p w14:paraId="2A3C5915">
      <w:pPr>
        <w:rPr>
          <w:rFonts w:ascii="方正仿宋_GBK" w:hAnsi="方正仿宋_GBK" w:eastAsia="方正仿宋_GBK" w:cs="方正仿宋_GBK"/>
          <w:sz w:val="32"/>
          <w:szCs w:val="32"/>
        </w:rPr>
      </w:pPr>
    </w:p>
    <w:sectPr>
      <w:pgSz w:w="11906" w:h="16838"/>
      <w:pgMar w:top="1984" w:right="1446" w:bottom="1644" w:left="1446"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D8F5">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14:paraId="0F917204">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7132F9D"/>
    <w:rsid w:val="00101237"/>
    <w:rsid w:val="00267F14"/>
    <w:rsid w:val="002A10C9"/>
    <w:rsid w:val="002B09EF"/>
    <w:rsid w:val="0030169F"/>
    <w:rsid w:val="00C87134"/>
    <w:rsid w:val="00F8664D"/>
    <w:rsid w:val="0D655AB3"/>
    <w:rsid w:val="13253B59"/>
    <w:rsid w:val="1C3E53B5"/>
    <w:rsid w:val="220570D7"/>
    <w:rsid w:val="25F5D5FF"/>
    <w:rsid w:val="26362091"/>
    <w:rsid w:val="27132F9D"/>
    <w:rsid w:val="29131E05"/>
    <w:rsid w:val="2CA81A06"/>
    <w:rsid w:val="32861F79"/>
    <w:rsid w:val="53FE0C8E"/>
    <w:rsid w:val="55778BAC"/>
    <w:rsid w:val="582F4C9F"/>
    <w:rsid w:val="6BA76F92"/>
    <w:rsid w:val="73FD4904"/>
    <w:rsid w:val="7AEF41C0"/>
    <w:rsid w:val="7AFDB35B"/>
    <w:rsid w:val="BAB5F3FC"/>
    <w:rsid w:val="BFE7AC4D"/>
    <w:rsid w:val="FEFFC3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customStyle="1" w:styleId="10">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2386</Words>
  <Characters>2453</Characters>
  <Lines>18</Lines>
  <Paragraphs>5</Paragraphs>
  <TotalTime>1</TotalTime>
  <ScaleCrop>false</ScaleCrop>
  <LinksUpToDate>false</LinksUpToDate>
  <CharactersWithSpaces>2480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2022-01-30T01:46:00Z</dcterms:created>
  <dc:creator>pc</dc:creator>
  <cp:lastModifiedBy>Administrator</cp:lastModifiedBy>
  <cp:lastPrinted>2022-01-26T01:04:00Z</cp:lastPrinted>
  <dcterms:modified xsi:type="dcterms:W3CDTF">2025-03-19T09:39:20Z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eyJoZGlkIjoiMGRiNDA5ZmFkMjJmYjJmZWE1ZDQ0ZmEzY2ZkYWZlNTMifQ==</vt:lpwstr>
  </property>
  <property fmtid="{D5CDD505-2E9C-101B-9397-08002B2CF9AE}" pid="4" name="ICV">
    <vt:lpwstr>BFC953104E134C22A26B1E67B8E941AF_12</vt:lpwstr>
  </property>
</Properties>
</file>