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51691">
      <w:pPr>
        <w:spacing w:line="600" w:lineRule="exact"/>
        <w:jc w:val="center"/>
        <w:rPr>
          <w:rFonts w:hint="eastAsia" w:ascii="方正小标宋_GBK" w:hAnsi="方正小标宋_GBK" w:eastAsia="方正小标宋_GBK" w:cs="方正小标宋_GBK"/>
          <w:sz w:val="44"/>
          <w:szCs w:val="44"/>
          <w:highlight w:val="none"/>
          <w:lang w:eastAsia="zh-CN"/>
        </w:rPr>
      </w:pPr>
      <w:r>
        <w:rPr>
          <w:rFonts w:hint="eastAsia" w:ascii="方正小标宋_GBK" w:hAnsi="方正小标宋_GBK" w:eastAsia="方正小标宋_GBK" w:cs="方正小标宋_GBK"/>
          <w:sz w:val="44"/>
          <w:szCs w:val="44"/>
          <w:highlight w:val="none"/>
          <w:lang w:eastAsia="zh-CN"/>
        </w:rPr>
        <w:t>重庆市大足区三驱镇人民政府</w:t>
      </w:r>
    </w:p>
    <w:p w14:paraId="6278C546">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5</w:t>
      </w:r>
      <w:r>
        <w:rPr>
          <w:rFonts w:hint="eastAsia" w:ascii="方正小标宋_GBK" w:hAnsi="方正小标宋_GBK" w:eastAsia="方正小标宋_GBK" w:cs="方正小标宋_GBK"/>
          <w:sz w:val="44"/>
          <w:szCs w:val="44"/>
        </w:rPr>
        <w:t>年部门预算情况说明</w:t>
      </w:r>
    </w:p>
    <w:p w14:paraId="4D92E1BB">
      <w:pPr>
        <w:spacing w:line="600" w:lineRule="exact"/>
        <w:ind w:firstLine="880" w:firstLineChars="200"/>
        <w:jc w:val="center"/>
        <w:rPr>
          <w:rFonts w:hint="eastAsia" w:ascii="华文中宋" w:hAnsi="华文中宋" w:eastAsia="华文中宋" w:cs="华文中宋"/>
          <w:sz w:val="44"/>
          <w:szCs w:val="44"/>
        </w:rPr>
      </w:pPr>
    </w:p>
    <w:p w14:paraId="07AA9D71">
      <w:pPr>
        <w:numPr>
          <w:ilvl w:val="0"/>
          <w:numId w:val="1"/>
        </w:numPr>
        <w:spacing w:line="600" w:lineRule="exact"/>
        <w:ind w:firstLine="640" w:firstLineChars="200"/>
        <w:rPr>
          <w:rFonts w:ascii="黑体" w:hAnsi="黑体" w:eastAsia="黑体" w:cs="仿宋_GB2312"/>
          <w:sz w:val="32"/>
        </w:rPr>
      </w:pPr>
      <w:r>
        <w:rPr>
          <w:rFonts w:hint="eastAsia" w:ascii="黑体" w:hAnsi="黑体" w:eastAsia="黑体" w:cs="仿宋_GB2312"/>
          <w:sz w:val="32"/>
        </w:rPr>
        <w:t>单位基本情况</w:t>
      </w:r>
    </w:p>
    <w:p w14:paraId="419C9DC5">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（一）职能职责。</w:t>
      </w:r>
    </w:p>
    <w:p w14:paraId="49158A1C">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 xml:space="preserve">部门现行的职能职责:  </w:t>
      </w:r>
    </w:p>
    <w:p w14:paraId="56348D08">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基层治理综合指挥室：联动协调“党的建设、经济发展、民生服务、平安法治”四个板块运作，强化统筹协调、监督考评、分析研判、应急指挥等职能；承担基层治理指挥中心平台运行的管理保障、平台接收事项的交办跟踪和督办工作；做好网格建设工作，推动镇人民政府管理、基层群众自治以及群众团体、社会组织、志愿者服务等融入网格管理。</w:t>
      </w:r>
    </w:p>
    <w:p w14:paraId="20266545">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党的建设办公室：承担党的建设板块的日常管理协调工作。负责党风廉政建设、机要保密、宣传、精神文明建设、督查督办、目标管理、统战、网络安全与信息化、法制、武装、机构编制、人事、民宗侨台以及综合协调、文秘等工作；负责基层党的建设工作及工会、共青团、妇联等群团工作；负责本级人大工委日常工作，承办人大信访、组织协调人大代表活动、联系人大代表、人民代表大会召开的协调筹备等工作，督促办理人大代表提出的建议、批评和意见等工作。</w:t>
      </w:r>
    </w:p>
    <w:p w14:paraId="385AA140">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3.经济发展办公室：承担经济发展板块的日常管理协调工作。负责经济发展规划、农村经营管理、经济社会统计、科学技术、商贸流通、乡村振兴、产业发展、招商引资、农产品质量安全监管等工作；负责协调水、电、气、通信等工作；负责规划建设、市政公用、市容环卫、生态环境保护、自然资源管理、土地利用管理、交通建设等工作；负责扶持壮大村级集体经济。负责财政收支、预决算、总会计、惠农资金兑付、财政资金监督检查、绩效评价、村（社区）财务管理等工作。</w:t>
      </w:r>
    </w:p>
    <w:p w14:paraId="526E2B01">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4.民生服务办公室：承担民生服务板块的日常管理协调工作。负责民政、教育、卫生健康、老龄事业发展、文化旅游、体育、社会救助、残疾人事业、劳动就业、社会保障、医疗保障等管理工作；负责退役军人事务、拥军优属等管理工作；负责物业管理活动指导和监督。</w:t>
      </w:r>
    </w:p>
    <w:p w14:paraId="30D5D4C6">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5.平安法治办公室：承担平安法治板块的日常管理协调工作。负责平安建设，法治政府建设，维护国家政治安全和社会稳定，防范和妥善处理邪教，信访等工作；负责安全生产综合监管、应急管理等工作；负责消防、森林防火、抗洪抢险、地震和地质灾害救援、生产安全事故救援等工作；协助开展煤矿、非煤矿山、危险化学品、烟花爆竹等安全生产日常监督工作。统筹综合行政执法力量。</w:t>
      </w:r>
    </w:p>
    <w:p w14:paraId="5683F203">
      <w:pPr>
        <w:spacing w:line="600" w:lineRule="exact"/>
        <w:ind w:firstLine="640" w:firstLineChars="200"/>
        <w:rPr>
          <w:rFonts w:ascii="仿宋_GB2312" w:hAnsi="仿宋_GB2312" w:eastAsia="仿宋_GB2312" w:cs="仿宋_GB2312"/>
          <w:sz w:val="32"/>
        </w:rPr>
      </w:pPr>
      <w:r>
        <w:rPr>
          <w:rFonts w:hint="eastAsia" w:ascii="仿宋_GB2312" w:hAnsi="仿宋_GB2312" w:eastAsia="仿宋_GB2312" w:cs="仿宋_GB2312"/>
          <w:sz w:val="32"/>
          <w:lang w:val="en-US" w:eastAsia="zh-CN"/>
        </w:rPr>
        <w:t>（二）单位构成：重庆市大足区三驱镇人民政府是政府机关，下设有产业发展服</w:t>
      </w:r>
      <w:bookmarkStart w:id="0" w:name="_GoBack"/>
      <w:bookmarkEnd w:id="0"/>
      <w:r>
        <w:rPr>
          <w:rFonts w:hint="eastAsia" w:ascii="仿宋_GB2312" w:hAnsi="仿宋_GB2312" w:eastAsia="仿宋_GB2312" w:cs="仿宋_GB2312"/>
          <w:sz w:val="32"/>
          <w:lang w:val="en-US" w:eastAsia="zh-CN"/>
        </w:rPr>
        <w:t>务中心、新时代文明实践服务中心、便民服务中心（退役军人服务站）、综合行政执法大队、村居事务服务中心5个事业单位。</w:t>
      </w:r>
    </w:p>
    <w:p w14:paraId="21E8DE2A">
      <w:pPr>
        <w:numPr>
          <w:ilvl w:val="0"/>
          <w:numId w:val="1"/>
        </w:numPr>
        <w:spacing w:line="600" w:lineRule="exact"/>
        <w:ind w:firstLine="640" w:firstLineChars="200"/>
        <w:rPr>
          <w:rFonts w:ascii="黑体" w:hAnsi="黑体" w:eastAsia="黑体" w:cs="仿宋_GB2312"/>
          <w:sz w:val="32"/>
        </w:rPr>
      </w:pPr>
      <w:r>
        <w:rPr>
          <w:rFonts w:hint="eastAsia" w:ascii="黑体" w:hAnsi="黑体" w:eastAsia="黑体" w:cs="仿宋_GB2312"/>
          <w:sz w:val="32"/>
        </w:rPr>
        <w:t>部门</w:t>
      </w:r>
      <w:r>
        <w:rPr>
          <w:rFonts w:ascii="黑体" w:hAnsi="黑体" w:eastAsia="黑体" w:cs="仿宋_GB2312"/>
          <w:sz w:val="32"/>
        </w:rPr>
        <w:t>收支总体情况</w:t>
      </w:r>
    </w:p>
    <w:p w14:paraId="0145AB81">
      <w:pPr>
        <w:spacing w:line="600" w:lineRule="exact"/>
        <w:ind w:firstLine="640" w:firstLineChars="200"/>
        <w:rPr>
          <w:rFonts w:hint="eastAsia" w:ascii="仿宋_GB2312" w:hAnsi="仿宋_GB2312" w:eastAsia="仿宋_GB2312" w:cs="仿宋_GB2312"/>
          <w:color w:val="auto"/>
          <w:sz w:val="32"/>
          <w:lang w:val="en-US" w:eastAsia="zh-CN"/>
        </w:rPr>
      </w:pPr>
      <w:r>
        <w:rPr>
          <w:rFonts w:hint="eastAsia" w:ascii="仿宋_GB2312" w:hAnsi="仿宋_GB2312" w:eastAsia="仿宋_GB2312" w:cs="仿宋_GB2312"/>
          <w:sz w:val="32"/>
          <w:lang w:val="en-US" w:eastAsia="zh-CN"/>
        </w:rPr>
        <w:t>（一）收入预算：2025年年初预算数</w:t>
      </w:r>
      <w:r>
        <w:rPr>
          <w:rFonts w:hint="eastAsia" w:ascii="仿宋_GB2312" w:hAnsi="仿宋_GB2312" w:eastAsia="仿宋_GB2312" w:cs="仿宋_GB2312"/>
          <w:sz w:val="32"/>
          <w:highlight w:val="none"/>
          <w:lang w:val="en-US" w:eastAsia="zh-CN"/>
        </w:rPr>
        <w:t>4219.46</w:t>
      </w:r>
      <w:r>
        <w:rPr>
          <w:rFonts w:hint="eastAsia" w:ascii="仿宋_GB2312" w:hAnsi="仿宋_GB2312" w:eastAsia="仿宋_GB2312" w:cs="仿宋_GB2312"/>
          <w:sz w:val="32"/>
          <w:lang w:val="en-US" w:eastAsia="zh-CN"/>
        </w:rPr>
        <w:t>万元，其中：一般公共预算拨款</w:t>
      </w:r>
      <w:r>
        <w:rPr>
          <w:rFonts w:hint="eastAsia" w:ascii="仿宋_GB2312" w:hAnsi="仿宋_GB2312" w:eastAsia="仿宋_GB2312" w:cs="仿宋_GB2312"/>
          <w:sz w:val="32"/>
          <w:highlight w:val="none"/>
          <w:lang w:val="en-US" w:eastAsia="zh-CN"/>
        </w:rPr>
        <w:t>4148.95</w:t>
      </w:r>
      <w:r>
        <w:rPr>
          <w:rFonts w:hint="eastAsia" w:ascii="仿宋_GB2312" w:hAnsi="仿宋_GB2312" w:eastAsia="仿宋_GB2312" w:cs="仿宋_GB2312"/>
          <w:sz w:val="32"/>
          <w:lang w:val="en-US" w:eastAsia="zh-CN"/>
        </w:rPr>
        <w:t>万元，政府性基金预算拨款70.51万元，国有资本经营预算收入0万元，事业收入0万元，事业单位经营收入0万元，其他收入0万元。</w:t>
      </w:r>
      <w:r>
        <w:rPr>
          <w:rFonts w:hint="eastAsia" w:ascii="仿宋_GB2312" w:hAnsi="仿宋_GB2312" w:eastAsia="仿宋_GB2312" w:cs="仿宋_GB2312"/>
          <w:color w:val="auto"/>
          <w:sz w:val="32"/>
          <w:lang w:val="en-US" w:eastAsia="zh-CN"/>
        </w:rPr>
        <w:t>收入较去年增加182.24万元，主要是城乡社区、农林水和其他支出等经费拨款增加。</w:t>
      </w:r>
    </w:p>
    <w:p w14:paraId="0B38B420">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（二）支出预算：2025年年初预算数</w:t>
      </w:r>
      <w:r>
        <w:rPr>
          <w:rFonts w:hint="eastAsia" w:ascii="仿宋_GB2312" w:hAnsi="仿宋_GB2312" w:eastAsia="仿宋_GB2312" w:cs="仿宋_GB2312"/>
          <w:sz w:val="32"/>
          <w:highlight w:val="none"/>
          <w:lang w:val="en-US" w:eastAsia="zh-CN"/>
        </w:rPr>
        <w:t>4219.46</w:t>
      </w:r>
      <w:r>
        <w:rPr>
          <w:rFonts w:hint="eastAsia" w:ascii="仿宋_GB2312" w:hAnsi="仿宋_GB2312" w:eastAsia="仿宋_GB2312" w:cs="仿宋_GB2312"/>
          <w:sz w:val="32"/>
          <w:lang w:val="en-US" w:eastAsia="zh-CN"/>
        </w:rPr>
        <w:t>万元，其中：一般公共服务支出1212.69万元，文化旅游体育与传媒支出78.46万元，社会保障和就业支出685.27万元，卫生健康支出105.01万元，城乡社区支出</w:t>
      </w:r>
      <w:r>
        <w:rPr>
          <w:rFonts w:hint="eastAsia" w:ascii="仿宋_GB2312" w:hAnsi="仿宋_GB2312" w:eastAsia="仿宋_GB2312" w:cs="仿宋_GB2312"/>
          <w:sz w:val="32"/>
          <w:highlight w:val="none"/>
          <w:lang w:val="en-US" w:eastAsia="zh-CN"/>
        </w:rPr>
        <w:t>575.48</w:t>
      </w:r>
      <w:r>
        <w:rPr>
          <w:rFonts w:hint="eastAsia" w:ascii="仿宋_GB2312" w:hAnsi="仿宋_GB2312" w:eastAsia="仿宋_GB2312" w:cs="仿宋_GB2312"/>
          <w:sz w:val="32"/>
          <w:lang w:val="en-US" w:eastAsia="zh-CN"/>
        </w:rPr>
        <w:t>万元，农林水支出1348.55万元，住房保障支出114.59万元。支出较去年</w:t>
      </w:r>
      <w:r>
        <w:rPr>
          <w:rFonts w:hint="eastAsia" w:ascii="仿宋_GB2312" w:hAnsi="仿宋_GB2312" w:eastAsia="仿宋_GB2312" w:cs="仿宋_GB2312"/>
          <w:color w:val="auto"/>
          <w:sz w:val="32"/>
          <w:lang w:val="en-US" w:eastAsia="zh-CN"/>
        </w:rPr>
        <w:t>增加182.24</w:t>
      </w:r>
      <w:r>
        <w:rPr>
          <w:rFonts w:hint="eastAsia" w:ascii="仿宋_GB2312" w:hAnsi="仿宋_GB2312" w:eastAsia="仿宋_GB2312" w:cs="仿宋_GB2312"/>
          <w:sz w:val="32"/>
          <w:lang w:val="en-US" w:eastAsia="zh-CN"/>
        </w:rPr>
        <w:t>万元，</w:t>
      </w:r>
      <w:r>
        <w:rPr>
          <w:rFonts w:hint="eastAsia" w:ascii="仿宋_GB2312" w:hAnsi="仿宋_GB2312" w:eastAsia="仿宋_GB2312" w:cs="仿宋_GB2312"/>
          <w:color w:val="auto"/>
          <w:sz w:val="32"/>
          <w:lang w:val="en-US" w:eastAsia="zh-CN"/>
        </w:rPr>
        <w:t>主要是社会保障和就业、农林水等项目增加</w:t>
      </w:r>
      <w:r>
        <w:rPr>
          <w:rFonts w:hint="eastAsia" w:ascii="仿宋_GB2312" w:hAnsi="仿宋_GB2312" w:eastAsia="仿宋_GB2312" w:cs="仿宋_GB2312"/>
          <w:sz w:val="32"/>
          <w:lang w:val="en-US" w:eastAsia="zh-CN"/>
        </w:rPr>
        <w:t>。</w:t>
      </w:r>
    </w:p>
    <w:p w14:paraId="7F8DAC89">
      <w:pPr>
        <w:numPr>
          <w:ilvl w:val="0"/>
          <w:numId w:val="1"/>
        </w:numPr>
        <w:spacing w:line="600" w:lineRule="exact"/>
        <w:ind w:firstLine="640" w:firstLineChars="200"/>
        <w:rPr>
          <w:rFonts w:hint="eastAsia" w:ascii="黑体" w:hAnsi="黑体" w:eastAsia="黑体" w:cs="仿宋_GB2312"/>
          <w:sz w:val="32"/>
        </w:rPr>
      </w:pPr>
      <w:r>
        <w:rPr>
          <w:rFonts w:hint="eastAsia" w:ascii="黑体" w:hAnsi="黑体" w:eastAsia="黑体" w:cs="仿宋_GB2312"/>
          <w:sz w:val="32"/>
        </w:rPr>
        <w:t>部门预算情况说明</w:t>
      </w:r>
    </w:p>
    <w:p w14:paraId="71A46854">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2025年一般公共预算财政拨款收入</w:t>
      </w:r>
      <w:r>
        <w:rPr>
          <w:rFonts w:hint="eastAsia" w:ascii="仿宋_GB2312" w:hAnsi="仿宋_GB2312" w:eastAsia="仿宋_GB2312" w:cs="仿宋_GB2312"/>
          <w:sz w:val="32"/>
          <w:highlight w:val="none"/>
          <w:lang w:val="en-US" w:eastAsia="zh-CN"/>
        </w:rPr>
        <w:t>4148.95</w:t>
      </w:r>
      <w:r>
        <w:rPr>
          <w:rFonts w:hint="eastAsia" w:ascii="仿宋_GB2312" w:hAnsi="仿宋_GB2312" w:eastAsia="仿宋_GB2312" w:cs="仿宋_GB2312"/>
          <w:sz w:val="32"/>
          <w:lang w:val="en-US" w:eastAsia="zh-CN"/>
        </w:rPr>
        <w:t>万元，一般公共预算财政拨款支出</w:t>
      </w:r>
      <w:r>
        <w:rPr>
          <w:rFonts w:hint="eastAsia" w:ascii="仿宋_GB2312" w:hAnsi="仿宋_GB2312" w:eastAsia="仿宋_GB2312" w:cs="仿宋_GB2312"/>
          <w:sz w:val="32"/>
          <w:highlight w:val="none"/>
          <w:lang w:val="en-US" w:eastAsia="zh-CN"/>
        </w:rPr>
        <w:t>4148.95</w:t>
      </w:r>
      <w:r>
        <w:rPr>
          <w:rFonts w:hint="eastAsia" w:ascii="仿宋_GB2312" w:hAnsi="仿宋_GB2312" w:eastAsia="仿宋_GB2312" w:cs="仿宋_GB2312"/>
          <w:sz w:val="32"/>
          <w:lang w:val="en-US" w:eastAsia="zh-CN"/>
        </w:rPr>
        <w:t>万元，比2024年增加165.5万元。其中：基本支出2547.93万元，比2024年增加72.5万元，主要原因根据政策要求全面调整了人员的社会保险基数，主要用于保障在职人员、村（社区）干部工资福利及社会保险缴费，退休人员补助等，保障部门正常运转的各项公用经费支出等；项目支出</w:t>
      </w:r>
      <w:r>
        <w:rPr>
          <w:rFonts w:hint="eastAsia" w:ascii="仿宋_GB2312" w:hAnsi="仿宋_GB2312" w:eastAsia="仿宋_GB2312" w:cs="仿宋_GB2312"/>
          <w:sz w:val="32"/>
          <w:highlight w:val="none"/>
          <w:lang w:val="en-US" w:eastAsia="zh-CN"/>
        </w:rPr>
        <w:t>1601.02</w:t>
      </w:r>
      <w:r>
        <w:rPr>
          <w:rFonts w:hint="eastAsia" w:ascii="仿宋_GB2312" w:hAnsi="仿宋_GB2312" w:eastAsia="仿宋_GB2312" w:cs="仿宋_GB2312"/>
          <w:sz w:val="32"/>
          <w:lang w:val="en-US" w:eastAsia="zh-CN"/>
        </w:rPr>
        <w:t>万元，比2024年增加93.01万元，主要原因是三支一扶人员补助、村（社区）干部社保补助、人大支出及维稳工作等项目经费增加，主要用于发放三支一扶人员补助、村（社区）干部社保、人大相关工作支出及维稳工作等。</w:t>
      </w:r>
    </w:p>
    <w:p w14:paraId="74A5CD9B">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2025年政府性基金预算收入70.51万元，政府性基金预算支出70.51万元，比2024年增加16.74万元，主要原因是结转了2024年小型水库库区困难扶助资金、城乡社区居家养老服务全覆盖设施建设奖补资金及2024年交通项目补助资金等项目，主要用于水库库区困难扶助、养老服务设施建设及公路养护支出。</w:t>
      </w:r>
    </w:p>
    <w:p w14:paraId="05A36A32">
      <w:pPr>
        <w:numPr>
          <w:ilvl w:val="0"/>
          <w:numId w:val="1"/>
        </w:numPr>
        <w:spacing w:line="600" w:lineRule="exact"/>
        <w:ind w:firstLine="640" w:firstLineChars="200"/>
        <w:rPr>
          <w:rFonts w:hint="eastAsia" w:ascii="黑体" w:hAnsi="黑体" w:eastAsia="黑体" w:cs="仿宋_GB2312"/>
          <w:sz w:val="32"/>
        </w:rPr>
      </w:pPr>
      <w:r>
        <w:rPr>
          <w:rFonts w:hint="eastAsia" w:ascii="黑体" w:hAnsi="黑体" w:eastAsia="黑体" w:cs="仿宋_GB2312"/>
          <w:sz w:val="32"/>
        </w:rPr>
        <w:t>“三公”经费情况说明</w:t>
      </w:r>
    </w:p>
    <w:p w14:paraId="67E69272">
      <w:pPr>
        <w:spacing w:line="6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2025年“三公”经费预算20万元，与2024年持平。其中：公务接待费8万元，与2024年持平，公务用车运行维护费12万元，与2024年持平，公务用车购置费0万元，主要原因是我单位认真贯彻落实中央八项规定要求，机关厉行节约严格控制支出。</w:t>
      </w:r>
    </w:p>
    <w:p w14:paraId="46B55589">
      <w:pPr>
        <w:numPr>
          <w:ilvl w:val="0"/>
          <w:numId w:val="1"/>
        </w:numPr>
        <w:spacing w:line="600" w:lineRule="exact"/>
        <w:ind w:firstLine="640" w:firstLineChars="200"/>
        <w:rPr>
          <w:rFonts w:hint="eastAsia" w:ascii="黑体" w:hAnsi="黑体" w:eastAsia="黑体" w:cs="仿宋_GB2312"/>
          <w:sz w:val="32"/>
        </w:rPr>
      </w:pPr>
      <w:r>
        <w:rPr>
          <w:rFonts w:hint="eastAsia" w:ascii="黑体" w:hAnsi="黑体" w:eastAsia="黑体" w:cs="仿宋_GB2312"/>
          <w:sz w:val="32"/>
        </w:rPr>
        <w:t>其他重要</w:t>
      </w:r>
      <w:r>
        <w:rPr>
          <w:rFonts w:ascii="黑体" w:hAnsi="黑体" w:eastAsia="黑体" w:cs="仿宋_GB2312"/>
          <w:sz w:val="32"/>
        </w:rPr>
        <w:t>事项的情况说明</w:t>
      </w:r>
    </w:p>
    <w:p w14:paraId="533DCEC6">
      <w:pPr>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机关运行经费。2025年一般公共预算财政拨款运行经费455.99万元，比上年增加4.49万元，主要原因是增加了办公费及电费支出，减少了差旅费。主要用于办公费、印刷费、邮电费、水电费、物管费、会议费、培训费及其他商品和服务支出等。</w:t>
      </w:r>
    </w:p>
    <w:p w14:paraId="693D6F18">
      <w:pPr>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政府采购情况。所属各预算单位政府采购预算总额7万元：政府采购货物预算7万元、政府采购工程预算0万元、政府采购服务预算0万元；其中一般公共预算拨款政府采购7万元：政府采购货物预算7万元、政府采购工程预算0万元、政府采购服务预算0万元。</w:t>
      </w:r>
    </w:p>
    <w:p w14:paraId="2F697485">
      <w:pPr>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3.绩效目标设置情况。2025年项目支出均实行了绩效目标管理，涉及一般公共预算当年财政拨款0万元。</w:t>
      </w:r>
    </w:p>
    <w:p w14:paraId="35DCCBEE">
      <w:pPr>
        <w:ind w:firstLine="640" w:firstLineChars="200"/>
        <w:rPr>
          <w:rFonts w:hint="eastAsia" w:ascii="Calibri" w:hAnsi="Calibri" w:eastAsia="宋体" w:cs="Times New Roman"/>
          <w:sz w:val="32"/>
          <w:szCs w:val="32"/>
          <w:lang w:val="en-US" w:eastAsia="zh-CN"/>
        </w:rPr>
      </w:pPr>
      <w:r>
        <w:rPr>
          <w:rFonts w:hint="eastAsia" w:ascii="仿宋_GB2312" w:hAnsi="仿宋_GB2312" w:eastAsia="仿宋_GB2312" w:cs="仿宋_GB2312"/>
          <w:sz w:val="32"/>
          <w:lang w:val="en-US" w:eastAsia="zh-CN"/>
        </w:rPr>
        <w:t>4.国有资产占有使用情况。截止2024年12月，所属各预算单位共有车辆5辆，其中一般公务用车5辆</w:t>
      </w:r>
      <w:r>
        <w:rPr>
          <w:rFonts w:hint="eastAsia" w:ascii="仿宋_GB2312" w:hAnsi="仿宋_GB2312" w:eastAsia="仿宋_GB2312" w:cs="仿宋_GB2312"/>
          <w:color w:val="000000"/>
          <w:sz w:val="32"/>
        </w:rPr>
        <w:t>、执勤执法用车</w:t>
      </w:r>
      <w:r>
        <w:rPr>
          <w:rFonts w:hint="eastAsia" w:ascii="仿宋_GB2312" w:hAnsi="仿宋_GB2312" w:eastAsia="仿宋_GB2312" w:cs="仿宋_GB2312"/>
          <w:color w:val="000000"/>
          <w:sz w:val="32"/>
          <w:lang w:val="en-US" w:eastAsia="zh-CN"/>
        </w:rPr>
        <w:t>0</w:t>
      </w:r>
      <w:r>
        <w:rPr>
          <w:rFonts w:hint="eastAsia" w:ascii="仿宋_GB2312" w:hAnsi="仿宋_GB2312" w:eastAsia="仿宋_GB2312" w:cs="仿宋_GB2312"/>
          <w:color w:val="000000"/>
          <w:sz w:val="32"/>
        </w:rPr>
        <w:t>辆。</w:t>
      </w:r>
      <w:r>
        <w:rPr>
          <w:rFonts w:hint="eastAsia" w:ascii="仿宋_GB2312" w:hAnsi="仿宋_GB2312" w:eastAsia="仿宋_GB2312" w:cs="仿宋_GB2312"/>
          <w:color w:val="000000"/>
          <w:sz w:val="32"/>
          <w:lang w:eastAsia="zh-CN"/>
        </w:rPr>
        <w:t>202</w:t>
      </w:r>
      <w:r>
        <w:rPr>
          <w:rFonts w:hint="eastAsia" w:ascii="仿宋_GB2312" w:hAnsi="仿宋_GB2312" w:eastAsia="仿宋_GB2312" w:cs="仿宋_GB2312"/>
          <w:color w:val="000000"/>
          <w:sz w:val="32"/>
          <w:lang w:val="en-US" w:eastAsia="zh-CN"/>
        </w:rPr>
        <w:t>4</w:t>
      </w:r>
      <w:r>
        <w:rPr>
          <w:rFonts w:hint="eastAsia" w:ascii="仿宋_GB2312" w:hAnsi="仿宋_GB2312" w:eastAsia="仿宋_GB2312" w:cs="仿宋_GB2312"/>
          <w:color w:val="000000"/>
          <w:sz w:val="32"/>
        </w:rPr>
        <w:t>年一般公共预算安排购置车辆</w:t>
      </w:r>
      <w:r>
        <w:rPr>
          <w:rFonts w:hint="eastAsia" w:ascii="仿宋_GB2312" w:hAnsi="仿宋_GB2312" w:eastAsia="仿宋_GB2312" w:cs="仿宋_GB2312"/>
          <w:color w:val="000000"/>
          <w:sz w:val="32"/>
          <w:lang w:val="en-US" w:eastAsia="zh-CN"/>
        </w:rPr>
        <w:t>0</w:t>
      </w:r>
      <w:r>
        <w:rPr>
          <w:rFonts w:hint="eastAsia" w:ascii="仿宋_GB2312" w:hAnsi="仿宋_GB2312" w:eastAsia="仿宋_GB2312" w:cs="仿宋_GB2312"/>
          <w:color w:val="000000"/>
          <w:sz w:val="32"/>
        </w:rPr>
        <w:t>辆，其中一般公务用车</w:t>
      </w:r>
      <w:r>
        <w:rPr>
          <w:rFonts w:hint="eastAsia" w:ascii="仿宋_GB2312" w:hAnsi="仿宋_GB2312" w:eastAsia="仿宋_GB2312" w:cs="仿宋_GB2312"/>
          <w:color w:val="000000"/>
          <w:sz w:val="32"/>
          <w:lang w:val="en-US" w:eastAsia="zh-CN"/>
        </w:rPr>
        <w:t>0</w:t>
      </w:r>
      <w:r>
        <w:rPr>
          <w:rFonts w:hint="eastAsia" w:ascii="仿宋_GB2312" w:hAnsi="仿宋_GB2312" w:eastAsia="仿宋_GB2312" w:cs="仿宋_GB2312"/>
          <w:color w:val="000000"/>
          <w:sz w:val="32"/>
        </w:rPr>
        <w:t>辆、执勤执法用车</w:t>
      </w:r>
      <w:r>
        <w:rPr>
          <w:rFonts w:hint="eastAsia" w:ascii="仿宋_GB2312" w:hAnsi="仿宋_GB2312" w:eastAsia="仿宋_GB2312" w:cs="仿宋_GB2312"/>
          <w:color w:val="000000"/>
          <w:sz w:val="32"/>
          <w:lang w:val="en-US" w:eastAsia="zh-CN"/>
        </w:rPr>
        <w:t>0</w:t>
      </w:r>
      <w:r>
        <w:rPr>
          <w:rFonts w:hint="eastAsia" w:ascii="仿宋_GB2312" w:hAnsi="仿宋_GB2312" w:eastAsia="仿宋_GB2312" w:cs="仿宋_GB2312"/>
          <w:color w:val="000000"/>
          <w:sz w:val="32"/>
        </w:rPr>
        <w:t>辆。</w:t>
      </w:r>
    </w:p>
    <w:p w14:paraId="66659D97">
      <w:pPr>
        <w:ind w:firstLine="640" w:firstLineChars="200"/>
        <w:rPr>
          <w:rFonts w:hint="eastAsia" w:ascii="黑体" w:hAnsi="黑体" w:eastAsia="黑体" w:cs="仿宋_GB2312"/>
          <w:sz w:val="32"/>
        </w:rPr>
      </w:pPr>
      <w:r>
        <w:rPr>
          <w:rFonts w:hint="eastAsia" w:ascii="黑体" w:hAnsi="黑体" w:eastAsia="黑体" w:cs="仿宋_GB2312"/>
          <w:sz w:val="32"/>
          <w:lang w:eastAsia="zh-CN"/>
        </w:rPr>
        <w:t>六、</w:t>
      </w:r>
      <w:r>
        <w:rPr>
          <w:rFonts w:hint="eastAsia" w:ascii="黑体" w:hAnsi="黑体" w:eastAsia="黑体" w:cs="仿宋_GB2312"/>
          <w:sz w:val="32"/>
        </w:rPr>
        <w:t>专业性名词</w:t>
      </w:r>
      <w:r>
        <w:rPr>
          <w:rFonts w:ascii="黑体" w:hAnsi="黑体" w:eastAsia="黑体" w:cs="仿宋_GB2312"/>
          <w:sz w:val="32"/>
        </w:rPr>
        <w:t>解释</w:t>
      </w:r>
    </w:p>
    <w:p w14:paraId="45809E7A">
      <w:pPr>
        <w:pStyle w:val="4"/>
        <w:tabs>
          <w:tab w:val="center" w:pos="4153"/>
          <w:tab w:val="left" w:pos="7275"/>
        </w:tabs>
        <w:spacing w:line="600" w:lineRule="exact"/>
        <w:ind w:firstLine="640"/>
        <w:jc w:val="left"/>
        <w:rPr>
          <w:rFonts w:hint="eastAsia" w:ascii="方正仿宋_GBK" w:hAnsi="Calibri" w:eastAsia="方正仿宋_GBK" w:cs="Times New Roman"/>
          <w:sz w:val="32"/>
          <w:szCs w:val="32"/>
        </w:rPr>
      </w:pPr>
      <w:r>
        <w:rPr>
          <w:rFonts w:hint="eastAsia" w:ascii="方正仿宋_GBK" w:hAnsi="Calibri" w:eastAsia="方正仿宋_GBK" w:cs="Times New Roman"/>
          <w:sz w:val="32"/>
          <w:szCs w:val="32"/>
        </w:rPr>
        <w:t>（一）财政拨款收入：指本年度从本级财政部门取得的财政拨款，包括一般公共预算财政拨款和政府性基金预算财政拨款。</w:t>
      </w:r>
    </w:p>
    <w:p w14:paraId="2E10DBF3">
      <w:pPr>
        <w:pStyle w:val="4"/>
        <w:tabs>
          <w:tab w:val="center" w:pos="4153"/>
          <w:tab w:val="left" w:pos="7275"/>
        </w:tabs>
        <w:spacing w:line="600" w:lineRule="exact"/>
        <w:ind w:firstLine="640"/>
        <w:jc w:val="left"/>
        <w:rPr>
          <w:rFonts w:hint="eastAsia" w:ascii="方正仿宋_GBK" w:hAnsi="Calibri" w:eastAsia="方正仿宋_GBK" w:cs="Times New Roman"/>
          <w:sz w:val="32"/>
          <w:szCs w:val="32"/>
        </w:rPr>
      </w:pPr>
      <w:r>
        <w:rPr>
          <w:rFonts w:hint="eastAsia" w:ascii="方正仿宋_GBK" w:hAnsi="Calibri" w:eastAsia="方正仿宋_GBK" w:cs="Times New Roman"/>
          <w:sz w:val="32"/>
          <w:szCs w:val="32"/>
        </w:rPr>
        <w:t>（二）其他收入：指单位取得的除“财政拨款收入”、“事业收入”、“经营收入”等以外的收入。</w:t>
      </w:r>
    </w:p>
    <w:p w14:paraId="3F259C98">
      <w:pPr>
        <w:pStyle w:val="4"/>
        <w:tabs>
          <w:tab w:val="center" w:pos="4153"/>
          <w:tab w:val="left" w:pos="7275"/>
        </w:tabs>
        <w:spacing w:line="600" w:lineRule="exact"/>
        <w:ind w:firstLine="640"/>
        <w:jc w:val="left"/>
        <w:rPr>
          <w:rFonts w:hint="eastAsia" w:ascii="方正仿宋_GBK" w:hAnsi="Calibri" w:eastAsia="方正仿宋_GBK" w:cs="Times New Roman"/>
          <w:sz w:val="32"/>
          <w:szCs w:val="32"/>
        </w:rPr>
      </w:pPr>
      <w:r>
        <w:rPr>
          <w:rFonts w:hint="eastAsia" w:ascii="方正仿宋_GBK" w:hAnsi="Calibri" w:eastAsia="方正仿宋_GBK" w:cs="Times New Roman"/>
          <w:sz w:val="32"/>
          <w:szCs w:val="32"/>
        </w:rPr>
        <w:t>（三）基本支出：指为保障机构正常运转、完成日常工作任务而发生的人员经费和公用经费。</w:t>
      </w:r>
    </w:p>
    <w:p w14:paraId="7755744A">
      <w:pPr>
        <w:pStyle w:val="4"/>
        <w:tabs>
          <w:tab w:val="center" w:pos="4153"/>
          <w:tab w:val="left" w:pos="7275"/>
        </w:tabs>
        <w:spacing w:line="600" w:lineRule="exact"/>
        <w:ind w:firstLine="640"/>
        <w:jc w:val="left"/>
        <w:rPr>
          <w:rFonts w:hint="eastAsia" w:ascii="方正仿宋_GBK" w:hAnsi="Calibri" w:eastAsia="方正仿宋_GBK" w:cs="Times New Roman"/>
          <w:sz w:val="32"/>
          <w:szCs w:val="32"/>
        </w:rPr>
      </w:pPr>
      <w:r>
        <w:rPr>
          <w:rFonts w:hint="eastAsia" w:ascii="方正仿宋_GBK" w:hAnsi="Calibri" w:eastAsia="方正仿宋_GBK" w:cs="Times New Roman"/>
          <w:sz w:val="32"/>
          <w:szCs w:val="32"/>
        </w:rPr>
        <w:t>（四）项目支出：指在基本支出之外为完成特定行政任务和事业发展目标所发生的支出。</w:t>
      </w:r>
    </w:p>
    <w:p w14:paraId="08BFB2EA">
      <w:pPr>
        <w:pStyle w:val="4"/>
        <w:tabs>
          <w:tab w:val="center" w:pos="4153"/>
          <w:tab w:val="left" w:pos="7275"/>
        </w:tabs>
        <w:spacing w:line="600" w:lineRule="exact"/>
        <w:ind w:firstLine="640"/>
        <w:jc w:val="left"/>
        <w:rPr>
          <w:rFonts w:hint="eastAsia" w:ascii="方正仿宋_GBK" w:eastAsia="方正仿宋_GBK"/>
          <w:sz w:val="32"/>
          <w:szCs w:val="32"/>
        </w:rPr>
      </w:pPr>
      <w:r>
        <w:rPr>
          <w:rFonts w:hint="eastAsia" w:ascii="方正仿宋_GBK" w:hAnsi="Calibri" w:eastAsia="方正仿宋_GBK" w:cs="Times New Roman"/>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等支出；公务接待费反映单位按规定开支的各类公务接待（含外宾接待）支出。</w:t>
      </w:r>
    </w:p>
    <w:p w14:paraId="050B0414">
      <w:pPr>
        <w:rPr>
          <w:rFonts w:hint="eastAsia" w:ascii="仿宋_GB2312" w:hAnsi="仿宋_GB2312" w:eastAsia="仿宋_GB2312" w:cs="仿宋_GB2312"/>
          <w:b/>
          <w:sz w:val="32"/>
          <w:lang w:val="en-US" w:eastAsia="zh-CN"/>
        </w:rPr>
      </w:pPr>
      <w:r>
        <w:rPr>
          <w:rFonts w:hint="eastAsia" w:ascii="仿宋_GB2312" w:hAnsi="仿宋_GB2312" w:eastAsia="仿宋_GB2312" w:cs="仿宋_GB2312"/>
          <w:b/>
          <w:sz w:val="32"/>
          <w:highlight w:val="none"/>
          <w:lang w:eastAsia="zh-CN"/>
        </w:rPr>
        <w:t>（</w:t>
      </w:r>
      <w:r>
        <w:rPr>
          <w:rFonts w:hint="eastAsia" w:ascii="仿宋_GB2312" w:hAnsi="仿宋_GB2312" w:eastAsia="仿宋_GB2312" w:cs="仿宋_GB2312"/>
          <w:b/>
          <w:sz w:val="32"/>
        </w:rPr>
        <w:t>部门预算公开联系人</w:t>
      </w:r>
      <w:r>
        <w:rPr>
          <w:rFonts w:ascii="仿宋_GB2312" w:hAnsi="仿宋_GB2312" w:eastAsia="仿宋_GB2312" w:cs="仿宋_GB2312"/>
          <w:b/>
          <w:sz w:val="32"/>
        </w:rPr>
        <w:t>：</w:t>
      </w:r>
      <w:r>
        <w:rPr>
          <w:rFonts w:hint="eastAsia" w:ascii="仿宋_GB2312" w:hAnsi="仿宋_GB2312" w:eastAsia="仿宋_GB2312" w:cs="仿宋_GB2312"/>
          <w:b/>
          <w:sz w:val="32"/>
          <w:lang w:eastAsia="zh-CN"/>
        </w:rPr>
        <w:t>陈晓红</w:t>
      </w:r>
      <w:r>
        <w:rPr>
          <w:rFonts w:hint="eastAsia" w:ascii="仿宋_GB2312" w:hAnsi="仿宋_GB2312" w:eastAsia="仿宋_GB2312" w:cs="仿宋_GB2312"/>
          <w:b/>
          <w:sz w:val="32"/>
          <w:lang w:val="en-US" w:eastAsia="zh-CN"/>
        </w:rPr>
        <w:t xml:space="preserve">  </w:t>
      </w:r>
      <w:r>
        <w:rPr>
          <w:rFonts w:hint="eastAsia" w:ascii="仿宋_GB2312" w:hAnsi="仿宋_GB2312" w:eastAsia="仿宋_GB2312" w:cs="仿宋_GB2312"/>
          <w:b/>
          <w:sz w:val="32"/>
        </w:rPr>
        <w:t>联系方式</w:t>
      </w:r>
      <w:r>
        <w:rPr>
          <w:rFonts w:ascii="仿宋_GB2312" w:hAnsi="仿宋_GB2312" w:eastAsia="仿宋_GB2312" w:cs="仿宋_GB2312"/>
          <w:b/>
          <w:sz w:val="32"/>
        </w:rPr>
        <w:t>：</w:t>
      </w:r>
      <w:r>
        <w:rPr>
          <w:rFonts w:hint="eastAsia" w:ascii="仿宋_GB2312" w:hAnsi="仿宋_GB2312" w:eastAsia="仿宋_GB2312" w:cs="仿宋_GB2312"/>
          <w:b/>
          <w:sz w:val="32"/>
          <w:lang w:val="en-US" w:eastAsia="zh-CN"/>
        </w:rPr>
        <w:t>023-43350147）</w:t>
      </w:r>
    </w:p>
    <w:p w14:paraId="01158739">
      <w:pPr>
        <w:rPr>
          <w:rFonts w:hint="eastAsia" w:ascii="仿宋_GB2312" w:hAnsi="仿宋_GB2312" w:eastAsia="仿宋_GB2312" w:cs="仿宋_GB2312"/>
          <w:b/>
          <w:sz w:val="32"/>
          <w:lang w:val="en-US" w:eastAsia="zh-CN"/>
        </w:rPr>
      </w:pPr>
    </w:p>
    <w:p w14:paraId="219F5997">
      <w:pPr>
        <w:rPr>
          <w:rFonts w:hint="eastAsia" w:ascii="仿宋_GB2312" w:hAnsi="仿宋_GB2312" w:eastAsia="仿宋_GB2312" w:cs="仿宋_GB2312"/>
          <w:b/>
          <w:sz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7F1BC"/>
    <w:multiLevelType w:val="singleLevel"/>
    <w:tmpl w:val="5847F1B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0NTM2YWE0OTIxYzUzNWQ1MDIyZDFhNTRkY2I2ZjgifQ=="/>
  </w:docVars>
  <w:rsids>
    <w:rsidRoot w:val="1D6E744B"/>
    <w:rsid w:val="0A5B5E75"/>
    <w:rsid w:val="11CE710E"/>
    <w:rsid w:val="13685340"/>
    <w:rsid w:val="1D6E744B"/>
    <w:rsid w:val="1DE57CB9"/>
    <w:rsid w:val="1EC16A83"/>
    <w:rsid w:val="24CD14A7"/>
    <w:rsid w:val="2C011A21"/>
    <w:rsid w:val="2C7B1F47"/>
    <w:rsid w:val="2F40698E"/>
    <w:rsid w:val="32684F66"/>
    <w:rsid w:val="328818F1"/>
    <w:rsid w:val="3B292ED4"/>
    <w:rsid w:val="419827C8"/>
    <w:rsid w:val="582F7C19"/>
    <w:rsid w:val="59DB3743"/>
    <w:rsid w:val="5A3D0E9A"/>
    <w:rsid w:val="5E034C2A"/>
    <w:rsid w:val="6074044E"/>
    <w:rsid w:val="64DD2A65"/>
    <w:rsid w:val="66321F6A"/>
    <w:rsid w:val="66810AE5"/>
    <w:rsid w:val="6C9500C9"/>
    <w:rsid w:val="6CF02E7E"/>
    <w:rsid w:val="6E900B48"/>
    <w:rsid w:val="70645DE9"/>
    <w:rsid w:val="793770A8"/>
    <w:rsid w:val="7F517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2486</Words>
  <Characters>2695</Characters>
  <Lines>0</Lines>
  <Paragraphs>0</Paragraphs>
  <TotalTime>23</TotalTime>
  <ScaleCrop>false</ScaleCrop>
  <LinksUpToDate>false</LinksUpToDate>
  <CharactersWithSpaces>2699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2023-02-09T06:58:00Z</dcterms:created>
  <dc:creator> C .</dc:creator>
  <cp:lastModifiedBy>Administrator</cp:lastModifiedBy>
  <dcterms:modified xsi:type="dcterms:W3CDTF">2025-02-07T05:00:15Z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3A002E0386244A6BADF7116EE284C68E_13</vt:lpwstr>
  </property>
  <property fmtid="{D5CDD505-2E9C-101B-9397-08002B2CF9AE}" pid="4" name="KSOTemplateDocerSaveRecord">
    <vt:lpwstr>eyJoZGlkIjoiMWM0NTM2YWE0OTIxYzUzNWQ1MDIyZDFhNTRkY2I2ZjgifQ==</vt:lpwstr>
  </property>
</Properties>
</file>