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黑体_GBK" w:hAnsi="方正黑体_GBK" w:eastAsia="方正黑体_GBK" w:cs="方正黑体_GBK"/>
          <w:b w:val="0"/>
          <w:bCs/>
          <w:sz w:val="24"/>
          <w:szCs w:val="24"/>
          <w:lang w:val="en-US" w:eastAsia="zh-CN"/>
        </w:rPr>
      </w:pPr>
      <w:r>
        <w:rPr>
          <w:rFonts w:hint="eastAsia" w:ascii="方正黑体_GBK" w:hAnsi="方正黑体_GBK" w:eastAsia="方正黑体_GBK" w:cs="方正黑体_GBK"/>
          <w:b w:val="0"/>
          <w:bCs/>
          <w:sz w:val="32"/>
          <w:szCs w:val="32"/>
          <w:lang w:val="en-US" w:eastAsia="zh-CN"/>
        </w:rPr>
        <w:t>附件2</w:t>
      </w:r>
      <w:r>
        <w:rPr>
          <w:rFonts w:hint="eastAsia" w:ascii="方正黑体_GBK" w:hAnsi="方正黑体_GBK" w:eastAsia="方正黑体_GBK" w:cs="方正黑体_GBK"/>
          <w:b w:val="0"/>
          <w:bCs/>
          <w:sz w:val="24"/>
          <w:szCs w:val="24"/>
          <w:lang w:val="en-US" w:eastAsia="zh-CN"/>
        </w:rPr>
        <w:t>：</w:t>
      </w:r>
    </w:p>
    <w:p>
      <w:pPr>
        <w:spacing w:line="600" w:lineRule="exact"/>
        <w:jc w:val="both"/>
        <w:rPr>
          <w:rFonts w:hint="default" w:ascii="仿宋_GB2312" w:hAnsi="华文中宋"/>
          <w:bCs/>
          <w:sz w:val="36"/>
          <w:szCs w:val="44"/>
          <w:lang w:val="en-US" w:eastAsia="zh-CN"/>
        </w:rPr>
      </w:pPr>
    </w:p>
    <w:p>
      <w:pPr>
        <w:spacing w:line="600" w:lineRule="exact"/>
        <w:jc w:val="center"/>
        <w:rPr>
          <w:rFonts w:hint="default" w:ascii="方正小标宋_GBK" w:hAnsi="宋体" w:eastAsia="方正小标宋_GBK" w:cs="宋体"/>
          <w:sz w:val="44"/>
          <w:szCs w:val="44"/>
          <w:lang w:val="en-US" w:eastAsia="zh-CN"/>
        </w:rPr>
      </w:pPr>
      <w:r>
        <w:rPr>
          <w:rFonts w:hint="eastAsia" w:ascii="方正小标宋_GBK" w:hAnsi="宋体" w:eastAsia="方正小标宋_GBK" w:cs="宋体"/>
          <w:sz w:val="44"/>
          <w:szCs w:val="44"/>
          <w:lang w:val="en-US" w:eastAsia="zh-CN"/>
        </w:rPr>
        <w:t>重庆市大足区石马镇人民政府</w:t>
      </w:r>
    </w:p>
    <w:p>
      <w:pPr>
        <w:spacing w:line="60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lang w:val="en-US" w:eastAsia="zh-CN"/>
        </w:rPr>
        <w:t>2021年度部门整体支出</w:t>
      </w:r>
      <w:r>
        <w:rPr>
          <w:rFonts w:hint="eastAsia" w:ascii="方正小标宋_GBK" w:hAnsi="宋体" w:eastAsia="方正小标宋_GBK" w:cs="宋体"/>
          <w:sz w:val="44"/>
          <w:szCs w:val="44"/>
        </w:rPr>
        <w:t>绩效自评报告</w:t>
      </w:r>
    </w:p>
    <w:p>
      <w:pPr>
        <w:spacing w:line="600" w:lineRule="exact"/>
        <w:jc w:val="center"/>
        <w:rPr>
          <w:rFonts w:ascii="仿宋_GB2312"/>
          <w:szCs w:val="32"/>
        </w:rPr>
      </w:pPr>
    </w:p>
    <w:p>
      <w:pPr>
        <w:spacing w:line="600" w:lineRule="exact"/>
        <w:ind w:firstLine="632" w:firstLineChars="200"/>
        <w:rPr>
          <w:rFonts w:hint="eastAsia" w:ascii="方正黑体_GBK" w:hAnsi="黑体" w:eastAsia="方正黑体_GBK" w:cs="黑体"/>
          <w:bCs/>
          <w:szCs w:val="32"/>
          <w:lang w:val="en-US" w:eastAsia="zh-CN"/>
        </w:rPr>
      </w:pPr>
      <w:r>
        <w:rPr>
          <w:rFonts w:hint="eastAsia" w:ascii="方正黑体_GBK" w:hAnsi="黑体" w:eastAsia="方正黑体_GBK" w:cs="黑体"/>
          <w:bCs/>
          <w:szCs w:val="32"/>
        </w:rPr>
        <w:t>一、</w:t>
      </w:r>
      <w:r>
        <w:rPr>
          <w:rFonts w:hint="eastAsia" w:ascii="方正黑体_GBK" w:hAnsi="黑体" w:eastAsia="方正黑体_GBK" w:cs="黑体"/>
          <w:bCs/>
          <w:szCs w:val="32"/>
          <w:lang w:val="en-US" w:eastAsia="zh-CN"/>
        </w:rPr>
        <w:t>基本情况</w:t>
      </w:r>
    </w:p>
    <w:p>
      <w:pPr>
        <w:spacing w:line="600" w:lineRule="exact"/>
        <w:ind w:firstLine="632" w:firstLineChars="200"/>
        <w:outlineLvl w:val="0"/>
        <w:rPr>
          <w:rFonts w:hint="eastAsia" w:ascii="方正仿宋_GBK"/>
          <w:szCs w:val="32"/>
          <w:lang w:val="en-US" w:eastAsia="zh-CN"/>
        </w:rPr>
      </w:pPr>
      <w:r>
        <w:rPr>
          <w:rFonts w:hint="eastAsia" w:ascii="方正楷体_GBK" w:hAnsi="楷体_GB2312" w:eastAsia="方正楷体_GBK" w:cs="楷体_GB2312"/>
          <w:bCs/>
          <w:szCs w:val="32"/>
          <w:lang w:eastAsia="zh-CN"/>
        </w:rPr>
        <w:t>（</w:t>
      </w:r>
      <w:r>
        <w:rPr>
          <w:rFonts w:hint="eastAsia" w:ascii="方正楷体_GBK" w:hAnsi="楷体_GB2312" w:eastAsia="方正楷体_GBK" w:cs="楷体_GB2312"/>
          <w:bCs/>
          <w:szCs w:val="32"/>
          <w:lang w:val="en-US" w:eastAsia="zh-CN"/>
        </w:rPr>
        <w:t>一</w:t>
      </w:r>
      <w:r>
        <w:rPr>
          <w:rFonts w:hint="eastAsia" w:ascii="方正楷体_GBK" w:hAnsi="楷体_GB2312" w:eastAsia="方正楷体_GBK" w:cs="楷体_GB2312"/>
          <w:bCs/>
          <w:szCs w:val="32"/>
          <w:lang w:eastAsia="zh-CN"/>
        </w:rPr>
        <w:t>）</w:t>
      </w:r>
      <w:r>
        <w:rPr>
          <w:rFonts w:hint="eastAsia" w:ascii="方正楷体_GBK" w:hAnsi="楷体_GB2312" w:eastAsia="方正楷体_GBK" w:cs="楷体_GB2312"/>
          <w:bCs/>
          <w:szCs w:val="32"/>
          <w:lang w:val="en-US" w:eastAsia="zh-CN"/>
        </w:rPr>
        <w:t>部门基本情况。</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eastAsia="zh-CN" w:bidi="ar"/>
        </w:rPr>
      </w:pPr>
      <w:r>
        <w:rPr>
          <w:rFonts w:hint="eastAsia" w:ascii="Times New Roman" w:hAnsi="Times New Roman" w:eastAsia="方正仿宋_GBK" w:cs="Times New Roman"/>
          <w:kern w:val="0"/>
          <w:sz w:val="32"/>
          <w:szCs w:val="32"/>
          <w:lang w:val="en-US" w:eastAsia="zh-CN" w:bidi="ar"/>
        </w:rPr>
        <w:t>1.</w:t>
      </w:r>
      <w:r>
        <w:rPr>
          <w:rFonts w:hint="eastAsia" w:ascii="Times New Roman" w:hAnsi="Times New Roman" w:eastAsia="方正仿宋_GBK" w:cs="Times New Roman"/>
          <w:kern w:val="0"/>
          <w:sz w:val="32"/>
          <w:szCs w:val="32"/>
          <w:lang w:bidi="ar"/>
        </w:rPr>
        <w:t>职能职责</w:t>
      </w:r>
      <w:r>
        <w:rPr>
          <w:rFonts w:hint="eastAsia" w:ascii="Times New Roman" w:hAnsi="Times New Roman" w:eastAsia="方正仿宋_GBK" w:cs="Times New Roman"/>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bidi="ar"/>
        </w:rPr>
      </w:pPr>
      <w:r>
        <w:rPr>
          <w:rFonts w:hint="eastAsia" w:ascii="Times New Roman" w:hAnsi="Times New Roman" w:eastAsia="方正仿宋_GBK" w:cs="Times New Roman"/>
          <w:kern w:val="0"/>
          <w:sz w:val="32"/>
          <w:szCs w:val="32"/>
          <w:lang w:bidi="ar"/>
        </w:rPr>
        <w:t>石马镇党委和人民政府设综合办事机构10个：</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eastAsia="zh-CN" w:bidi="ar"/>
        </w:rPr>
        <w:t>（</w:t>
      </w:r>
      <w:r>
        <w:rPr>
          <w:rFonts w:hint="eastAsia" w:ascii="Times New Roman" w:hAnsi="Times New Roman" w:eastAsia="方正仿宋_GBK" w:cs="Times New Roman"/>
          <w:kern w:val="0"/>
          <w:sz w:val="32"/>
          <w:szCs w:val="32"/>
          <w:lang w:val="en-US" w:eastAsia="zh-CN" w:bidi="ar"/>
        </w:rPr>
        <w:t>1</w:t>
      </w:r>
      <w:r>
        <w:rPr>
          <w:rFonts w:hint="eastAsia" w:ascii="Times New Roman" w:hAnsi="Times New Roman" w:eastAsia="方正仿宋_GBK" w:cs="Times New Roman"/>
          <w:kern w:val="0"/>
          <w:sz w:val="32"/>
          <w:szCs w:val="32"/>
          <w:lang w:eastAsia="zh-CN" w:bidi="ar"/>
        </w:rPr>
        <w:t>）</w:t>
      </w:r>
      <w:r>
        <w:rPr>
          <w:rFonts w:hint="eastAsia" w:ascii="Times New Roman" w:hAnsi="Times New Roman" w:eastAsia="方正仿宋_GBK" w:cs="Times New Roman"/>
          <w:kern w:val="0"/>
          <w:sz w:val="32"/>
          <w:szCs w:val="32"/>
          <w:lang w:bidi="ar"/>
        </w:rPr>
        <w:t>党政办公室：负责纪检监察、机要保密、宣传、精神文明建设、督查督办、目标管理、网络安全与信息化、统战、法制、</w:t>
      </w:r>
      <w:r>
        <w:rPr>
          <w:rFonts w:hint="eastAsia" w:ascii="Times New Roman" w:hAnsi="Times New Roman" w:eastAsia="方正仿宋_GBK" w:cs="Times New Roman"/>
          <w:kern w:val="0"/>
          <w:sz w:val="32"/>
          <w:szCs w:val="32"/>
          <w:lang w:val="en-US" w:eastAsia="zh-CN" w:bidi="ar"/>
        </w:rPr>
        <w:t>武装、机构编制、人事、民宗侨台以及综合协调、文秘等工作；负责管理公共服务中心，指导村便民服务中心工作；负责承办政协有关具体工作。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2）经济发展办公室（统计办公室、农村经营管理办公室）：负责经济发展规划、农村经营管理、经济社会统计、科学技术、商贸流通、扶贫开发、产业发展、产业扶贫、招商引资、农产品质量安全监督管理等工作；负责协调水、电、气、通信等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3）民政和社会事务办公室（卫生健康办公室）：负责民政、教育、卫生健康、计生、老龄事业发展、文化旅游、体育、社会救助、残疾人事业、劳动就业、社会保障等管理工作；负责退役军人事务、拥军优属等管理工作；负责物业管理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（4）平安建设办公室：负责信访、人民调解、社会治安综合治理、防范和处理邪教等工作。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（5）规划建设管理环保办公室：负责规划建设、市政公用、市容环卫、生态环境保护、交通建设等工作。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（6）财政办公室：负责财政收支、预决算、总会计、惠农资金兑付、财政资金监督检查、绩效评价、村级财务管理等工作。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7）应急管理办公室：负责安全生产综合监管、应急管理等工作；负责消防、森林防火、抗洪抢险、地震和地质灾害救援、生产安全事故救援等工作；协助开展煤矿、非煤矿山、危险化学品、烟花爆竹等安全生产日常监督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（8）党群工作办公室：负责基层党的建设工作及工会、共青团、妇联等群团工作。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（9）人大办公室：负责本级人大主席团日常工作，承办人大信访、组织协调人大代表活动、联系人大代表、人民代表大会召开的协调筹备等工作，督促办理人大代表提出的建议、批评和意见等工作。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10）综合行政执法办公室：负责集中行使本级人民政府经法律法规授权或依法受委托的农林水利、规划建设、生态环境保护、卫生健康、文化旅游、民政管理、交通、消防等领域的行政执法权；负责本级人民政府经法律法规授权或依法受委托其他行业领域的安全生产监管执法工作。</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2.单位构成。</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重庆市大足区石马镇农业服务中心、文化服务中心、劳动就业和社会保障服务所、退役军人服务站、综合行政执法大队、产业发展服务中心、村镇建设服务中心隶属于重庆市大足区石马镇人民政府，为公益一类事业单位，机构规格为正科级。截止2021年12月，</w:t>
      </w:r>
      <w:r>
        <w:rPr>
          <w:rFonts w:hint="default" w:ascii="Times New Roman" w:hAnsi="Times New Roman" w:eastAsia="方正仿宋_GBK" w:cs="Times New Roman"/>
          <w:kern w:val="0"/>
          <w:sz w:val="32"/>
          <w:szCs w:val="32"/>
          <w:lang w:val="en-US" w:eastAsia="zh-CN" w:bidi="ar"/>
        </w:rPr>
        <w:t>核定</w:t>
      </w:r>
      <w:r>
        <w:rPr>
          <w:rFonts w:hint="eastAsia" w:ascii="Times New Roman" w:hAnsi="Times New Roman" w:eastAsia="方正仿宋_GBK" w:cs="Times New Roman"/>
          <w:kern w:val="0"/>
          <w:sz w:val="32"/>
          <w:szCs w:val="32"/>
          <w:lang w:val="en-US" w:eastAsia="zh-CN" w:bidi="ar"/>
        </w:rPr>
        <w:t>编制数</w:t>
      </w:r>
      <w:r>
        <w:rPr>
          <w:rFonts w:hint="default" w:ascii="Times New Roman" w:hAnsi="Times New Roman" w:eastAsia="方正仿宋_GBK" w:cs="Times New Roman"/>
          <w:kern w:val="0"/>
          <w:sz w:val="32"/>
          <w:szCs w:val="32"/>
          <w:lang w:val="en-US" w:eastAsia="zh-CN" w:bidi="ar"/>
        </w:rPr>
        <w:t>为</w:t>
      </w:r>
      <w:r>
        <w:rPr>
          <w:rFonts w:hint="eastAsia" w:ascii="Times New Roman" w:hAnsi="Times New Roman" w:eastAsia="方正仿宋_GBK" w:cs="Times New Roman"/>
          <w:kern w:val="0"/>
          <w:sz w:val="32"/>
          <w:szCs w:val="32"/>
          <w:lang w:val="en-US" w:eastAsia="zh-CN" w:bidi="ar"/>
        </w:rPr>
        <w:t>88人，在编</w:t>
      </w:r>
      <w:r>
        <w:rPr>
          <w:rFonts w:hint="default" w:ascii="Times New Roman" w:hAnsi="Times New Roman" w:eastAsia="方正仿宋_GBK" w:cs="Times New Roman"/>
          <w:kern w:val="0"/>
          <w:sz w:val="32"/>
          <w:szCs w:val="32"/>
          <w:lang w:val="en-US" w:eastAsia="zh-CN" w:bidi="ar"/>
        </w:rPr>
        <w:t>在职</w:t>
      </w:r>
      <w:r>
        <w:rPr>
          <w:rFonts w:hint="eastAsia" w:ascii="Times New Roman" w:hAnsi="Times New Roman" w:eastAsia="方正仿宋_GBK" w:cs="Times New Roman"/>
          <w:kern w:val="0"/>
          <w:sz w:val="32"/>
          <w:szCs w:val="32"/>
          <w:lang w:val="en-US" w:eastAsia="zh-CN" w:bidi="ar"/>
        </w:rPr>
        <w:t>71人，其中行政27人，事业44人。</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（二）预算及支出情况。包括项目支出和基本支出。</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1.整体支出规模。2021年度共支出财政拨款5501.09万元，其中：基本支出2050.43万元，占37.27%；项目支出3450.66万元，占62.73%。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2.三公经费支出。2021年度“三公经费”支出29.74万元，其中：因公出国（境）费0.00万元；公务用车购置费0.00万元；公务用车运行维护费5.20万元；公务接待费24.54万元。</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3.结转结余情况。2020年度结转结余0万元，预算执行率为100%。</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二、绩效评价基本情况</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（一）绩效评价目的</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通过开展部门整体支出绩效自评工作，树立绩效意识、成本意识和责任意识，完善部门预算编制、执行、监督体系，了解资金使用情况、日常管理情况、绩效目标完成情况、资金使用是否达到预期目标、资金管理是否规范、资金使用是否有效，检验资金支出效率和效果，分析存在问题和原因，及时总结经验，完善管理，提高财政预算资金使用效益，促进部门更好地履职尽责。</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（二）评价指标体系</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整个指标体系共设置了4个一级指标，分别为投入、过程、产出、效益，分值分别为：5分、45分、20分、30分，并将4个一级指标分解为9个二级指标，分别为预算配置、预算执行、预算管理、资产管理、职责履行、社会效益、生态效益、可持续影响、服务对象满意度，再次将9个二级指标细化分解为18个三级指标。本次评价采用百分制，各级指标依据其指标权重确定分值，评价人员根据评价情况对各级指标进行评分。根据最终得分情况将评价结果分为四个等级：优（ 90分≤得分≤100分）；良（80分≤得分＜90分）；中（60分≤得分＜80分）；差（0分≤得分＜60分）。</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w:t>
      </w:r>
      <w:r>
        <w:rPr>
          <w:rFonts w:hint="eastAsia" w:cs="Times New Roman"/>
          <w:kern w:val="0"/>
          <w:sz w:val="32"/>
          <w:szCs w:val="32"/>
          <w:lang w:val="en-US" w:eastAsia="zh-CN" w:bidi="ar"/>
        </w:rPr>
        <w:t>三</w:t>
      </w:r>
      <w:r>
        <w:rPr>
          <w:rFonts w:hint="eastAsia" w:ascii="Times New Roman" w:hAnsi="Times New Roman" w:eastAsia="方正仿宋_GBK" w:cs="Times New Roman"/>
          <w:kern w:val="0"/>
          <w:sz w:val="32"/>
          <w:szCs w:val="32"/>
          <w:lang w:val="en-US" w:eastAsia="zh-CN" w:bidi="ar"/>
        </w:rPr>
        <w:t>）绩效评价工作过程</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1.前期准备：确定绩效评价组成员，拟定评价计划，明确评价组织实施方式，确定评价目的、内容、任务、依据、评价时间及要求等。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2.组织实施：在前期调研的基础上，完成了绩效评价方案，明确了评价的目的、方法、评价的原则、指标体系、评价标准等。评价组按照工作方案，对确认后的数据、资料、图册、文件进行分析综合，撰写绩效评价报告。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3.分析评价：本部门2021年度整体收支有效保障了部门基本运转，顺利推动了各项工作有序开展，提高了资金管理水平和使用效益，圆满完成了2021年度的各项目标任务。</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三、绩效评价情况及结论</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（一）投入评价情况</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1.财政供养人员控制率≤100%。2021年度人员编制数为88人，在编人数71人，全年在职人员在编率不超过100%。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2.“三公经费”变动率≥0。2021年度“三公经费”财政拨款支出数29.74万元，比上年度“三公经费”财政拨款支出数减少2.30万元，“三公经费”变动率为7.17%。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（二）过程评价情况</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1.预算执行情况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预算完成率100%。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预算调整率60.63%，全年预算调整数为3335.09万元。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公用经费控制率≤100%，全年实际支出公用经费442.49万元，预算安排公用经费676万元。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“三公经费”控制率≤100%，全年“三公经费”实际支出29.74万元，“三公经费”预算安排数33万元。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政府采购执行率99.83%，全年实际政府采购金额189.84万元，政府采购预算数为190.17万元。</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2.预算管理情况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管理制度健全性方面。建立健全了内部财务制度，内部控制制度等管理制度，相关管理制度合法、合规、完整理，并得到有效执行。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资金使用合规性方面。部门使用预算资金符合符合国家财经法规和财务管理制度规定以及区财政局资金管理办法的规定；资金的拨付有完整的审批过程和手续；预算调整履行了规定程序；符合部门预算批复的用途；资金使用无截留、挤占、挪用、虚列支出等情况。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预决算信息公开性方面。按照政府信息公开有关规定公开了相关预决算信息，基础数据信息和会计信息资料完整、准确，按照财政预决算领域政务公开标准公开了预决算信息，一是收支总体情况表；二是财政拨款收支情况表；三是一般公共预算支出情况表公开到功能分类项级科目。一般公共预算基本支出表公开到经济分类款级科目。四是一般公共预算“三公”经费支出表按“因公出国（境）费”“公务用车购置及运行费”“公务接待费”公开，其中，“公务用车购置及运行费”细化到了“公务用车购置费”“公务用车运行费”两个项目，并对增减变化情况进行说明。五是本部门职责、机构设置情况、预算收支增减变化、机关运行经费安排以及政府采购（主要包括部门政府采购预算总金额和货物、工程、服务采购的预算金额）等情况的说明，并对专业性较强的名词进行解释。公开国有资产占用、预算绩效情况等。按规定时限公开预决算信息，在区财政局批复后20日内，在本部门门户网站上进行了公开，并永久保留。</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3.资产管理情况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资产管理安全方面。资产保存完整，资产账务管理合规，账实相符；资产配置合理、处置规范；资产有偿使用及处置收入及时足额上缴。</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固定资产利用率100%。2021年末实际在用固定资产总额为652.63万元（原值），所有固定资产总额750.74万元（原值），根据评价指标体系评分标准计算，固定资产利用率为86.93%。</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（三）产出评价情况</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1.公众满意度。处理信访投诉案件中群众满意度达98%。</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2.完成年度重点工作。经济发展提质增效；加速文旅小镇构建；推动乡村振兴发展；不断增进民生福祉，提高服务社会发展能力。</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（四）效益评价情况</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1.社会效益方面。全面优化公共服务供给，不断健全社会保障体系，持续建设平安城镇，提档升级基础设施，靓化提升场镇品质。</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2.生态效益方面。统筹推进“五山沿线”人居环境整治、庭院整治，强化生态环保执法力度，森林覆盖率稳中有升，全面提升乡村环境水平。</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3.可持续影响力方面。持续营造良好营商环境，推进旅游产品多元化；做优做强乡村特色产业；巩固拓展脱贫攻坚成果；高质量加强城市管理，切实保障公共安全。</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4.服务对象满意度方面。群众投诉事项处理满意率：企业、老百姓对处理投诉中满意度为98%。</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四、存在的问题和下一步改进措施</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（一）存在的问题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1.预算调整率较高，项目推进力度有待进一步加强。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2.政府采购年初预算与实际执行偏差大，政府采购预算编制准确性有待提高。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default"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3.内部控制制度执行力不够，项目管理制度等需完善。</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（二）下一步改进措施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1.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 xml:space="preserve">2.科学合理编制政府采购预算，强化政府采购预算执行，确保政府采购预算切合单位实际。 </w:t>
      </w:r>
    </w:p>
    <w:p>
      <w:pPr>
        <w:keepNext w:val="0"/>
        <w:keepLines w:val="0"/>
        <w:pageBreakBefore w:val="0"/>
        <w:widowControl/>
        <w:kinsoku/>
        <w:wordWrap/>
        <w:overflowPunct/>
        <w:topLinePunct w:val="0"/>
        <w:autoSpaceDE/>
        <w:autoSpaceDN/>
        <w:bidi w:val="0"/>
        <w:adjustRightInd/>
        <w:snapToGrid/>
        <w:spacing w:line="594" w:lineRule="exact"/>
        <w:ind w:firstLine="632" w:firstLineChars="200"/>
        <w:jc w:val="left"/>
        <w:textAlignment w:val="auto"/>
        <w:rPr>
          <w:rFonts w:hint="eastAsia"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kern w:val="0"/>
          <w:sz w:val="32"/>
          <w:szCs w:val="32"/>
          <w:lang w:val="en-US" w:eastAsia="zh-CN" w:bidi="ar"/>
        </w:rPr>
        <w:t>3.根据年初的绩效考核指标及预算绩效目标，扎实推进相关工作</w:t>
      </w:r>
      <w:bookmarkStart w:id="0" w:name="_GoBack"/>
      <w:bookmarkEnd w:id="0"/>
      <w:r>
        <w:rPr>
          <w:rFonts w:hint="eastAsia" w:ascii="Times New Roman" w:hAnsi="Times New Roman" w:eastAsia="方正仿宋_GBK" w:cs="Times New Roman"/>
          <w:kern w:val="0"/>
          <w:sz w:val="32"/>
          <w:szCs w:val="32"/>
          <w:lang w:val="en-US" w:eastAsia="zh-CN" w:bidi="ar"/>
        </w:rPr>
        <w:t>，确保预算绩效目标按时、优质完成。</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rPr>
    </w:pPr>
    <w:r>
      <w:rPr>
        <w:rStyle w:val="7"/>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7"/>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rStyle w:val="7"/>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7"/>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MDJlMWZiZWY3NmY5NjI5NmZlNjVhMmE4N2M0MzMifQ=="/>
  </w:docVars>
  <w:rsids>
    <w:rsidRoot w:val="4F761CD4"/>
    <w:rsid w:val="00F05477"/>
    <w:rsid w:val="013E73C0"/>
    <w:rsid w:val="030516AD"/>
    <w:rsid w:val="07D072DD"/>
    <w:rsid w:val="0AE8485B"/>
    <w:rsid w:val="0F9242C9"/>
    <w:rsid w:val="15B31B0D"/>
    <w:rsid w:val="1C9459DF"/>
    <w:rsid w:val="207B5CFE"/>
    <w:rsid w:val="27D35027"/>
    <w:rsid w:val="28A644E9"/>
    <w:rsid w:val="2A2139C7"/>
    <w:rsid w:val="2B0674C1"/>
    <w:rsid w:val="2CA64B3B"/>
    <w:rsid w:val="2CEF2903"/>
    <w:rsid w:val="2E2F6D2F"/>
    <w:rsid w:val="2F275BCA"/>
    <w:rsid w:val="30466CDD"/>
    <w:rsid w:val="30F0143D"/>
    <w:rsid w:val="31F07F84"/>
    <w:rsid w:val="38CE5AC2"/>
    <w:rsid w:val="3CC86CCC"/>
    <w:rsid w:val="3E734A16"/>
    <w:rsid w:val="3F7939A2"/>
    <w:rsid w:val="42C910A8"/>
    <w:rsid w:val="43C2407B"/>
    <w:rsid w:val="46D94331"/>
    <w:rsid w:val="4B95421D"/>
    <w:rsid w:val="4F2E308E"/>
    <w:rsid w:val="4F3B50DC"/>
    <w:rsid w:val="4F5A5B76"/>
    <w:rsid w:val="4F761CD4"/>
    <w:rsid w:val="5CAD7A90"/>
    <w:rsid w:val="5E457D25"/>
    <w:rsid w:val="62165C60"/>
    <w:rsid w:val="6317177D"/>
    <w:rsid w:val="65E924E0"/>
    <w:rsid w:val="66E274D0"/>
    <w:rsid w:val="695B03FD"/>
    <w:rsid w:val="69951B60"/>
    <w:rsid w:val="6D282CEC"/>
    <w:rsid w:val="70CF1E17"/>
    <w:rsid w:val="712D267F"/>
    <w:rsid w:val="742D64E1"/>
    <w:rsid w:val="74871C17"/>
    <w:rsid w:val="7ADE2C3C"/>
    <w:rsid w:val="7CBB38D7"/>
    <w:rsid w:val="7E7F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jc w:val="left"/>
    </w:pPr>
    <w:rPr>
      <w:rFonts w:hint="eastAsia" w:ascii="宋体" w:hAnsi="宋体" w:eastAsia="仿宋_GB2312" w:cs="宋体"/>
      <w:kern w:val="2"/>
      <w:sz w:val="32"/>
      <w:szCs w:val="32"/>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3628</Words>
  <Characters>3843</Characters>
  <Lines>0</Lines>
  <Paragraphs>0</Paragraphs>
  <TotalTime>2</TotalTime>
  <ScaleCrop>false</ScaleCrop>
  <LinksUpToDate>false</LinksUpToDate>
  <CharactersWithSpaces>3904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2021-05-08T03:11:00Z</dcterms:created>
  <dc:creator>Acer</dc:creator>
  <cp:lastModifiedBy>Sharon</cp:lastModifiedBy>
  <cp:lastPrinted>2022-10-19T07:45:59Z</cp:lastPrinted>
  <dcterms:modified xsi:type="dcterms:W3CDTF">2022-10-19T07:46:39Z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487605179_btnclosed</vt:lpwstr>
  </property>
  <property fmtid="{D5CDD505-2E9C-101B-9397-08002B2CF9AE}" pid="4" name="ICV">
    <vt:lpwstr>705BD98D8FB6436DAA3ECCBC7A02EB41</vt:lpwstr>
  </property>
</Properties>
</file>