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4C4AC">
      <w:pPr>
        <w:pStyle w:val="3"/>
        <w:spacing w:before="0" w:after="0" w:line="312" w:lineRule="auto"/>
        <w:jc w:val="center"/>
        <w:outlineLvl w:val="1"/>
        <w:rPr>
          <w:rFonts w:hint="eastAsia" w:ascii="黑体" w:hAnsi="黑体" w:eastAsia="宋体" w:cs="Times New Roman"/>
          <w:b/>
          <w:color w:val="auto"/>
          <w:w w:val="90"/>
          <w:kern w:val="2"/>
          <w:sz w:val="36"/>
          <w:szCs w:val="36"/>
          <w:highlight w:val="none"/>
          <w:lang w:val="en-US" w:eastAsia="zh-CN" w:bidi="ar-SA"/>
        </w:rPr>
      </w:pPr>
      <w:bookmarkStart w:id="56" w:name="_GoBack"/>
      <w:r>
        <w:rPr>
          <w:rFonts w:hint="eastAsia" w:ascii="黑体" w:hAnsi="黑体" w:eastAsia="宋体" w:cs="Times New Roman"/>
          <w:b/>
          <w:color w:val="auto"/>
          <w:w w:val="90"/>
          <w:kern w:val="2"/>
          <w:sz w:val="36"/>
          <w:szCs w:val="36"/>
          <w:highlight w:val="none"/>
          <w:lang w:val="en-US" w:eastAsia="zh-CN" w:bidi="ar-SA"/>
        </w:rPr>
        <w:t>“龙景田园”内部路网沿线水毁整治工程</w:t>
      </w:r>
    </w:p>
    <w:p w14:paraId="06A19E17">
      <w:pPr>
        <w:pStyle w:val="3"/>
        <w:spacing w:before="0" w:after="0" w:line="312" w:lineRule="auto"/>
        <w:jc w:val="center"/>
        <w:outlineLvl w:val="1"/>
        <w:rPr>
          <w:rFonts w:hint="eastAsia" w:ascii="黑体" w:hAnsi="黑体" w:eastAsia="宋体" w:cs="Times New Roman"/>
          <w:b/>
          <w:color w:val="auto"/>
          <w:kern w:val="2"/>
          <w:sz w:val="36"/>
          <w:szCs w:val="36"/>
          <w:highlight w:val="none"/>
          <w:lang w:val="en-US" w:eastAsia="zh-CN" w:bidi="ar-SA"/>
        </w:rPr>
      </w:pPr>
      <w:r>
        <w:rPr>
          <w:rFonts w:hint="eastAsia" w:ascii="黑体" w:hAnsi="黑体" w:eastAsia="宋体" w:cs="Times New Roman"/>
          <w:b/>
          <w:color w:val="auto"/>
          <w:w w:val="90"/>
          <w:kern w:val="2"/>
          <w:sz w:val="36"/>
          <w:szCs w:val="36"/>
          <w:highlight w:val="none"/>
          <w:lang w:val="en-US" w:eastAsia="zh-CN" w:bidi="ar-SA"/>
        </w:rPr>
        <w:t>采购公告</w:t>
      </w:r>
    </w:p>
    <w:p w14:paraId="40F4E87D">
      <w:pPr>
        <w:pStyle w:val="3"/>
        <w:spacing w:before="0" w:after="0" w:line="312" w:lineRule="auto"/>
        <w:outlineLvl w:val="1"/>
        <w:rPr>
          <w:rFonts w:ascii="宋体" w:cs="宋体"/>
          <w:color w:val="auto"/>
          <w:sz w:val="24"/>
          <w:szCs w:val="24"/>
          <w:highlight w:val="none"/>
        </w:rPr>
      </w:pPr>
      <w:r>
        <w:rPr>
          <w:rFonts w:hint="eastAsia" w:ascii="宋体" w:hAnsi="宋体" w:eastAsia="黑体"/>
          <w:b/>
          <w:bCs w:val="0"/>
          <w:color w:val="auto"/>
          <w:kern w:val="2"/>
          <w:sz w:val="28"/>
          <w:szCs w:val="22"/>
          <w:highlight w:val="none"/>
          <w:lang w:val="en-US" w:eastAsia="zh-CN" w:bidi="ar-SA"/>
        </w:rPr>
        <w:t>一、项目内容</w:t>
      </w:r>
    </w:p>
    <w:tbl>
      <w:tblPr>
        <w:tblStyle w:val="8"/>
        <w:tblW w:w="101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5"/>
        <w:gridCol w:w="2088"/>
        <w:gridCol w:w="1623"/>
        <w:gridCol w:w="1990"/>
        <w:gridCol w:w="1560"/>
      </w:tblGrid>
      <w:tr w14:paraId="05AA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925" w:type="dxa"/>
            <w:noWrap w:val="0"/>
            <w:vAlign w:val="center"/>
          </w:tcPr>
          <w:p w14:paraId="6F860519">
            <w:pPr>
              <w:keepNext w:val="0"/>
              <w:keepLines w:val="0"/>
              <w:widowControl/>
              <w:suppressLineNumbers w:val="0"/>
              <w:ind w:left="0" w:leftChars="0"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项目名称</w:t>
            </w:r>
          </w:p>
        </w:tc>
        <w:tc>
          <w:tcPr>
            <w:tcW w:w="2088" w:type="dxa"/>
            <w:noWrap w:val="0"/>
            <w:vAlign w:val="center"/>
          </w:tcPr>
          <w:p w14:paraId="7B690F95">
            <w:pPr>
              <w:keepNext w:val="0"/>
              <w:keepLines w:val="0"/>
              <w:widowControl/>
              <w:suppressLineNumbers w:val="0"/>
              <w:ind w:left="0" w:leftChars="0"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采购预算</w:t>
            </w:r>
          </w:p>
          <w:p w14:paraId="0EC58D35">
            <w:pPr>
              <w:keepNext w:val="0"/>
              <w:keepLines w:val="0"/>
              <w:widowControl/>
              <w:suppressLineNumbers w:val="0"/>
              <w:ind w:left="0" w:leftChars="0"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（万元）</w:t>
            </w:r>
          </w:p>
        </w:tc>
        <w:tc>
          <w:tcPr>
            <w:tcW w:w="1623" w:type="dxa"/>
            <w:noWrap w:val="0"/>
            <w:vAlign w:val="center"/>
          </w:tcPr>
          <w:p w14:paraId="18F79598">
            <w:pPr>
              <w:keepNext w:val="0"/>
              <w:keepLines w:val="0"/>
              <w:widowControl/>
              <w:suppressLineNumbers w:val="0"/>
              <w:ind w:left="0" w:leftChars="0" w:firstLine="0" w:firstLineChars="0"/>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投标保证金（元）</w:t>
            </w:r>
          </w:p>
        </w:tc>
        <w:tc>
          <w:tcPr>
            <w:tcW w:w="1990" w:type="dxa"/>
            <w:noWrap w:val="0"/>
            <w:vAlign w:val="center"/>
          </w:tcPr>
          <w:p w14:paraId="7B3DB5B3">
            <w:pPr>
              <w:keepNext w:val="0"/>
              <w:keepLines w:val="0"/>
              <w:widowControl/>
              <w:suppressLineNumbers w:val="0"/>
              <w:ind w:left="0" w:leftChars="0"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资金来源</w:t>
            </w:r>
          </w:p>
        </w:tc>
        <w:tc>
          <w:tcPr>
            <w:tcW w:w="1560" w:type="dxa"/>
            <w:noWrap w:val="0"/>
            <w:vAlign w:val="center"/>
          </w:tcPr>
          <w:p w14:paraId="2FCABC2D">
            <w:pPr>
              <w:keepNext w:val="0"/>
              <w:keepLines w:val="0"/>
              <w:widowControl/>
              <w:suppressLineNumbers w:val="0"/>
              <w:ind w:left="0" w:leftChars="0"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备注</w:t>
            </w:r>
          </w:p>
        </w:tc>
      </w:tr>
      <w:tr w14:paraId="0C0A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925" w:type="dxa"/>
            <w:noWrap w:val="0"/>
            <w:vAlign w:val="center"/>
          </w:tcPr>
          <w:p w14:paraId="3356DB06">
            <w:pPr>
              <w:keepNext w:val="0"/>
              <w:keepLines w:val="0"/>
              <w:widowControl/>
              <w:suppressLineNumbers w:val="0"/>
              <w:ind w:left="0" w:leftChars="0"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“龙景田园”内部路网沿线水毁整治工程</w:t>
            </w:r>
          </w:p>
        </w:tc>
        <w:tc>
          <w:tcPr>
            <w:tcW w:w="2088" w:type="dxa"/>
            <w:noWrap w:val="0"/>
            <w:vAlign w:val="center"/>
          </w:tcPr>
          <w:p w14:paraId="79C999ED">
            <w:pPr>
              <w:keepNext w:val="0"/>
              <w:keepLines w:val="0"/>
              <w:widowControl/>
              <w:suppressLineNumbers w:val="0"/>
              <w:ind w:left="0" w:leftChars="0" w:firstLine="0" w:firstLineChars="0"/>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p>
        </w:tc>
        <w:tc>
          <w:tcPr>
            <w:tcW w:w="1623" w:type="dxa"/>
            <w:noWrap w:val="0"/>
            <w:vAlign w:val="center"/>
          </w:tcPr>
          <w:p w14:paraId="3147104F">
            <w:pPr>
              <w:keepNext w:val="0"/>
              <w:keepLines w:val="0"/>
              <w:widowControl/>
              <w:suppressLineNumbers w:val="0"/>
              <w:ind w:left="0" w:leftChars="0" w:firstLine="0" w:firstLineChars="0"/>
              <w:jc w:val="center"/>
              <w:textAlignment w:val="center"/>
              <w:rPr>
                <w:rFonts w:hint="default"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w:t>
            </w:r>
          </w:p>
        </w:tc>
        <w:tc>
          <w:tcPr>
            <w:tcW w:w="1990" w:type="dxa"/>
            <w:noWrap w:val="0"/>
            <w:vAlign w:val="center"/>
          </w:tcPr>
          <w:p w14:paraId="6EFCFB7E">
            <w:pPr>
              <w:keepNext w:val="0"/>
              <w:keepLines w:val="0"/>
              <w:widowControl/>
              <w:suppressLineNumbers w:val="0"/>
              <w:ind w:left="0" w:leftChars="0"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财政性资金</w:t>
            </w:r>
          </w:p>
        </w:tc>
        <w:tc>
          <w:tcPr>
            <w:tcW w:w="1560" w:type="dxa"/>
            <w:noWrap w:val="0"/>
            <w:vAlign w:val="center"/>
          </w:tcPr>
          <w:p w14:paraId="3F0C269C">
            <w:pPr>
              <w:keepNext w:val="0"/>
              <w:keepLines w:val="0"/>
              <w:widowControl/>
              <w:suppressLineNumbers w:val="0"/>
              <w:ind w:left="0" w:leftChars="0" w:firstLine="0" w:firstLineChars="0"/>
              <w:jc w:val="center"/>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不接受联合体投标</w:t>
            </w:r>
          </w:p>
        </w:tc>
      </w:tr>
    </w:tbl>
    <w:p w14:paraId="23B5EEE4">
      <w:pPr>
        <w:pStyle w:val="3"/>
        <w:spacing w:before="65" w:after="65"/>
        <w:ind w:firstLine="422"/>
        <w:rPr>
          <w:rFonts w:hint="eastAsia"/>
          <w:b/>
          <w:color w:val="auto"/>
          <w:sz w:val="28"/>
          <w:szCs w:val="22"/>
          <w:highlight w:val="none"/>
        </w:rPr>
      </w:pPr>
      <w:r>
        <w:rPr>
          <w:rFonts w:hint="eastAsia"/>
          <w:b/>
          <w:color w:val="auto"/>
          <w:sz w:val="28"/>
          <w:szCs w:val="22"/>
          <w:highlight w:val="none"/>
        </w:rPr>
        <w:t>二、资格条件</w:t>
      </w:r>
    </w:p>
    <w:p w14:paraId="01610A18">
      <w:pPr>
        <w:wordWrap w:val="0"/>
        <w:spacing w:line="360" w:lineRule="auto"/>
        <w:ind w:firstLine="480"/>
        <w:rPr>
          <w:rFonts w:hint="eastAsia" w:ascii="宋体" w:hAnsi="宋体" w:eastAsia="宋体" w:cs="宋体"/>
          <w:color w:val="auto"/>
          <w:highlight w:val="none"/>
          <w:lang w:val="en-US" w:eastAsia="zh-CN"/>
        </w:rPr>
      </w:pPr>
      <w:bookmarkStart w:id="0" w:name="_Toc21936"/>
      <w:r>
        <w:rPr>
          <w:rFonts w:hint="eastAsia" w:ascii="宋体" w:hAnsi="宋体" w:eastAsia="宋体" w:cs="宋体"/>
          <w:color w:val="auto"/>
          <w:highlight w:val="none"/>
          <w:lang w:val="en-US" w:eastAsia="zh-CN"/>
        </w:rPr>
        <w:t>（一）满足《中华人民共和国政府采购法》第二十二条规定。</w:t>
      </w:r>
    </w:p>
    <w:p w14:paraId="0084BE60">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（二）本项目的特定资格要求：</w:t>
      </w:r>
    </w:p>
    <w:p w14:paraId="0056587B">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1.供应商具备建设行政主管部门颁发的市政公用工程施工总承包叁级及以上资质。</w:t>
      </w:r>
    </w:p>
    <w:p w14:paraId="0406E94D">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注：须提供有效的资质证书副本复印件并加盖公章</w:t>
      </w:r>
    </w:p>
    <w:p w14:paraId="1E6873AC">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2.供应商具备有效的企业法人营业执照。</w:t>
      </w:r>
    </w:p>
    <w:p w14:paraId="2FF3802F">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注：提供有效的营业执照副本复印件并加盖公章</w:t>
      </w:r>
    </w:p>
    <w:p w14:paraId="0E369B7A">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3.供应商具备行业主管部门颁发的有效的安全生产许可证。</w:t>
      </w:r>
    </w:p>
    <w:p w14:paraId="0204B8E7">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注：须提供有效的安全生产许可证复印件并加盖公章</w:t>
      </w:r>
    </w:p>
    <w:p w14:paraId="1AF7454A">
      <w:pPr>
        <w:pStyle w:val="4"/>
        <w:numPr>
          <w:ilvl w:val="0"/>
          <w:numId w:val="1"/>
        </w:numPr>
        <w:rPr>
          <w:rFonts w:hint="eastAsia" w:ascii="宋体" w:hAnsi="宋体" w:cs="Times New Roman"/>
          <w:b/>
          <w:color w:val="auto"/>
          <w:sz w:val="28"/>
          <w:szCs w:val="22"/>
          <w:highlight w:val="none"/>
          <w:lang w:eastAsia="zh-CN"/>
        </w:rPr>
      </w:pPr>
      <w:r>
        <w:rPr>
          <w:rFonts w:hint="eastAsia" w:ascii="宋体" w:hAnsi="宋体" w:cs="Times New Roman"/>
          <w:b/>
          <w:color w:val="auto"/>
          <w:sz w:val="28"/>
          <w:szCs w:val="22"/>
          <w:highlight w:val="none"/>
        </w:rPr>
        <w:t>项目</w:t>
      </w:r>
      <w:r>
        <w:rPr>
          <w:rFonts w:hint="eastAsia" w:ascii="宋体" w:hAnsi="宋体" w:cs="Times New Roman"/>
          <w:b/>
          <w:color w:val="auto"/>
          <w:sz w:val="28"/>
          <w:szCs w:val="22"/>
          <w:highlight w:val="none"/>
          <w:lang w:val="en-US" w:eastAsia="zh-CN"/>
        </w:rPr>
        <w:t>技术</w:t>
      </w:r>
      <w:r>
        <w:rPr>
          <w:rFonts w:hint="eastAsia" w:ascii="宋体" w:hAnsi="宋体" w:cs="Times New Roman"/>
          <w:b/>
          <w:color w:val="auto"/>
          <w:sz w:val="28"/>
          <w:szCs w:val="22"/>
          <w:highlight w:val="none"/>
          <w:lang w:eastAsia="zh-CN"/>
        </w:rPr>
        <w:t>要求</w:t>
      </w:r>
    </w:p>
    <w:p w14:paraId="3699AFBF">
      <w:pPr>
        <w:wordWrap w:val="0"/>
        <w:spacing w:line="360" w:lineRule="auto"/>
        <w:ind w:firstLine="480"/>
        <w:rPr>
          <w:rFonts w:hint="eastAsia" w:ascii="宋体" w:hAnsi="宋体" w:eastAsia="宋体" w:cs="宋体"/>
          <w:b/>
          <w:bCs/>
          <w:color w:val="auto"/>
          <w:highlight w:val="none"/>
          <w:lang w:val="en-US" w:eastAsia="zh-CN"/>
        </w:rPr>
      </w:pPr>
      <w:bookmarkStart w:id="1" w:name="_Toc20983"/>
      <w:bookmarkStart w:id="2" w:name="_Toc22313"/>
      <w:bookmarkStart w:id="3" w:name="_Toc3696"/>
      <w:bookmarkStart w:id="4" w:name="_Toc4439"/>
      <w:bookmarkStart w:id="5" w:name="_Toc17685"/>
      <w:bookmarkStart w:id="6" w:name="_Toc106205060"/>
      <w:bookmarkStart w:id="7" w:name="_Toc65682901"/>
      <w:bookmarkStart w:id="8" w:name="_Toc21499"/>
      <w:bookmarkStart w:id="9" w:name="_Toc25033"/>
      <w:bookmarkStart w:id="10" w:name="_Toc26007"/>
      <w:bookmarkStart w:id="11" w:name="_Toc28516"/>
      <w:bookmarkStart w:id="12" w:name="_Toc26637"/>
      <w:bookmarkStart w:id="13" w:name="_Toc16189"/>
      <w:r>
        <w:rPr>
          <w:rFonts w:hint="eastAsia" w:ascii="宋体" w:hAnsi="宋体" w:eastAsia="宋体" w:cs="宋体"/>
          <w:b/>
          <w:bCs/>
          <w:color w:val="auto"/>
          <w:highlight w:val="none"/>
          <w:lang w:val="en-US" w:eastAsia="zh-CN"/>
        </w:rPr>
        <w:t>（一）项目一览表</w:t>
      </w:r>
      <w:bookmarkEnd w:id="1"/>
      <w:bookmarkEnd w:id="2"/>
      <w:bookmarkEnd w:id="3"/>
      <w:bookmarkEnd w:id="4"/>
      <w:bookmarkEnd w:id="5"/>
      <w:bookmarkEnd w:id="6"/>
      <w:bookmarkEnd w:id="7"/>
      <w:bookmarkEnd w:id="8"/>
      <w:bookmarkEnd w:id="9"/>
      <w:bookmarkEnd w:id="10"/>
      <w:bookmarkEnd w:id="11"/>
      <w:bookmarkEnd w:id="12"/>
      <w:bookmarkEnd w:id="13"/>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5"/>
        <w:gridCol w:w="1768"/>
        <w:gridCol w:w="3885"/>
      </w:tblGrid>
      <w:tr w14:paraId="2674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285" w:type="dxa"/>
            <w:noWrap w:val="0"/>
            <w:vAlign w:val="center"/>
          </w:tcPr>
          <w:p w14:paraId="73C97597">
            <w:pPr>
              <w:keepNext w:val="0"/>
              <w:keepLines w:val="0"/>
              <w:pageBreakBefore w:val="0"/>
              <w:widowControl/>
              <w:kinsoku/>
              <w:wordWrap w:val="0"/>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项目名称</w:t>
            </w:r>
          </w:p>
        </w:tc>
        <w:tc>
          <w:tcPr>
            <w:tcW w:w="1768" w:type="dxa"/>
            <w:noWrap w:val="0"/>
            <w:vAlign w:val="center"/>
          </w:tcPr>
          <w:p w14:paraId="0B7FF1F4">
            <w:pPr>
              <w:keepNext w:val="0"/>
              <w:keepLines w:val="0"/>
              <w:pageBreakBefore w:val="0"/>
              <w:widowControl/>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数量/单位</w:t>
            </w:r>
          </w:p>
        </w:tc>
        <w:tc>
          <w:tcPr>
            <w:tcW w:w="3885" w:type="dxa"/>
            <w:noWrap w:val="0"/>
            <w:vAlign w:val="center"/>
          </w:tcPr>
          <w:p w14:paraId="4056C987">
            <w:pPr>
              <w:keepNext w:val="0"/>
              <w:keepLines w:val="0"/>
              <w:pageBreakBefore w:val="0"/>
              <w:widowControl/>
              <w:kinsoku/>
              <w:wordWrap w:val="0"/>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备注</w:t>
            </w:r>
          </w:p>
        </w:tc>
      </w:tr>
      <w:tr w14:paraId="7EC8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3285" w:type="dxa"/>
            <w:noWrap w:val="0"/>
            <w:vAlign w:val="center"/>
          </w:tcPr>
          <w:p w14:paraId="1FC82142">
            <w:pPr>
              <w:wordWrap w:val="0"/>
              <w:spacing w:line="360" w:lineRule="auto"/>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“龙景田园”内部路网沿线水毁整治工程</w:t>
            </w:r>
          </w:p>
        </w:tc>
        <w:tc>
          <w:tcPr>
            <w:tcW w:w="1768" w:type="dxa"/>
            <w:noWrap w:val="0"/>
            <w:vAlign w:val="center"/>
          </w:tcPr>
          <w:p w14:paraId="2F2E62E5">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1项</w:t>
            </w:r>
          </w:p>
        </w:tc>
        <w:tc>
          <w:tcPr>
            <w:tcW w:w="3885" w:type="dxa"/>
            <w:noWrap w:val="0"/>
            <w:vAlign w:val="center"/>
          </w:tcPr>
          <w:p w14:paraId="2BDA57E2">
            <w:pPr>
              <w:wordWrap w:val="0"/>
              <w:spacing w:line="360" w:lineRule="auto"/>
              <w:ind w:left="0" w:leftChars="0"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施工范围：工程量清单范围内内容。</w:t>
            </w:r>
          </w:p>
        </w:tc>
      </w:tr>
    </w:tbl>
    <w:p w14:paraId="26EF088F">
      <w:pPr>
        <w:wordWrap w:val="0"/>
        <w:spacing w:line="360" w:lineRule="auto"/>
        <w:ind w:firstLine="480"/>
        <w:rPr>
          <w:rFonts w:hint="eastAsia" w:ascii="宋体" w:hAnsi="宋体" w:eastAsia="宋体" w:cs="宋体"/>
          <w:b/>
          <w:bCs/>
          <w:color w:val="auto"/>
          <w:highlight w:val="none"/>
          <w:lang w:val="en-US" w:eastAsia="zh-CN"/>
        </w:rPr>
      </w:pPr>
      <w:bookmarkStart w:id="14" w:name="_Toc562"/>
      <w:r>
        <w:rPr>
          <w:rFonts w:hint="eastAsia" w:ascii="宋体" w:hAnsi="宋体" w:eastAsia="宋体" w:cs="宋体"/>
          <w:b/>
          <w:bCs/>
          <w:color w:val="auto"/>
          <w:highlight w:val="none"/>
          <w:lang w:val="en-US" w:eastAsia="zh-CN"/>
        </w:rPr>
        <w:t>（二）项目概况</w:t>
      </w:r>
      <w:bookmarkEnd w:id="14"/>
    </w:p>
    <w:p w14:paraId="7E064345">
      <w:pPr>
        <w:wordWrap w:val="0"/>
        <w:spacing w:line="360" w:lineRule="auto"/>
        <w:ind w:firstLine="48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1.建设地址：采购人指定地点</w:t>
      </w:r>
    </w:p>
    <w:p w14:paraId="0CF39C68">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2.建设内容：“龙景田园”内部路网沿线水毁整治工程所有内容。具体详见工程量清单所示全部内容，以及采购人提供的竞采文件、答疑资料、澄清资料、其他补遗资料等包含的其他相关内容。</w:t>
      </w:r>
    </w:p>
    <w:p w14:paraId="5185BA37">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3.采购范围：“龙景田园”内部路网沿线水毁整治工程相关资料所包括的建设内容，具体范围及内容以采购人提供的工程量清单以及答疑补遗资料所示的建设内容为准。</w:t>
      </w:r>
    </w:p>
    <w:p w14:paraId="08D1A88C">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4.工程质量：工程质量符合强制性质量标准，符合国家和重庆市现行有关施工质量验收规范要求，并达到合格标准。</w:t>
      </w:r>
    </w:p>
    <w:p w14:paraId="263569D1">
      <w:pPr>
        <w:wordWrap w:val="0"/>
        <w:spacing w:line="360" w:lineRule="auto"/>
        <w:ind w:firstLine="48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（三）踏勘现场</w:t>
      </w:r>
    </w:p>
    <w:p w14:paraId="4EE33BF0">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1.采购人不组织现场踏勘，由各供应商在竞采开始前自行到现场进行踏勘了解实际情况，根据实际踏勘情况做服务方案。踏勘产生的费用和风险等均由供应商自行承担。</w:t>
      </w:r>
    </w:p>
    <w:p w14:paraId="262F0F14">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无论供应商是否踏勘过现场，均视为在响应截止时间之前踏勘过现场且对本项目潜在的风险和义务已完全了解，并在其响应文件中自行承诺（格式自拟）已充分考虑了本项目可能面临的不确定因素可能导致的风险，成交供应商不得以不完全了解现场情况为借口而提出延长服务期限或提出额外赔偿等要求。</w:t>
      </w:r>
      <w:bookmarkStart w:id="15" w:name="_Toc22201"/>
    </w:p>
    <w:p w14:paraId="729B696C">
      <w:pPr>
        <w:wordWrap w:val="0"/>
        <w:spacing w:line="360" w:lineRule="auto"/>
        <w:ind w:firstLine="480"/>
        <w:rPr>
          <w:rFonts w:hint="eastAsia" w:ascii="宋体" w:hAnsi="宋体" w:eastAsia="宋体" w:cs="宋体"/>
          <w:b/>
          <w:bCs/>
          <w:color w:val="auto"/>
          <w:highlight w:val="none"/>
          <w:lang w:val="en-US" w:eastAsia="zh-CN"/>
        </w:rPr>
      </w:pPr>
      <w:bookmarkStart w:id="16" w:name="_Toc10701"/>
      <w:r>
        <w:rPr>
          <w:rFonts w:hint="eastAsia" w:ascii="宋体" w:hAnsi="宋体" w:eastAsia="宋体" w:cs="宋体"/>
          <w:b/>
          <w:bCs/>
          <w:color w:val="auto"/>
          <w:highlight w:val="none"/>
          <w:lang w:val="en-US" w:eastAsia="zh-CN"/>
        </w:rPr>
        <w:t>（四）安全要求</w:t>
      </w:r>
      <w:bookmarkEnd w:id="16"/>
    </w:p>
    <w:p w14:paraId="0D662EE5">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应商在响应文件中自行承诺（格式自拟）遵守安全生产的有关管理规定，严格按照安全标准组织实施，采取必要的安全防护措施，消除隐患。在施工过程中由于供应商管理或安全措施不力造成周边环境破坏或事故责任和因此发生的费用，由供应商承担。供应商负责进入现场实施人员及财物安全，发生任何伤亡事故与采购人无关，供应商自行解决并承担相应的法律责任和财产损失。如因施工导致第三人人身、财产损失由成交供应商承担相关的赔偿责任。</w:t>
      </w:r>
    </w:p>
    <w:p w14:paraId="449FAE95">
      <w:pPr>
        <w:wordWrap w:val="0"/>
        <w:spacing w:line="360" w:lineRule="auto"/>
        <w:ind w:firstLine="480"/>
        <w:rPr>
          <w:rFonts w:hint="eastAsia" w:ascii="宋体" w:hAnsi="宋体" w:eastAsia="宋体" w:cs="宋体"/>
          <w:b/>
          <w:bCs/>
          <w:color w:val="auto"/>
          <w:highlight w:val="none"/>
          <w:lang w:val="en-US" w:eastAsia="zh-CN"/>
        </w:rPr>
      </w:pPr>
      <w:bookmarkStart w:id="17" w:name="_Toc3525"/>
      <w:r>
        <w:rPr>
          <w:rFonts w:hint="eastAsia" w:ascii="宋体" w:hAnsi="宋体" w:eastAsia="宋体" w:cs="宋体"/>
          <w:b/>
          <w:bCs/>
          <w:color w:val="auto"/>
          <w:highlight w:val="none"/>
          <w:lang w:val="en-US" w:eastAsia="zh-CN"/>
        </w:rPr>
        <w:t>（五）其他要求</w:t>
      </w:r>
      <w:bookmarkEnd w:id="17"/>
    </w:p>
    <w:bookmarkEnd w:id="15"/>
    <w:p w14:paraId="05074D3E">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供应商自行承诺（格式自拟）不得存在下列情形之一：</w:t>
      </w:r>
    </w:p>
    <w:p w14:paraId="7A21DB7D">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（1）被人民法院列入失信被执行人名单且在被执行期内；</w:t>
      </w:r>
    </w:p>
    <w:p w14:paraId="155A9919">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（2）被列入《重庆市工程建设领域招标投标信用管理暂行办法》规定的重点关注名单且记分达到12分且在记分有效期内；</w:t>
      </w:r>
    </w:p>
    <w:p w14:paraId="1974DF0F">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（3）被列入《重庆市工程建设领域招标投标信用管理暂行办法》规定的重庆市工程建设领域招标投标失信惩戒对象名单（以下称黑名单）且在记分有效期内；</w:t>
      </w:r>
    </w:p>
    <w:p w14:paraId="09459720">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（4）被国家、重庆市（含市或任意区县）有关行政部门处以暂停投标资格行政处罚，且在处罚期限内；</w:t>
      </w:r>
    </w:p>
    <w:p w14:paraId="362682A5">
      <w:pPr>
        <w:wordWrap w:val="0"/>
        <w:spacing w:line="360" w:lineRule="auto"/>
        <w:ind w:firstLine="48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（5）被重庆市市级有关行业主管部门暂停在渝承揽新业务且在暂停期内；</w:t>
      </w:r>
    </w:p>
    <w:p w14:paraId="3C8410BF">
      <w:pPr>
        <w:wordWrap w:val="0"/>
        <w:spacing w:line="360" w:lineRule="auto"/>
        <w:ind w:firstLine="480"/>
        <w:rPr>
          <w:rFonts w:hint="eastAsia" w:ascii="宋体" w:hAnsi="宋体" w:eastAsia="黑体" w:cs="Times New Roman"/>
          <w:b/>
          <w:bCs/>
          <w:color w:val="auto"/>
          <w:kern w:val="2"/>
          <w:sz w:val="28"/>
          <w:szCs w:val="22"/>
          <w:highlight w:val="none"/>
          <w:lang w:val="en-US" w:eastAsia="zh-CN" w:bidi="ar-SA"/>
        </w:rPr>
      </w:pPr>
      <w:r>
        <w:rPr>
          <w:rFonts w:hint="eastAsia" w:ascii="宋体" w:hAnsi="宋体" w:eastAsia="黑体" w:cs="Times New Roman"/>
          <w:b/>
          <w:bCs/>
          <w:color w:val="auto"/>
          <w:kern w:val="2"/>
          <w:sz w:val="28"/>
          <w:szCs w:val="22"/>
          <w:highlight w:val="none"/>
          <w:lang w:val="en-US" w:eastAsia="zh-CN" w:bidi="ar-SA"/>
        </w:rPr>
        <w:t>四、项目商务要求</w:t>
      </w:r>
    </w:p>
    <w:bookmarkEnd w:id="0"/>
    <w:p w14:paraId="714116E6">
      <w:pPr>
        <w:pageBreakBefore w:val="0"/>
        <w:kinsoku/>
        <w:wordWrap w:val="0"/>
        <w:overflowPunct/>
        <w:topLinePunct w:val="0"/>
        <w:bidi w:val="0"/>
        <w:spacing w:line="360" w:lineRule="auto"/>
        <w:ind w:firstLine="482" w:firstLineChars="200"/>
        <w:textAlignment w:val="auto"/>
        <w:rPr>
          <w:rFonts w:hint="eastAsia" w:ascii="宋体" w:hAnsi="宋体" w:eastAsia="宋体" w:cs="宋体"/>
          <w:b/>
          <w:bCs/>
          <w:color w:val="auto"/>
          <w:lang w:val="en-US" w:eastAsia="zh-CN"/>
        </w:rPr>
      </w:pPr>
      <w:bookmarkStart w:id="18" w:name="_Toc20438"/>
      <w:bookmarkStart w:id="19" w:name="_Toc106034633"/>
      <w:bookmarkStart w:id="20" w:name="_Toc12935"/>
      <w:bookmarkStart w:id="21" w:name="_Toc65660342"/>
      <w:bookmarkStart w:id="22" w:name="_Toc13555"/>
      <w:r>
        <w:rPr>
          <w:rFonts w:hint="eastAsia" w:ascii="宋体" w:hAnsi="宋体" w:eastAsia="宋体" w:cs="宋体"/>
          <w:b/>
          <w:bCs/>
          <w:color w:val="auto"/>
          <w:lang w:val="en-US" w:eastAsia="zh-CN"/>
        </w:rPr>
        <w:t>（一）项目工期、地点及验收方式</w:t>
      </w:r>
      <w:bookmarkEnd w:id="18"/>
      <w:bookmarkEnd w:id="19"/>
      <w:bookmarkEnd w:id="20"/>
      <w:bookmarkEnd w:id="21"/>
      <w:bookmarkEnd w:id="22"/>
    </w:p>
    <w:p w14:paraId="29039707">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1.项目工期：60日历天</w:t>
      </w:r>
    </w:p>
    <w:p w14:paraId="7C782DDA">
      <w:pPr>
        <w:pageBreakBefore w:val="0"/>
        <w:kinsoku/>
        <w:wordWrap w:val="0"/>
        <w:overflowPunct/>
        <w:topLinePunct w:val="0"/>
        <w:bidi w:val="0"/>
        <w:spacing w:line="360" w:lineRule="auto"/>
        <w:ind w:firstLine="480" w:firstLineChars="200"/>
        <w:textAlignment w:val="auto"/>
        <w:rPr>
          <w:rFonts w:hint="default" w:ascii="宋体" w:hAnsi="宋体" w:eastAsia="宋体" w:cs="宋体"/>
          <w:color w:val="auto"/>
          <w:lang w:val="en-US" w:eastAsia="zh-CN"/>
        </w:rPr>
      </w:pPr>
      <w:r>
        <w:rPr>
          <w:rFonts w:hint="eastAsia" w:ascii="宋体" w:hAnsi="宋体" w:eastAsia="宋体" w:cs="宋体"/>
          <w:color w:val="auto"/>
          <w:lang w:val="en-US" w:eastAsia="zh-CN"/>
        </w:rPr>
        <w:t>2.项目地点：采购人指定地点</w:t>
      </w:r>
    </w:p>
    <w:p w14:paraId="125AAAD3">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3.验收方式</w:t>
      </w:r>
    </w:p>
    <w:p w14:paraId="2284A5B9">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施工过程应遵照现行国家有关规范进行，按照图级进行及有关要求进行检查验收。成交供应商应保证工程质量，工程用建筑材料须符合国家及行业标准，项目工程达到国家现行有关施工质量验收规范要求，并达到合格标准。</w:t>
      </w:r>
    </w:p>
    <w:p w14:paraId="0B1B4F11">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（2）工程完工后，按国家相关标准验收程序和规程进行验收，三方签字确认。验收的相关费用由成交供应商承担。</w:t>
      </w:r>
    </w:p>
    <w:p w14:paraId="7C0B1611">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（3）成交供应商未达到采购文件的要求，且对采购人造成损失的，由成交供应商承担一切责任，并赔偿所造成的损失。</w:t>
      </w:r>
    </w:p>
    <w:p w14:paraId="49E57F54">
      <w:pPr>
        <w:pageBreakBefore w:val="0"/>
        <w:kinsoku/>
        <w:wordWrap w:val="0"/>
        <w:overflowPunct/>
        <w:topLinePunct w:val="0"/>
        <w:bidi w:val="0"/>
        <w:spacing w:line="360" w:lineRule="auto"/>
        <w:ind w:firstLine="482" w:firstLineChars="200"/>
        <w:textAlignment w:val="auto"/>
        <w:rPr>
          <w:rFonts w:hint="eastAsia" w:ascii="宋体" w:hAnsi="宋体" w:eastAsia="宋体" w:cs="宋体"/>
          <w:b/>
          <w:bCs/>
          <w:color w:val="auto"/>
          <w:lang w:val="en-US" w:eastAsia="zh-CN"/>
        </w:rPr>
      </w:pPr>
      <w:bookmarkStart w:id="23" w:name="_Toc135838036"/>
      <w:bookmarkStart w:id="24" w:name="_Toc13784"/>
      <w:r>
        <w:rPr>
          <w:rFonts w:hint="eastAsia" w:ascii="宋体" w:hAnsi="宋体" w:eastAsia="宋体" w:cs="宋体"/>
          <w:b/>
          <w:bCs/>
          <w:color w:val="auto"/>
          <w:lang w:val="en-US" w:eastAsia="zh-CN"/>
        </w:rPr>
        <w:t>（二）售后服务</w:t>
      </w:r>
      <w:bookmarkEnd w:id="23"/>
      <w:bookmarkEnd w:id="24"/>
    </w:p>
    <w:p w14:paraId="060AA281">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1.质量保修期限：自验收合格之日起整体质保2年。</w:t>
      </w:r>
    </w:p>
    <w:p w14:paraId="3F9B4EF0">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2.质保期内，所有施工质量缺陷的维护及维修（非人为损坏）均为免费。</w:t>
      </w:r>
    </w:p>
    <w:p w14:paraId="44095C69">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3.质保期内，所有施工质量缺陷维修均为现场服务，由此产生的费用均不再收取。</w:t>
      </w:r>
    </w:p>
    <w:p w14:paraId="3057D9CF">
      <w:pPr>
        <w:pageBreakBefore w:val="0"/>
        <w:kinsoku/>
        <w:wordWrap w:val="0"/>
        <w:overflowPunct/>
        <w:topLinePunct w:val="0"/>
        <w:bidi w:val="0"/>
        <w:spacing w:line="360" w:lineRule="auto"/>
        <w:ind w:firstLine="482" w:firstLineChars="200"/>
        <w:textAlignment w:val="auto"/>
        <w:rPr>
          <w:rFonts w:hint="eastAsia" w:ascii="宋体" w:hAnsi="宋体" w:eastAsia="宋体" w:cs="宋体"/>
          <w:b/>
          <w:bCs/>
          <w:color w:val="auto"/>
          <w:lang w:val="en-US" w:eastAsia="zh-CN"/>
        </w:rPr>
      </w:pPr>
      <w:bookmarkStart w:id="25" w:name="_Toc26624"/>
      <w:r>
        <w:rPr>
          <w:rFonts w:hint="eastAsia" w:ascii="宋体" w:hAnsi="宋体" w:eastAsia="宋体" w:cs="宋体"/>
          <w:b/>
          <w:bCs/>
          <w:color w:val="auto"/>
          <w:lang w:val="en-US" w:eastAsia="zh-CN"/>
        </w:rPr>
        <w:t>（三）人员要求</w:t>
      </w:r>
      <w:bookmarkEnd w:id="25"/>
    </w:p>
    <w:p w14:paraId="1884A7AE">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1.项目经理：</w:t>
      </w:r>
    </w:p>
    <w:p w14:paraId="1A2DF7AB">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供应商拟任的项目经理必须已在供应商本单位注册并应具有</w:t>
      </w:r>
      <w:r>
        <w:rPr>
          <w:rFonts w:hint="eastAsia" w:ascii="宋体" w:hAnsi="宋体" w:eastAsia="宋体" w:cs="宋体"/>
          <w:color w:val="auto"/>
          <w:u w:val="single"/>
          <w:lang w:val="en-US" w:eastAsia="zh-CN"/>
        </w:rPr>
        <w:t>市政工程</w:t>
      </w:r>
      <w:r>
        <w:rPr>
          <w:rFonts w:hint="eastAsia" w:ascii="宋体" w:hAnsi="宋体" w:eastAsia="宋体" w:cs="宋体"/>
          <w:color w:val="auto"/>
          <w:lang w:val="en-US" w:eastAsia="zh-CN"/>
        </w:rPr>
        <w:t>专业</w:t>
      </w:r>
      <w:r>
        <w:rPr>
          <w:rFonts w:hint="eastAsia" w:ascii="宋体" w:hAnsi="宋体" w:eastAsia="宋体" w:cs="宋体"/>
          <w:color w:val="auto"/>
          <w:u w:val="single"/>
          <w:lang w:val="en-US" w:eastAsia="zh-CN"/>
        </w:rPr>
        <w:t xml:space="preserve"> 贰 </w:t>
      </w:r>
      <w:r>
        <w:rPr>
          <w:rFonts w:hint="eastAsia" w:ascii="宋体" w:hAnsi="宋体" w:eastAsia="宋体" w:cs="宋体"/>
          <w:color w:val="auto"/>
          <w:lang w:val="en-US" w:eastAsia="zh-CN"/>
        </w:rPr>
        <w:t>级及以上注册建造师执业资格。</w:t>
      </w:r>
    </w:p>
    <w:p w14:paraId="678AAAE0">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注：提供有效的拟派项目经理建造师注册证、身份证复印件、安全生产考核合格证书、供应商为其缴纳的养老保险（2026年1月-2026年6月）证明材料复印件，并加盖供应商公章。</w:t>
      </w:r>
    </w:p>
    <w:p w14:paraId="66390463">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2.项目技术负责人：</w:t>
      </w:r>
    </w:p>
    <w:p w14:paraId="7E675D6D">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拟任项目技术负责人应为本单位职工，具有</w:t>
      </w:r>
      <w:r>
        <w:rPr>
          <w:rFonts w:hint="eastAsia" w:ascii="宋体" w:hAnsi="宋体" w:eastAsia="宋体" w:cs="宋体"/>
          <w:color w:val="auto"/>
          <w:u w:val="single"/>
          <w:lang w:val="en-US" w:eastAsia="zh-CN"/>
        </w:rPr>
        <w:t>工程类中级</w:t>
      </w:r>
      <w:r>
        <w:rPr>
          <w:rFonts w:hint="eastAsia" w:ascii="宋体" w:hAnsi="宋体" w:eastAsia="宋体" w:cs="宋体"/>
          <w:color w:val="auto"/>
          <w:lang w:val="en-US" w:eastAsia="zh-CN"/>
        </w:rPr>
        <w:t>及以上技术职称；提供有效的职称证复印件、身份证复印件、供应商为其缴纳的养老保险（2026年1月-2026年6月）证明材料复印件，并加盖供应商公章。</w:t>
      </w:r>
    </w:p>
    <w:p w14:paraId="0A5A8EC7">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3.其他主要管理人员：</w:t>
      </w:r>
    </w:p>
    <w:p w14:paraId="3321F2AA">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供应商拟任本项目的其他主要管理人员：供应商自行承诺（格式自拟）成交后在签订合同之前，须按照建设行政主管部门的要求组建施工项目部，配置项目管理班子，出具任命文件。任命文件应当明确施工项目部的职责、岗位设置、人员配备，并书面通知建设单位。相关岗位管理人员应持有建设行政主管部门要求的岗位证书，并提供供应商为其缴纳的养老保险证明材料。成交后不能满足该要求的，取消其成交资格，给采购人造成损失的，供应商依法承担违约赔偿责任。</w:t>
      </w:r>
    </w:p>
    <w:p w14:paraId="0BB8E5E3">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注：供应商未按人员要求中的规定提供相应的资料，其响应文件按废标处理。</w:t>
      </w:r>
    </w:p>
    <w:p w14:paraId="0BC5CE63">
      <w:pPr>
        <w:pageBreakBefore w:val="0"/>
        <w:kinsoku/>
        <w:wordWrap w:val="0"/>
        <w:overflowPunct/>
        <w:topLinePunct w:val="0"/>
        <w:bidi w:val="0"/>
        <w:spacing w:line="360" w:lineRule="auto"/>
        <w:ind w:firstLine="482" w:firstLineChars="200"/>
        <w:textAlignment w:val="auto"/>
        <w:rPr>
          <w:rFonts w:hint="eastAsia" w:ascii="宋体" w:hAnsi="宋体" w:eastAsia="宋体" w:cs="宋体"/>
          <w:b/>
          <w:bCs/>
          <w:color w:val="auto"/>
          <w:lang w:val="en-US" w:eastAsia="zh-CN"/>
        </w:rPr>
      </w:pPr>
      <w:bookmarkStart w:id="26" w:name="_Toc25835"/>
      <w:r>
        <w:rPr>
          <w:rFonts w:hint="eastAsia" w:ascii="宋体" w:hAnsi="宋体" w:eastAsia="宋体" w:cs="宋体"/>
          <w:b/>
          <w:bCs/>
          <w:color w:val="auto"/>
          <w:lang w:val="en-US" w:eastAsia="zh-CN"/>
        </w:rPr>
        <w:t>（四）报价要求</w:t>
      </w:r>
      <w:bookmarkEnd w:id="26"/>
    </w:p>
    <w:p w14:paraId="18C06D0E">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bookmarkStart w:id="27" w:name="_Toc106034636"/>
      <w:bookmarkStart w:id="28" w:name="_Toc65660345"/>
      <w:bookmarkStart w:id="29" w:name="_Toc9192"/>
      <w:bookmarkStart w:id="30" w:name="_Toc7562"/>
      <w:r>
        <w:rPr>
          <w:rFonts w:hint="eastAsia" w:ascii="宋体" w:hAnsi="宋体" w:eastAsia="宋体" w:cs="宋体"/>
          <w:color w:val="auto"/>
          <w:lang w:val="en-US" w:eastAsia="zh-CN"/>
        </w:rPr>
        <w:t>1.报价要求：</w:t>
      </w:r>
    </w:p>
    <w:p w14:paraId="481A6B73">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（1）本项目最高限价为： 元（大写： ）；其中安全文明施工费为 元。</w:t>
      </w:r>
    </w:p>
    <w:p w14:paraId="0375DD90">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（2）供应商的响应报价应完成本项目全部工程的报价，并以供应商在工程量清单中提出的单价或总价为依据。</w:t>
      </w:r>
    </w:p>
    <w:p w14:paraId="716C5F1B">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（3）供应商报价函中的总报价必须与工程量清单总报价一致。</w:t>
      </w:r>
    </w:p>
    <w:p w14:paraId="68412403">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注：采购人在工程量清单中所列出的价格（包括安全文明施工费、暂列金额、暂估价等），供应商不得修改，否则由评标委员会作否决投标处理。</w:t>
      </w:r>
    </w:p>
    <w:p w14:paraId="28124959">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本次报价为综合单价报价，每项清单综合单价报价不得高于每项清单综合单价最高限价。报价包括但不限于完成本项目所实施内容的人工、材料、机械、管理费、规费、利润、税金、措施项目费、风险费等一切费用等。供应商根据本竞采文件、国家有关标准规范结合本项目特点，结合实际工作量、技术含量、难易程度、复杂性、经营决策、企业实力和市场行情等因素，计算费用并承担相应的风险自主报价。因成交供应商自身原因造成漏报、少报皆由其自行承担责任，采购人不再补偿。</w:t>
      </w:r>
    </w:p>
    <w:p w14:paraId="6BA57E4A">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2.结算方式：</w:t>
      </w:r>
    </w:p>
    <w:p w14:paraId="1DAF0D0B">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（1）结算总价=中标单价×实际完成合格工程量+变更或新增±合同约定的其它因素（本项目最终结算总价以第三方审计机构审定的金额为准）</w:t>
      </w:r>
    </w:p>
    <w:p w14:paraId="5150EE28">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注：本工程实行综合单价承包模式，采购人按规定的建设内容和成交价格与成交供应商签订施工合同但暂列金额、暂估价等：按《建设工程工程量清单计价规范》（GB50500-2013）、《重庆市建设工程工程量清单计价规则》（CQQDGZ-2013）、《重庆市市政工程计价定额》(2018)、《重庆市通用安装工程计价定额》(2018)、《重庆市建设工程施工机械台班定额》、《重庆市建设工程施工仪器仪表台班定额》、《重庆市建设工程混凝土及砂浆配合比表》、《重庆市住房和城乡建设委员会关于适用增值税新税率调整建设工程计价依据的通知》（渝建发〔2016〕35号）和渝建[2018]195号、《重庆市住房和城乡建设委员会关于适用增值税新税率调整建设工程计价依据的通知》（渝建〔2019〕143号）及国家、地方和行业的现行法律法规及相关配套文件规定进行结算。除工程在施工建设期间经采购人同意的重大设计变更准予调整外，其它擅自调整或变更设计的，结算时不予调整</w:t>
      </w:r>
    </w:p>
    <w:p w14:paraId="744F64E5">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工程人工和材料（材料暂估价除外）价格在施工建设期间实际发生价格与发包价资料的的价格相比，不论涨跌，结算时均不予调整.</w:t>
      </w:r>
    </w:p>
    <w:p w14:paraId="62F71A51">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变更或新增或工程专业工程暂估价以及在施工建设期间经采购人同意的重大设计变更，结算原则如下：</w:t>
      </w:r>
    </w:p>
    <w:p w14:paraId="0AE49E44">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若涉及工程变更部分工程量，由中标人按技术规范规定的计量方法，报经采购人认可的尺寸、断面计量。已标价工程量清单中有适用于变更工作的子目的，采用该子目的单价。已标价工程量清单中无适用于变更工作的子目，但有类似子目的，可在合理范围内参照类似子目的单价。已标价工程量清单中无相同项目亦无类似项目，由成交供应商会同、采购人按相关原则、编制方法编制补充，或参照重庆市场相同工作的市场价格上报采购人，最终价格按成交供应商、采购人共同询价确认的价格执行。</w:t>
      </w:r>
    </w:p>
    <w:p w14:paraId="41178DB0">
      <w:pPr>
        <w:pageBreakBefore w:val="0"/>
        <w:kinsoku/>
        <w:wordWrap w:val="0"/>
        <w:overflowPunct/>
        <w:topLinePunct w:val="0"/>
        <w:bidi w:val="0"/>
        <w:spacing w:line="360" w:lineRule="auto"/>
        <w:ind w:firstLine="482" w:firstLineChars="200"/>
        <w:textAlignment w:val="auto"/>
        <w:rPr>
          <w:rFonts w:hint="eastAsia" w:ascii="宋体" w:hAnsi="宋体" w:eastAsia="宋体" w:cs="宋体"/>
          <w:b/>
          <w:bCs/>
          <w:color w:val="auto"/>
          <w:lang w:val="en-US" w:eastAsia="zh-CN"/>
        </w:rPr>
      </w:pPr>
      <w:bookmarkStart w:id="31" w:name="_Toc13365"/>
      <w:r>
        <w:rPr>
          <w:rFonts w:hint="eastAsia" w:ascii="宋体" w:hAnsi="宋体" w:eastAsia="宋体" w:cs="宋体"/>
          <w:b/>
          <w:bCs/>
          <w:color w:val="auto"/>
          <w:lang w:val="en-US" w:eastAsia="zh-CN"/>
        </w:rPr>
        <w:t>（五）付款方式</w:t>
      </w:r>
      <w:bookmarkEnd w:id="27"/>
      <w:bookmarkEnd w:id="28"/>
      <w:bookmarkEnd w:id="29"/>
      <w:bookmarkEnd w:id="30"/>
      <w:bookmarkEnd w:id="31"/>
    </w:p>
    <w:p w14:paraId="46329596">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bookmarkStart w:id="32" w:name="_Toc13227"/>
      <w:bookmarkStart w:id="33" w:name="_Toc16172"/>
      <w:bookmarkStart w:id="34" w:name="_Toc7228"/>
      <w:bookmarkStart w:id="35" w:name="_Toc24751"/>
      <w:bookmarkStart w:id="36" w:name="_Toc106034637"/>
      <w:bookmarkStart w:id="37" w:name="_Toc65660346"/>
      <w:r>
        <w:rPr>
          <w:rFonts w:hint="eastAsia" w:ascii="宋体" w:hAnsi="宋体" w:eastAsia="宋体" w:cs="宋体"/>
          <w:color w:val="auto"/>
          <w:lang w:val="en-US" w:eastAsia="zh-CN"/>
        </w:rPr>
        <w:t>本工程竣工并验收合格后，支付至合同价款的80%；在结算审核完成后，支付至结算审核确认结算金额的97%；剩余的3%为本工程质量保证金，保修期满后无息退还。</w:t>
      </w:r>
      <w:bookmarkEnd w:id="32"/>
      <w:bookmarkEnd w:id="33"/>
    </w:p>
    <w:p w14:paraId="1A2DCC91">
      <w:pPr>
        <w:pageBreakBefore w:val="0"/>
        <w:kinsoku/>
        <w:wordWrap w:val="0"/>
        <w:overflowPunct/>
        <w:topLinePunct w:val="0"/>
        <w:bidi w:val="0"/>
        <w:spacing w:line="360" w:lineRule="auto"/>
        <w:ind w:firstLine="482" w:firstLineChars="200"/>
        <w:textAlignment w:val="auto"/>
        <w:rPr>
          <w:rFonts w:hint="eastAsia" w:ascii="宋体" w:hAnsi="宋体" w:eastAsia="宋体" w:cs="宋体"/>
          <w:b/>
          <w:bCs/>
          <w:color w:val="auto"/>
          <w:lang w:val="en-US" w:eastAsia="zh-CN"/>
        </w:rPr>
      </w:pPr>
      <w:bookmarkStart w:id="38" w:name="_Toc28410"/>
      <w:r>
        <w:rPr>
          <w:rFonts w:hint="eastAsia" w:ascii="宋体" w:hAnsi="宋体" w:eastAsia="宋体" w:cs="宋体"/>
          <w:b/>
          <w:bCs/>
          <w:color w:val="auto"/>
          <w:lang w:val="en-US" w:eastAsia="zh-CN"/>
        </w:rPr>
        <w:t>（六）结算原则</w:t>
      </w:r>
      <w:bookmarkEnd w:id="38"/>
    </w:p>
    <w:p w14:paraId="5625D571">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1.结算总价=中标单价*实际完成工程量±增减（变更）工程造价±合同约定的其他费用，最终结算金额以审计单位审定的金额为准。</w:t>
      </w:r>
    </w:p>
    <w:p w14:paraId="0098449C">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default" w:ascii="宋体" w:hAnsi="宋体" w:eastAsia="宋体" w:cs="宋体"/>
          <w:color w:val="auto"/>
          <w:lang w:val="en-US" w:eastAsia="zh-CN"/>
        </w:rPr>
        <w:t>本工程实行工程量清单综合单价计价模式，</w:t>
      </w:r>
      <w:r>
        <w:rPr>
          <w:rFonts w:hint="eastAsia" w:ascii="宋体" w:hAnsi="宋体" w:eastAsia="宋体" w:cs="宋体"/>
          <w:color w:val="auto"/>
          <w:lang w:val="en-US" w:eastAsia="zh-CN"/>
        </w:rPr>
        <w:t>采购</w:t>
      </w:r>
      <w:r>
        <w:rPr>
          <w:rFonts w:hint="default" w:ascii="宋体" w:hAnsi="宋体" w:eastAsia="宋体" w:cs="宋体"/>
          <w:color w:val="auto"/>
          <w:lang w:val="en-US" w:eastAsia="zh-CN"/>
        </w:rPr>
        <w:t>人按规定的建设内容和</w:t>
      </w:r>
      <w:r>
        <w:rPr>
          <w:rFonts w:hint="eastAsia" w:ascii="宋体" w:hAnsi="宋体" w:eastAsia="宋体" w:cs="宋体"/>
          <w:color w:val="auto"/>
          <w:lang w:val="en-US" w:eastAsia="zh-CN"/>
        </w:rPr>
        <w:t>成交</w:t>
      </w:r>
      <w:r>
        <w:rPr>
          <w:rFonts w:hint="default" w:ascii="宋体" w:hAnsi="宋体" w:eastAsia="宋体" w:cs="宋体"/>
          <w:color w:val="auto"/>
          <w:lang w:val="en-US" w:eastAsia="zh-CN"/>
        </w:rPr>
        <w:t>价格与</w:t>
      </w:r>
      <w:r>
        <w:rPr>
          <w:rFonts w:hint="eastAsia" w:ascii="宋体" w:hAnsi="宋体" w:eastAsia="宋体" w:cs="宋体"/>
          <w:color w:val="auto"/>
          <w:lang w:val="en-US" w:eastAsia="zh-CN"/>
        </w:rPr>
        <w:t>成交供应商</w:t>
      </w:r>
      <w:r>
        <w:rPr>
          <w:rFonts w:hint="default" w:ascii="宋体" w:hAnsi="宋体" w:eastAsia="宋体" w:cs="宋体"/>
          <w:color w:val="auto"/>
          <w:lang w:val="en-US" w:eastAsia="zh-CN"/>
        </w:rPr>
        <w:t>签订合同</w:t>
      </w:r>
      <w:r>
        <w:rPr>
          <w:rFonts w:hint="eastAsia" w:ascii="宋体" w:hAnsi="宋体" w:eastAsia="宋体" w:cs="宋体"/>
          <w:color w:val="auto"/>
          <w:lang w:val="en-US" w:eastAsia="zh-CN"/>
        </w:rPr>
        <w:t>。</w:t>
      </w:r>
    </w:p>
    <w:p w14:paraId="07EBDF8D">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在施工建设期间经采购人同意的重大设计变更，结算原则如下：</w:t>
      </w:r>
    </w:p>
    <w:p w14:paraId="7569EFF4">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若涉及工程变更部分工程量，由成交供应商按技术规范规定的计量方法，报经采购人认可的尺寸、断面计量。已标价工程量清单中有适用于变更工作的子目的，采用该子目的单价。已标价工程量清单中无适用于变更工作的子目，但有类似子目的，可在合理范围内参照类似子目的单价。已标价工程量清单中无相同项目亦无类似项目，由成交供应商会同、采购人按相关原则、编制方法编制补充，或参照重庆市场相同工作的市场价格上报采购人，最终价格按成交供应商、采购人共同询价确认的价格执行。</w:t>
      </w:r>
    </w:p>
    <w:bookmarkEnd w:id="34"/>
    <w:bookmarkEnd w:id="35"/>
    <w:bookmarkEnd w:id="36"/>
    <w:bookmarkEnd w:id="37"/>
    <w:p w14:paraId="04BF8351">
      <w:pPr>
        <w:pageBreakBefore w:val="0"/>
        <w:kinsoku/>
        <w:wordWrap w:val="0"/>
        <w:overflowPunct/>
        <w:topLinePunct w:val="0"/>
        <w:bidi w:val="0"/>
        <w:spacing w:line="360" w:lineRule="auto"/>
        <w:ind w:firstLine="482" w:firstLineChars="200"/>
        <w:textAlignment w:val="auto"/>
        <w:rPr>
          <w:rFonts w:hint="eastAsia" w:ascii="宋体" w:hAnsi="宋体" w:eastAsia="宋体" w:cs="宋体"/>
          <w:color w:val="auto"/>
          <w:lang w:val="en-US" w:eastAsia="zh-CN"/>
        </w:rPr>
      </w:pPr>
      <w:bookmarkStart w:id="39" w:name="_Toc135838039"/>
      <w:bookmarkStart w:id="40" w:name="_Toc19176"/>
      <w:bookmarkStart w:id="41" w:name="_Toc3786"/>
      <w:bookmarkStart w:id="42" w:name="_Toc106034786"/>
      <w:r>
        <w:rPr>
          <w:rFonts w:hint="eastAsia" w:ascii="宋体" w:hAnsi="宋体" w:eastAsia="宋体" w:cs="宋体"/>
          <w:b/>
          <w:bCs/>
          <w:color w:val="auto"/>
          <w:lang w:val="en-US" w:eastAsia="zh-CN"/>
        </w:rPr>
        <w:t>（七）知识产权</w:t>
      </w:r>
      <w:bookmarkEnd w:id="39"/>
      <w:bookmarkEnd w:id="40"/>
      <w:bookmarkEnd w:id="41"/>
      <w:bookmarkEnd w:id="42"/>
    </w:p>
    <w:p w14:paraId="2364414C">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69B40226">
      <w:pPr>
        <w:pageBreakBefore w:val="0"/>
        <w:kinsoku/>
        <w:wordWrap w:val="0"/>
        <w:overflowPunct/>
        <w:topLinePunct w:val="0"/>
        <w:bidi w:val="0"/>
        <w:spacing w:line="360" w:lineRule="auto"/>
        <w:ind w:firstLine="482" w:firstLineChars="200"/>
        <w:textAlignment w:val="auto"/>
        <w:rPr>
          <w:rFonts w:hint="eastAsia" w:ascii="宋体" w:hAnsi="宋体" w:eastAsia="宋体" w:cs="宋体"/>
          <w:b/>
          <w:bCs/>
          <w:color w:val="auto"/>
          <w:lang w:val="en-US" w:eastAsia="zh-CN"/>
        </w:rPr>
      </w:pPr>
      <w:bookmarkStart w:id="43" w:name="_Toc135838040"/>
      <w:bookmarkStart w:id="44" w:name="_Toc21248"/>
      <w:bookmarkStart w:id="45" w:name="_Toc31659"/>
      <w:bookmarkStart w:id="46" w:name="_Toc65660348"/>
      <w:bookmarkStart w:id="47" w:name="_Toc7360"/>
      <w:bookmarkStart w:id="48" w:name="_Toc23902"/>
      <w:bookmarkStart w:id="49" w:name="_Toc106034788"/>
      <w:r>
        <w:rPr>
          <w:rFonts w:hint="eastAsia" w:ascii="宋体" w:hAnsi="宋体" w:eastAsia="宋体" w:cs="宋体"/>
          <w:b/>
          <w:bCs/>
          <w:color w:val="auto"/>
          <w:lang w:val="en-US" w:eastAsia="zh-CN"/>
        </w:rPr>
        <w:t>（八）其他</w:t>
      </w:r>
      <w:bookmarkEnd w:id="43"/>
      <w:bookmarkEnd w:id="44"/>
      <w:bookmarkEnd w:id="45"/>
      <w:bookmarkEnd w:id="46"/>
      <w:bookmarkEnd w:id="47"/>
      <w:bookmarkEnd w:id="48"/>
      <w:bookmarkEnd w:id="49"/>
    </w:p>
    <w:p w14:paraId="5A03F405">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bookmarkStart w:id="50" w:name="_Toc10959"/>
      <w:bookmarkStart w:id="51" w:name="_Toc23994"/>
      <w:bookmarkStart w:id="52" w:name="_Toc6466"/>
      <w:bookmarkStart w:id="53" w:name="_Toc26478"/>
      <w:bookmarkStart w:id="54" w:name="_Toc26764"/>
      <w:bookmarkStart w:id="55" w:name="_Toc3873"/>
      <w:r>
        <w:rPr>
          <w:rFonts w:hint="eastAsia" w:ascii="宋体" w:hAnsi="宋体" w:eastAsia="宋体" w:cs="宋体"/>
          <w:color w:val="auto"/>
          <w:lang w:val="en-US" w:eastAsia="zh-CN"/>
        </w:rPr>
        <w:t>1.供应商必须在响应文件中对以上条款和服务承诺明确列出，承诺内容必须达到本篇及采购文件其他条款的要求。</w:t>
      </w:r>
      <w:bookmarkEnd w:id="50"/>
      <w:bookmarkEnd w:id="51"/>
      <w:bookmarkEnd w:id="52"/>
      <w:bookmarkEnd w:id="53"/>
      <w:bookmarkEnd w:id="54"/>
      <w:bookmarkEnd w:id="55"/>
    </w:p>
    <w:p w14:paraId="58041E0A">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2.其他未尽事宜由供需双方在采购合同中详细约定。</w:t>
      </w:r>
    </w:p>
    <w:p w14:paraId="52D8D420">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3.参与供应商不得泄漏竞采活动中应当保密的情况和资料，不得与参与供应商串通损害国家利益、社会公共利益或者他人合法权益。</w:t>
      </w:r>
    </w:p>
    <w:p w14:paraId="25C7D429">
      <w:pPr>
        <w:pageBreakBefore w:val="0"/>
        <w:kinsoku/>
        <w:wordWrap w:val="0"/>
        <w:overflowPunct/>
        <w:topLinePunct w:val="0"/>
        <w:bidi w:val="0"/>
        <w:spacing w:line="360" w:lineRule="auto"/>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4.参与供应商不得相互串通投标或者与采购人串通投标，不得向采购人或者评审小组成员行贿谋取中标，不得以他人名义投标或者以其他方式弄虚作假骗取中标;供应商不得以任何方式干扰、影响评审工作。</w:t>
      </w:r>
    </w:p>
    <w:p w14:paraId="001E3158">
      <w:pPr>
        <w:pageBreakBefore w:val="0"/>
        <w:kinsoku/>
        <w:wordWrap w:val="0"/>
        <w:overflowPunct/>
        <w:topLinePunct w:val="0"/>
        <w:bidi w:val="0"/>
        <w:spacing w:line="360" w:lineRule="auto"/>
        <w:ind w:firstLine="562" w:firstLineChars="200"/>
        <w:textAlignment w:val="auto"/>
        <w:rPr>
          <w:rFonts w:hint="eastAsia" w:ascii="宋体" w:hAnsi="宋体" w:eastAsia="黑体" w:cs="Times New Roman"/>
          <w:b/>
          <w:color w:val="auto"/>
          <w:kern w:val="2"/>
          <w:sz w:val="28"/>
          <w:szCs w:val="22"/>
          <w:highlight w:val="none"/>
          <w:lang w:val="en-US" w:eastAsia="zh-CN" w:bidi="ar-SA"/>
        </w:rPr>
      </w:pPr>
      <w:r>
        <w:rPr>
          <w:rFonts w:hint="eastAsia" w:ascii="宋体" w:hAnsi="宋体" w:eastAsia="黑体" w:cs="Times New Roman"/>
          <w:b/>
          <w:color w:val="auto"/>
          <w:kern w:val="2"/>
          <w:sz w:val="28"/>
          <w:szCs w:val="22"/>
          <w:highlight w:val="none"/>
          <w:lang w:val="en-US" w:eastAsia="zh-CN" w:bidi="ar-SA"/>
        </w:rPr>
        <w:t>五、联系方式</w:t>
      </w:r>
    </w:p>
    <w:p w14:paraId="01EC2ED9">
      <w:pPr>
        <w:keepNext w:val="0"/>
        <w:keepLines w:val="0"/>
        <w:pageBreakBefore w:val="0"/>
        <w:widowControl/>
        <w:kinsoku/>
        <w:wordWrap w:val="0"/>
        <w:overflowPunct/>
        <w:topLinePunct w:val="0"/>
        <w:autoSpaceDE/>
        <w:autoSpaceDN/>
        <w:bidi w:val="0"/>
        <w:adjustRightInd/>
        <w:spacing w:line="360" w:lineRule="auto"/>
        <w:ind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采购人：</w:t>
      </w:r>
      <w:r>
        <w:rPr>
          <w:rFonts w:hint="eastAsia" w:ascii="宋体" w:hAnsi="宋体" w:eastAsia="宋体" w:cs="宋体"/>
          <w:color w:val="auto"/>
          <w:sz w:val="21"/>
          <w:szCs w:val="21"/>
          <w:highlight w:val="none"/>
          <w:lang w:eastAsia="zh-CN"/>
        </w:rPr>
        <w:t>重庆市大足区人民政府龙滩子街道办事处</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lang w:val="en-US" w:eastAsia="zh-CN"/>
        </w:rPr>
        <w:t>采购代理机构：重庆誉双项目管理有限公司</w:t>
      </w:r>
    </w:p>
    <w:p w14:paraId="1AC29A39">
      <w:pPr>
        <w:keepNext w:val="0"/>
        <w:keepLines w:val="0"/>
        <w:pageBreakBefore w:val="0"/>
        <w:widowControl/>
        <w:kinsoku/>
        <w:wordWrap w:val="0"/>
        <w:overflowPunct/>
        <w:topLinePunct w:val="0"/>
        <w:autoSpaceDE/>
        <w:autoSpaceDN/>
        <w:bidi w:val="0"/>
        <w:adjustRightInd/>
        <w:spacing w:line="360" w:lineRule="auto"/>
        <w:ind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联系人：</w:t>
      </w:r>
      <w:r>
        <w:rPr>
          <w:rFonts w:hint="eastAsia" w:ascii="宋体" w:hAnsi="宋体" w:eastAsia="宋体" w:cs="宋体"/>
          <w:color w:val="auto"/>
          <w:sz w:val="21"/>
          <w:szCs w:val="21"/>
          <w:lang w:val="en-US" w:eastAsia="zh-CN"/>
        </w:rPr>
        <w:t>郑老师</w:t>
      </w:r>
      <w:r>
        <w:rPr>
          <w:rFonts w:hint="eastAsia" w:ascii="宋体" w:hAnsi="宋体" w:eastAsia="宋体" w:cs="宋体"/>
          <w:color w:val="auto"/>
          <w:sz w:val="21"/>
          <w:szCs w:val="21"/>
          <w:lang w:val="en-US" w:eastAsia="zh-CN"/>
        </w:rPr>
        <w:t xml:space="preserve">                                  联系人：顾老师</w:t>
      </w:r>
    </w:p>
    <w:p w14:paraId="29285D5D">
      <w:pPr>
        <w:keepNext w:val="0"/>
        <w:keepLines w:val="0"/>
        <w:pageBreakBefore w:val="0"/>
        <w:widowControl/>
        <w:kinsoku/>
        <w:wordWrap w:val="0"/>
        <w:overflowPunct/>
        <w:topLinePunct w:val="0"/>
        <w:autoSpaceDE/>
        <w:autoSpaceDN/>
        <w:bidi w:val="0"/>
        <w:adjustRightInd/>
        <w:spacing w:line="360" w:lineRule="auto"/>
        <w:ind w:firstLine="0" w:firstLineChars="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电   话</w:t>
      </w:r>
      <w:r>
        <w:rPr>
          <w:rFonts w:hint="eastAsia" w:ascii="宋体" w:hAnsi="宋体" w:eastAsia="宋体" w:cs="宋体"/>
          <w:color w:val="auto"/>
          <w:sz w:val="21"/>
          <w:szCs w:val="21"/>
          <w:lang w:val="en-US" w:eastAsia="zh-CN"/>
        </w:rPr>
        <w:t xml:space="preserve">：17623172775  </w:t>
      </w:r>
      <w:r>
        <w:rPr>
          <w:rFonts w:hint="eastAsia" w:ascii="宋体" w:hAnsi="宋体" w:eastAsia="宋体" w:cs="宋体"/>
          <w:color w:val="auto"/>
          <w:sz w:val="21"/>
          <w:szCs w:val="21"/>
          <w:lang w:val="en-US" w:eastAsia="zh-CN"/>
        </w:rPr>
        <w:t xml:space="preserve">                          电  话：15520000759</w:t>
      </w:r>
    </w:p>
    <w:p w14:paraId="3893BF95">
      <w:pPr>
        <w:keepNext w:val="0"/>
        <w:keepLines w:val="0"/>
        <w:pageBreakBefore w:val="0"/>
        <w:widowControl/>
        <w:kinsoku/>
        <w:wordWrap w:val="0"/>
        <w:overflowPunct/>
        <w:topLinePunct w:val="0"/>
        <w:autoSpaceDE/>
        <w:autoSpaceDN/>
        <w:bidi w:val="0"/>
        <w:adjustRightInd/>
        <w:spacing w:line="360" w:lineRule="auto"/>
        <w:ind w:left="5880" w:hanging="5880" w:hangingChars="28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地   址：大足区双桥经开区巴岳大道8号          地  址：重庆市大足区棠香街道五星大道南段西南建材城3幢2-24</w:t>
      </w:r>
    </w:p>
    <w:p w14:paraId="257C1671">
      <w:pPr>
        <w:rPr>
          <w:rFonts w:hint="eastAsia" w:eastAsia="仿宋_GB2312"/>
          <w:color w:val="auto"/>
          <w:lang w:val="en-US" w:eastAsia="zh-CN"/>
        </w:rPr>
      </w:pPr>
    </w:p>
    <w:bookmarkEnd w:id="56"/>
    <w:sectPr>
      <w:headerReference r:id="rId5" w:type="default"/>
      <w:footerReference r:id="rId6" w:type="default"/>
      <w:pgSz w:w="11906" w:h="16838"/>
      <w:pgMar w:top="1440" w:right="1440" w:bottom="144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EEB06">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6CC24F">
                          <w:pPr>
                            <w:pStyle w:val="6"/>
                          </w:pPr>
                          <w:r>
                            <w:fldChar w:fldCharType="begin"/>
                          </w:r>
                          <w:r>
                            <w:instrText xml:space="preserve"> PAGE  \* MERGEFORMAT </w:instrText>
                          </w:r>
                          <w:r>
                            <w:fldChar w:fldCharType="separate"/>
                          </w:r>
                          <w:r>
                            <w:t>12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F6CC24F">
                    <w:pPr>
                      <w:pStyle w:val="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A47C4">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A6D74A"/>
    <w:multiLevelType w:val="singleLevel"/>
    <w:tmpl w:val="68A6D74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7D0A3D"/>
    <w:rsid w:val="0BC536DC"/>
    <w:rsid w:val="14EE74AA"/>
    <w:rsid w:val="313C228F"/>
    <w:rsid w:val="33E805CA"/>
    <w:rsid w:val="427D0A3D"/>
    <w:rsid w:val="44D31CC4"/>
    <w:rsid w:val="4EAF1094"/>
    <w:rsid w:val="55E737FF"/>
    <w:rsid w:val="66C257C9"/>
    <w:rsid w:val="6B741676"/>
    <w:rsid w:val="7B6A5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20" w:lineRule="exact"/>
      <w:ind w:firstLine="200" w:firstLineChars="200"/>
    </w:pPr>
    <w:rPr>
      <w:rFonts w:ascii="Times New Roman" w:hAnsi="Times New Roman" w:eastAsia="仿宋_GB2312" w:cs="Times New Roman"/>
      <w:kern w:val="2"/>
      <w:sz w:val="24"/>
      <w:szCs w:val="24"/>
      <w:lang w:val="en-US" w:eastAsia="zh-CN" w:bidi="ar-SA"/>
    </w:rPr>
  </w:style>
  <w:style w:type="paragraph" w:styleId="3">
    <w:name w:val="heading 2"/>
    <w:basedOn w:val="1"/>
    <w:next w:val="1"/>
    <w:qFormat/>
    <w:uiPriority w:val="0"/>
    <w:pPr>
      <w:keepNext/>
      <w:keepLines/>
      <w:adjustRightInd w:val="0"/>
      <w:snapToGrid w:val="0"/>
      <w:spacing w:before="20" w:beforeLines="20" w:after="20" w:afterLines="20" w:line="380" w:lineRule="exact"/>
      <w:ind w:firstLine="140" w:firstLineChars="140"/>
      <w:outlineLvl w:val="1"/>
    </w:pPr>
    <w:rPr>
      <w:rFonts w:ascii="宋体" w:hAnsi="宋体" w:eastAsia="黑体"/>
      <w:b/>
      <w:kern w:val="2"/>
      <w:sz w:val="30"/>
      <w:szCs w:val="24"/>
      <w:lang w:val="en-US" w:eastAsia="zh-CN" w:bidi="ar-SA"/>
    </w:rPr>
  </w:style>
  <w:style w:type="paragraph" w:styleId="4">
    <w:name w:val="heading 3"/>
    <w:basedOn w:val="1"/>
    <w:next w:val="1"/>
    <w:link w:val="11"/>
    <w:qFormat/>
    <w:uiPriority w:val="0"/>
    <w:pPr>
      <w:keepNext/>
      <w:keepLines/>
      <w:spacing w:before="20" w:beforeLines="20" w:after="20" w:afterLines="20" w:line="380" w:lineRule="exact"/>
      <w:ind w:firstLine="67" w:firstLineChars="67"/>
      <w:outlineLvl w:val="2"/>
    </w:pPr>
    <w:rPr>
      <w:rFonts w:ascii="Verdana" w:hAnsi="Verdana" w:eastAsia="黑体"/>
      <w:b/>
      <w:bCs/>
      <w:kern w:val="2"/>
      <w:sz w:val="27"/>
      <w:szCs w:val="3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pPr>
      <w:widowControl w:val="0"/>
      <w:spacing w:after="120"/>
    </w:pPr>
    <w:rPr>
      <w:rFonts w:ascii="宋体" w:hAnsi="宋体"/>
      <w:sz w:val="28"/>
      <w:szCs w:val="20"/>
      <w:lang w:eastAsia="en-US"/>
    </w:rPr>
  </w:style>
  <w:style w:type="paragraph" w:styleId="5">
    <w:name w:val="Body Text Indent 2"/>
    <w:basedOn w:val="1"/>
    <w:qFormat/>
    <w:uiPriority w:val="0"/>
    <w:pPr>
      <w:snapToGrid w:val="0"/>
      <w:spacing w:line="560" w:lineRule="atLeast"/>
      <w:ind w:firstLine="54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semiHidden/>
    <w:qFormat/>
    <w:uiPriority w:val="0"/>
    <w:pPr>
      <w:pBdr>
        <w:bottom w:val="single" w:color="auto" w:sz="6" w:space="1"/>
      </w:pBdr>
      <w:tabs>
        <w:tab w:val="center" w:pos="4153"/>
        <w:tab w:val="right" w:pos="8306"/>
      </w:tabs>
      <w:snapToGrid w:val="0"/>
      <w:jc w:val="center"/>
    </w:pPr>
    <w:rPr>
      <w:rFonts w:ascii="仿宋_GB2312"/>
      <w:sz w:val="32"/>
      <w:szCs w:val="20"/>
    </w:rPr>
  </w:style>
  <w:style w:type="paragraph" w:customStyle="1" w:styleId="10">
    <w:name w:val="È±Ê¡ÎÄ±¾"/>
    <w:basedOn w:val="1"/>
    <w:qFormat/>
    <w:uiPriority w:val="0"/>
    <w:pPr>
      <w:widowControl/>
      <w:overflowPunct w:val="0"/>
      <w:autoSpaceDE w:val="0"/>
      <w:autoSpaceDN w:val="0"/>
      <w:adjustRightInd w:val="0"/>
      <w:jc w:val="left"/>
      <w:textAlignment w:val="baseline"/>
    </w:pPr>
    <w:rPr>
      <w:kern w:val="0"/>
      <w:sz w:val="24"/>
    </w:rPr>
  </w:style>
  <w:style w:type="character" w:customStyle="1" w:styleId="11">
    <w:name w:val="标题 3 Char"/>
    <w:basedOn w:val="9"/>
    <w:link w:val="4"/>
    <w:qFormat/>
    <w:uiPriority w:val="0"/>
    <w:rPr>
      <w:rFonts w:ascii="Verdana" w:hAnsi="Verdana" w:eastAsia="黑体"/>
      <w:b/>
      <w:bCs/>
      <w:kern w:val="2"/>
      <w:sz w:val="27"/>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4131</Words>
  <Characters>4248</Characters>
  <Lines>0</Lines>
  <Paragraphs>0</Paragraphs>
  <TotalTime>4</TotalTime>
  <ScaleCrop>false</ScaleCrop>
  <LinksUpToDate>false</LinksUpToDate>
  <CharactersWithSpaces>4339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2026-02-05T08:09:00Z</dcterms:created>
  <dc:creator>VT爱美丽</dc:creator>
  <cp:lastModifiedBy>LIDAN</cp:lastModifiedBy>
  <dcterms:modified xsi:type="dcterms:W3CDTF">2026-07-03T10:01:31Z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751DA1333476405A8418AFDC398E053A_13</vt:lpwstr>
  </property>
  <property fmtid="{D5CDD505-2E9C-101B-9397-08002B2CF9AE}" pid="4" name="KSOTemplateDocerSaveRecord">
    <vt:lpwstr>eyJoZGlkIjoiZTdmMDFkMjJmYjZlODFjNDllMWVlYjJjNDkxZmU3MDAiLCJ1c2VySWQiOiIzODE5MDkyOTkifQ==</vt:lpwstr>
  </property>
</Properties>
</file>