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pPr>
      <w:bookmarkStart w:id="0" w:name="_Toc338941623"/>
      <w:bookmarkStart w:id="1" w:name="_Toc370384617"/>
      <w:bookmarkStart w:id="2" w:name="_Toc419974233"/>
    </w:p>
    <w:p>
      <w:pPr>
        <w:pStyle w:val="40"/>
      </w:pPr>
    </w:p>
    <w:p>
      <w:pPr>
        <w:pStyle w:val="376"/>
        <w:ind w:left="0" w:firstLine="1680" w:firstLineChars="200"/>
        <w:jc w:val="both"/>
        <w:rPr>
          <w:rStyle w:val="57"/>
          <w:rFonts w:hint="eastAsia" w:ascii="宋体" w:hAnsi="宋体" w:eastAsia="宋体" w:cs="宋体"/>
          <w:color w:val="000000" w:themeColor="text1"/>
          <w:sz w:val="84"/>
          <w:szCs w:val="84"/>
          <w14:textFill>
            <w14:solidFill>
              <w14:schemeClr w14:val="tx1"/>
            </w14:solidFill>
          </w14:textFill>
        </w:rPr>
      </w:pPr>
      <w:bookmarkStart w:id="3" w:name="_Toc86934184"/>
      <w:bookmarkStart w:id="4" w:name="_Toc11591"/>
      <w:r>
        <w:rPr>
          <w:rStyle w:val="57"/>
          <w:rFonts w:hint="eastAsia" w:ascii="宋体" w:hAnsi="宋体" w:eastAsia="宋体" w:cs="宋体"/>
          <w:color w:val="000000" w:themeColor="text1"/>
          <w:sz w:val="84"/>
          <w:szCs w:val="84"/>
          <w14:textFill>
            <w14:solidFill>
              <w14:schemeClr w14:val="tx1"/>
            </w14:solidFill>
          </w14:textFill>
        </w:rPr>
        <w:t>竞争性比选文件</w:t>
      </w:r>
      <w:bookmarkEnd w:id="3"/>
    </w:p>
    <w:bookmarkEnd w:id="4"/>
    <w:p>
      <w:pPr>
        <w:spacing w:line="700" w:lineRule="exact"/>
        <w:ind w:left="630" w:leftChars="300"/>
        <w:rPr>
          <w:rFonts w:hint="eastAsia" w:ascii="宋体" w:hAnsi="宋体" w:eastAsia="宋体" w:cs="宋体"/>
          <w:color w:val="000000" w:themeColor="text1"/>
          <w:sz w:val="36"/>
          <w:szCs w:val="30"/>
          <w14:textFill>
            <w14:solidFill>
              <w14:schemeClr w14:val="tx1"/>
            </w14:solidFill>
          </w14:textFill>
        </w:rPr>
      </w:pPr>
      <w:r>
        <w:rPr>
          <w:rFonts w:hint="eastAsia" w:ascii="宋体" w:hAnsi="宋体" w:eastAsia="宋体" w:cs="宋体"/>
          <w:color w:val="000000" w:themeColor="text1"/>
          <w:sz w:val="36"/>
          <w:szCs w:val="30"/>
          <w14:textFill>
            <w14:solidFill>
              <w14:schemeClr w14:val="tx1"/>
            </w14:solidFill>
          </w14:textFill>
        </w:rPr>
        <w:t xml:space="preserve">  </w:t>
      </w:r>
    </w:p>
    <w:p>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p>
    <w:p>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p>
    <w:p>
      <w:pPr>
        <w:pStyle w:val="11"/>
        <w:rPr>
          <w:rFonts w:hint="eastAsia" w:ascii="宋体" w:hAnsi="宋体" w:eastAsia="宋体" w:cs="宋体"/>
          <w:b/>
          <w:bCs/>
          <w:color w:val="000000" w:themeColor="text1"/>
          <w:w w:val="90"/>
          <w:sz w:val="36"/>
          <w:szCs w:val="36"/>
          <w14:textFill>
            <w14:solidFill>
              <w14:schemeClr w14:val="tx1"/>
            </w14:solidFill>
          </w14:textFill>
        </w:rPr>
      </w:pPr>
    </w:p>
    <w:p>
      <w:pPr>
        <w:pStyle w:val="11"/>
        <w:rPr>
          <w:rFonts w:hint="eastAsia" w:ascii="宋体" w:hAnsi="宋体" w:eastAsia="宋体" w:cs="宋体"/>
          <w:b/>
          <w:bCs/>
          <w:color w:val="000000" w:themeColor="text1"/>
          <w:w w:val="90"/>
          <w:sz w:val="36"/>
          <w:szCs w:val="36"/>
          <w14:textFill>
            <w14:solidFill>
              <w14:schemeClr w14:val="tx1"/>
            </w14:solidFill>
          </w14:textFill>
        </w:rPr>
      </w:pPr>
    </w:p>
    <w:p>
      <w:pPr>
        <w:keepNext w:val="0"/>
        <w:keepLines w:val="0"/>
        <w:widowControl/>
        <w:suppressLineNumbers w:val="0"/>
        <w:jc w:val="center"/>
        <w:rPr>
          <w:sz w:val="48"/>
          <w:szCs w:val="48"/>
        </w:rPr>
      </w:pPr>
      <w:r>
        <w:rPr>
          <w:rFonts w:hint="eastAsia" w:ascii="宋体" w:hAnsi="宋体" w:eastAsia="宋体" w:cs="宋体"/>
          <w:b/>
          <w:bCs/>
          <w:color w:val="000000" w:themeColor="text1"/>
          <w:w w:val="90"/>
          <w:sz w:val="36"/>
          <w:szCs w:val="36"/>
          <w14:textFill>
            <w14:solidFill>
              <w14:schemeClr w14:val="tx1"/>
            </w14:solidFill>
          </w14:textFill>
        </w:rPr>
        <w:t>项目名称：</w:t>
      </w:r>
      <w:r>
        <w:rPr>
          <w:rFonts w:hint="eastAsia" w:ascii="宋体" w:hAnsi="宋体" w:cs="宋体"/>
          <w:b/>
          <w:bCs/>
          <w:color w:val="000000" w:themeColor="text1"/>
          <w:w w:val="90"/>
          <w:sz w:val="36"/>
          <w:szCs w:val="36"/>
          <w:lang w:val="en-US" w:eastAsia="zh-CN"/>
          <w14:textFill>
            <w14:solidFill>
              <w14:schemeClr w14:val="tx1"/>
            </w14:solidFill>
          </w14:textFill>
        </w:rPr>
        <w:t>龙滩子烟火集市建设项目</w:t>
      </w:r>
    </w:p>
    <w:p>
      <w:pPr>
        <w:spacing w:line="360" w:lineRule="auto"/>
        <w:ind w:left="2166" w:leftChars="171" w:hanging="1807" w:hangingChars="500"/>
        <w:jc w:val="both"/>
        <w:rPr>
          <w:rFonts w:hint="default" w:ascii="宋体" w:hAnsi="宋体" w:eastAsia="宋体" w:cs="宋体"/>
          <w:b/>
          <w:bCs/>
          <w:color w:val="000000" w:themeColor="text1"/>
          <w:sz w:val="36"/>
          <w:szCs w:val="36"/>
          <w:lang w:val="en-US" w:eastAsia="zh-CN"/>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 xml:space="preserve">   </w:t>
      </w:r>
    </w:p>
    <w:p>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p>
    <w:p>
      <w:pPr>
        <w:jc w:val="both"/>
        <w:rPr>
          <w:rFonts w:hint="eastAsia" w:ascii="宋体" w:hAnsi="宋体" w:eastAsia="宋体" w:cs="宋体"/>
          <w:b/>
          <w:bCs/>
          <w:color w:val="000000" w:themeColor="text1"/>
          <w:sz w:val="36"/>
          <w:szCs w:val="36"/>
          <w14:textFill>
            <w14:solidFill>
              <w14:schemeClr w14:val="tx1"/>
            </w14:solidFill>
          </w14:textFill>
        </w:rPr>
      </w:pPr>
    </w:p>
    <w:p>
      <w:pPr>
        <w:pStyle w:val="2"/>
        <w:rPr>
          <w:rFonts w:hint="eastAsia"/>
        </w:rPr>
      </w:pPr>
    </w:p>
    <w:p>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r>
        <w:rPr>
          <w:rFonts w:hint="eastAsia" w:ascii="宋体" w:hAnsi="宋体" w:eastAsia="宋体" w:cs="宋体"/>
          <w:b/>
          <w:bCs/>
          <w:color w:val="000000" w:themeColor="text1"/>
          <w:w w:val="90"/>
          <w:sz w:val="36"/>
          <w:szCs w:val="36"/>
          <w14:textFill>
            <w14:solidFill>
              <w14:schemeClr w14:val="tx1"/>
            </w14:solidFill>
          </w14:textFill>
        </w:rPr>
        <w:t>招标人：</w:t>
      </w:r>
      <w:r>
        <w:rPr>
          <w:rFonts w:hint="eastAsia" w:ascii="宋体" w:hAnsi="宋体" w:eastAsia="宋体" w:cs="宋体"/>
          <w:b/>
          <w:bCs/>
          <w:color w:val="000000" w:themeColor="text1"/>
          <w:w w:val="90"/>
          <w:sz w:val="36"/>
          <w:szCs w:val="36"/>
          <w:lang w:val="en-US" w:eastAsia="zh-CN"/>
          <w14:textFill>
            <w14:solidFill>
              <w14:schemeClr w14:val="tx1"/>
            </w14:solidFill>
          </w14:textFill>
        </w:rPr>
        <w:t>重庆市大足区人民政府龙滩子街道办事处</w:t>
      </w:r>
    </w:p>
    <w:p>
      <w:pPr>
        <w:spacing w:line="560" w:lineRule="exact"/>
        <w:jc w:val="center"/>
        <w:rPr>
          <w:rFonts w:hint="eastAsia" w:ascii="宋体" w:hAnsi="宋体" w:cs="宋体"/>
          <w:b/>
          <w:bCs/>
          <w:color w:val="000000" w:themeColor="text1"/>
          <w:sz w:val="36"/>
          <w:szCs w:val="36"/>
          <w:lang w:val="en-US" w:eastAsia="zh-CN"/>
          <w14:textFill>
            <w14:solidFill>
              <w14:schemeClr w14:val="tx1"/>
            </w14:solidFill>
          </w14:textFill>
        </w:rPr>
      </w:pPr>
    </w:p>
    <w:p>
      <w:pPr>
        <w:spacing w:line="560" w:lineRule="exact"/>
        <w:jc w:val="center"/>
        <w:rPr>
          <w:rFonts w:hint="eastAsia" w:ascii="宋体" w:hAnsi="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招标</w:t>
      </w:r>
      <w:r>
        <w:rPr>
          <w:rFonts w:hint="eastAsia" w:ascii="宋体" w:hAnsi="宋体" w:eastAsia="宋体" w:cs="宋体"/>
          <w:b/>
          <w:bCs/>
          <w:color w:val="000000" w:themeColor="text1"/>
          <w:sz w:val="36"/>
          <w:szCs w:val="36"/>
          <w14:textFill>
            <w14:solidFill>
              <w14:schemeClr w14:val="tx1"/>
            </w14:solidFill>
          </w14:textFill>
        </w:rPr>
        <w:t>代理机构：</w:t>
      </w:r>
      <w:r>
        <w:rPr>
          <w:rFonts w:hint="eastAsia" w:ascii="宋体" w:hAnsi="宋体" w:cs="宋体"/>
          <w:b/>
          <w:bCs/>
          <w:color w:val="000000" w:themeColor="text1"/>
          <w:sz w:val="36"/>
          <w:szCs w:val="36"/>
          <w:lang w:val="en-US" w:eastAsia="zh-CN"/>
          <w14:textFill>
            <w14:solidFill>
              <w14:schemeClr w14:val="tx1"/>
            </w14:solidFill>
          </w14:textFill>
        </w:rPr>
        <w:t>优序建设集团有限公司</w:t>
      </w:r>
    </w:p>
    <w:p>
      <w:pP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 xml:space="preserve">   </w:t>
      </w:r>
    </w:p>
    <w:p>
      <w:pPr>
        <w:spacing w:line="560" w:lineRule="exact"/>
        <w:rPr>
          <w:rFonts w:hint="eastAsia" w:ascii="宋体" w:hAnsi="宋体" w:eastAsia="宋体" w:cs="宋体"/>
          <w:b/>
          <w:bCs/>
          <w:color w:val="000000" w:themeColor="text1"/>
          <w:sz w:val="44"/>
          <w:szCs w:val="44"/>
          <w14:textFill>
            <w14:solidFill>
              <w14:schemeClr w14:val="tx1"/>
            </w14:solidFill>
          </w14:textFill>
        </w:rPr>
      </w:pPr>
    </w:p>
    <w:p>
      <w:pPr>
        <w:pStyle w:val="72"/>
        <w:tabs>
          <w:tab w:val="right" w:leader="dot" w:pos="9033"/>
        </w:tabs>
        <w:spacing w:after="240" w:afterLines="100" w:line="360" w:lineRule="auto"/>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202</w:t>
      </w:r>
      <w:r>
        <w:rPr>
          <w:rFonts w:hint="eastAsia" w:ascii="宋体" w:hAnsi="宋体" w:cs="宋体"/>
          <w:b/>
          <w:bCs/>
          <w:color w:val="000000" w:themeColor="text1"/>
          <w:sz w:val="44"/>
          <w:szCs w:val="44"/>
          <w:lang w:val="en-US" w:eastAsia="zh-CN"/>
          <w14:textFill>
            <w14:solidFill>
              <w14:schemeClr w14:val="tx1"/>
            </w14:solidFill>
          </w14:textFill>
        </w:rPr>
        <w:t>5</w:t>
      </w:r>
      <w:r>
        <w:rPr>
          <w:rFonts w:hint="eastAsia" w:ascii="宋体" w:hAnsi="宋体" w:eastAsia="宋体" w:cs="宋体"/>
          <w:b/>
          <w:bCs/>
          <w:color w:val="000000" w:themeColor="text1"/>
          <w:sz w:val="44"/>
          <w:szCs w:val="44"/>
          <w14:textFill>
            <w14:solidFill>
              <w14:schemeClr w14:val="tx1"/>
            </w14:solidFill>
          </w14:textFill>
        </w:rPr>
        <w:t>年</w:t>
      </w:r>
      <w:r>
        <w:rPr>
          <w:rFonts w:hint="eastAsia" w:ascii="宋体" w:hAnsi="宋体" w:cs="宋体"/>
          <w:b/>
          <w:bCs/>
          <w:color w:val="000000" w:themeColor="text1"/>
          <w:sz w:val="44"/>
          <w:szCs w:val="44"/>
          <w:lang w:val="en-US" w:eastAsia="zh-CN"/>
          <w14:textFill>
            <w14:solidFill>
              <w14:schemeClr w14:val="tx1"/>
            </w14:solidFill>
          </w14:textFill>
        </w:rPr>
        <w:t>12</w:t>
      </w:r>
      <w:r>
        <w:rPr>
          <w:rFonts w:hint="eastAsia" w:ascii="宋体" w:hAnsi="宋体" w:eastAsia="宋体" w:cs="宋体"/>
          <w:b/>
          <w:bCs/>
          <w:color w:val="000000" w:themeColor="text1"/>
          <w:sz w:val="44"/>
          <w:szCs w:val="44"/>
          <w14:textFill>
            <w14:solidFill>
              <w14:schemeClr w14:val="tx1"/>
            </w14:solidFill>
          </w14:textFill>
        </w:rPr>
        <w:t>月</w:t>
      </w:r>
    </w:p>
    <w:p>
      <w:pPr>
        <w:pStyle w:val="72"/>
        <w:tabs>
          <w:tab w:val="right" w:leader="dot" w:pos="9033"/>
        </w:tabs>
        <w:spacing w:after="240" w:afterLines="100" w:line="360" w:lineRule="auto"/>
        <w:jc w:val="center"/>
        <w:rPr>
          <w:rFonts w:hint="eastAsia" w:ascii="宋体" w:hAnsi="宋体" w:eastAsia="宋体" w:cs="宋体"/>
          <w:b/>
          <w:bCs/>
          <w:color w:val="000000" w:themeColor="text1"/>
          <w:sz w:val="40"/>
          <w:szCs w:val="40"/>
          <w14:textFill>
            <w14:solidFill>
              <w14:schemeClr w14:val="tx1"/>
            </w14:solidFill>
          </w14:textFill>
        </w:rPr>
      </w:pPr>
    </w:p>
    <w:p>
      <w:pPr>
        <w:pStyle w:val="72"/>
        <w:tabs>
          <w:tab w:val="right" w:leader="dot" w:pos="9033"/>
        </w:tabs>
        <w:spacing w:after="240" w:afterLines="100" w:line="380" w:lineRule="exact"/>
        <w:ind w:left="0" w:leftChars="0" w:firstLine="0" w:firstLineChars="0"/>
        <w:jc w:val="both"/>
        <w:rPr>
          <w:rFonts w:hint="eastAsia" w:ascii="宋体" w:hAnsi="宋体" w:eastAsia="宋体" w:cs="宋体"/>
          <w:b/>
          <w:color w:val="000000" w:themeColor="text1"/>
          <w:sz w:val="28"/>
          <w:szCs w:val="28"/>
          <w14:textFill>
            <w14:solidFill>
              <w14:schemeClr w14:val="tx1"/>
            </w14:solidFill>
          </w14:textFill>
        </w:rPr>
        <w:sectPr>
          <w:pgSz w:w="11907" w:h="16840"/>
          <w:pgMar w:top="1134" w:right="1191" w:bottom="1134" w:left="1304" w:header="851" w:footer="992" w:gutter="0"/>
          <w:pgNumType w:fmt="numberInDash"/>
          <w:cols w:space="720" w:num="1"/>
          <w:docGrid w:linePitch="380" w:charSpace="-5735"/>
        </w:sectPr>
      </w:pPr>
    </w:p>
    <w:p>
      <w:pPr>
        <w:pStyle w:val="72"/>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目录</w:t>
      </w:r>
    </w:p>
    <w:p>
      <w:pPr>
        <w:pStyle w:val="30"/>
        <w:tabs>
          <w:tab w:val="right" w:leader="dot" w:pos="9412"/>
        </w:tabs>
        <w:rPr>
          <w:rFonts w:hint="eastAsia" w:ascii="宋体" w:hAnsi="宋体" w:eastAsia="宋体" w:cs="宋体"/>
        </w:rPr>
      </w:pPr>
      <w:bookmarkStart w:id="5" w:name="_Toc419974468"/>
      <w:r>
        <w:rPr>
          <w:rFonts w:hint="eastAsia" w:ascii="宋体" w:hAnsi="宋体" w:eastAsia="宋体" w:cs="宋体"/>
          <w:b/>
          <w:color w:val="000000" w:themeColor="text1"/>
          <w:sz w:val="28"/>
          <w:szCs w:val="28"/>
          <w14:textFill>
            <w14:solidFill>
              <w14:schemeClr w14:val="tx1"/>
            </w14:solidFill>
          </w14:textFill>
        </w:rPr>
        <w:fldChar w:fldCharType="begin"/>
      </w:r>
      <w:r>
        <w:rPr>
          <w:rFonts w:hint="eastAsia" w:ascii="宋体" w:hAnsi="宋体" w:eastAsia="宋体" w:cs="宋体"/>
          <w:b/>
          <w:color w:val="000000" w:themeColor="text1"/>
          <w:sz w:val="28"/>
          <w:szCs w:val="28"/>
          <w14:textFill>
            <w14:solidFill>
              <w14:schemeClr w14:val="tx1"/>
            </w14:solidFill>
          </w14:textFill>
        </w:rPr>
        <w:instrText xml:space="preserve"> TOC \o "1-3" \h \z \u </w:instrText>
      </w:r>
      <w:r>
        <w:rPr>
          <w:rFonts w:hint="eastAsia" w:ascii="宋体" w:hAnsi="宋体" w:eastAsia="宋体" w:cs="宋体"/>
          <w:b/>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_Toc11591 </w:instrText>
      </w:r>
      <w:r>
        <w:rPr>
          <w:rFonts w:hint="eastAsia" w:ascii="宋体" w:hAnsi="宋体" w:eastAsia="宋体" w:cs="宋体"/>
          <w:szCs w:val="28"/>
        </w:rPr>
        <w:fldChar w:fldCharType="separate"/>
      </w:r>
      <w:r>
        <w:rPr>
          <w:rFonts w:hint="eastAsia" w:ascii="宋体" w:hAnsi="宋体" w:eastAsia="宋体" w:cs="宋体"/>
          <w:szCs w:val="84"/>
        </w:rPr>
        <w:t>竞争性比选文件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_Toc11591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_Toc24504 </w:instrText>
      </w:r>
      <w:r>
        <w:rPr>
          <w:rFonts w:hint="eastAsia" w:ascii="宋体" w:hAnsi="宋体" w:eastAsia="宋体" w:cs="宋体"/>
          <w:szCs w:val="28"/>
        </w:rPr>
        <w:fldChar w:fldCharType="separate"/>
      </w:r>
      <w:r>
        <w:rPr>
          <w:rFonts w:hint="eastAsia" w:ascii="宋体" w:hAnsi="宋体" w:eastAsia="宋体" w:cs="宋体"/>
          <w:szCs w:val="32"/>
        </w:rPr>
        <w:t>第一章  比选公告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_Toc24504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_Toc19591 </w:instrText>
      </w:r>
      <w:r>
        <w:rPr>
          <w:rFonts w:hint="eastAsia" w:ascii="宋体" w:hAnsi="宋体" w:eastAsia="宋体" w:cs="宋体"/>
          <w:szCs w:val="28"/>
        </w:rPr>
        <w:fldChar w:fldCharType="separate"/>
      </w:r>
      <w:r>
        <w:rPr>
          <w:rFonts w:hint="eastAsia" w:ascii="宋体" w:hAnsi="宋体" w:eastAsia="宋体" w:cs="宋体"/>
          <w:snapToGrid w:val="0"/>
          <w:szCs w:val="21"/>
        </w:rPr>
        <w:t>1. 比选条件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_Toc19591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_Toc5796 </w:instrText>
      </w:r>
      <w:r>
        <w:rPr>
          <w:rFonts w:hint="eastAsia" w:ascii="宋体" w:hAnsi="宋体" w:eastAsia="宋体" w:cs="宋体"/>
          <w:szCs w:val="28"/>
        </w:rPr>
        <w:fldChar w:fldCharType="separate"/>
      </w:r>
      <w:r>
        <w:rPr>
          <w:rFonts w:hint="eastAsia" w:ascii="宋体" w:hAnsi="宋体" w:eastAsia="宋体" w:cs="宋体"/>
          <w:snapToGrid w:val="0"/>
          <w:szCs w:val="21"/>
        </w:rPr>
        <w:t>2. 项目概况与比选范围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_Toc5796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_Toc28644 </w:instrText>
      </w:r>
      <w:r>
        <w:rPr>
          <w:rFonts w:hint="eastAsia" w:ascii="宋体" w:hAnsi="宋体" w:eastAsia="宋体" w:cs="宋体"/>
          <w:szCs w:val="28"/>
        </w:rPr>
        <w:fldChar w:fldCharType="separate"/>
      </w:r>
      <w:r>
        <w:rPr>
          <w:rFonts w:hint="eastAsia" w:ascii="宋体" w:hAnsi="宋体" w:eastAsia="宋体" w:cs="宋体"/>
          <w:snapToGrid w:val="0"/>
          <w:szCs w:val="21"/>
        </w:rPr>
        <w:t>3.资格要求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_Toc28644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_Toc16849 </w:instrText>
      </w:r>
      <w:r>
        <w:rPr>
          <w:rFonts w:hint="eastAsia" w:ascii="宋体" w:hAnsi="宋体" w:eastAsia="宋体" w:cs="宋体"/>
          <w:szCs w:val="28"/>
        </w:rPr>
        <w:fldChar w:fldCharType="separate"/>
      </w:r>
      <w:r>
        <w:rPr>
          <w:rFonts w:hint="eastAsia" w:ascii="宋体" w:hAnsi="宋体" w:eastAsia="宋体" w:cs="宋体"/>
          <w:snapToGrid w:val="0"/>
          <w:szCs w:val="21"/>
        </w:rPr>
        <w:t>4. 比选文件的获取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_Toc16849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_Toc26034 </w:instrText>
      </w:r>
      <w:r>
        <w:rPr>
          <w:rFonts w:hint="eastAsia" w:ascii="宋体" w:hAnsi="宋体" w:eastAsia="宋体" w:cs="宋体"/>
          <w:szCs w:val="28"/>
        </w:rPr>
        <w:fldChar w:fldCharType="separate"/>
      </w:r>
      <w:r>
        <w:rPr>
          <w:rFonts w:hint="eastAsia" w:ascii="宋体" w:hAnsi="宋体" w:eastAsia="宋体" w:cs="宋体"/>
          <w:snapToGrid w:val="0"/>
          <w:szCs w:val="21"/>
        </w:rPr>
        <w:t>5. 报名和递交投标文件时间、地点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_Toc26034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_Toc21764 </w:instrText>
      </w:r>
      <w:r>
        <w:rPr>
          <w:rFonts w:hint="eastAsia" w:ascii="宋体" w:hAnsi="宋体" w:eastAsia="宋体" w:cs="宋体"/>
          <w:szCs w:val="28"/>
        </w:rPr>
        <w:fldChar w:fldCharType="separate"/>
      </w:r>
      <w:r>
        <w:rPr>
          <w:rFonts w:hint="eastAsia" w:ascii="宋体" w:hAnsi="宋体" w:eastAsia="宋体" w:cs="宋体"/>
          <w:snapToGrid w:val="0"/>
          <w:szCs w:val="21"/>
        </w:rPr>
        <w:t>6.发布公告的媒介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_Toc21764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_Toc15969 </w:instrText>
      </w:r>
      <w:r>
        <w:rPr>
          <w:rFonts w:hint="eastAsia" w:ascii="宋体" w:hAnsi="宋体" w:eastAsia="宋体" w:cs="宋体"/>
          <w:szCs w:val="28"/>
        </w:rPr>
        <w:fldChar w:fldCharType="separate"/>
      </w:r>
      <w:r>
        <w:rPr>
          <w:rFonts w:hint="eastAsia" w:ascii="宋体" w:hAnsi="宋体" w:eastAsia="宋体" w:cs="宋体"/>
          <w:snapToGrid w:val="0"/>
          <w:szCs w:val="21"/>
        </w:rPr>
        <w:t>7.联系方式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_Toc15969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_Toc17345 </w:instrText>
      </w:r>
      <w:r>
        <w:rPr>
          <w:rFonts w:hint="eastAsia" w:ascii="宋体" w:hAnsi="宋体" w:eastAsia="宋体" w:cs="宋体"/>
          <w:szCs w:val="28"/>
        </w:rPr>
        <w:fldChar w:fldCharType="separate"/>
      </w:r>
      <w:r>
        <w:rPr>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_Toc17345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_Toc30955 </w:instrText>
      </w:r>
      <w:r>
        <w:rPr>
          <w:rFonts w:hint="eastAsia" w:ascii="宋体" w:hAnsi="宋体" w:eastAsia="宋体" w:cs="宋体"/>
          <w:szCs w:val="28"/>
        </w:rPr>
        <w:fldChar w:fldCharType="separate"/>
      </w:r>
      <w:r>
        <w:rPr>
          <w:rFonts w:hint="eastAsia" w:ascii="宋体" w:hAnsi="宋体" w:eastAsia="宋体" w:cs="宋体"/>
          <w:szCs w:val="30"/>
        </w:rPr>
        <w:t>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_Toc30955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_Toc11384 </w:instrText>
      </w:r>
      <w:r>
        <w:rPr>
          <w:rFonts w:hint="eastAsia" w:ascii="宋体" w:hAnsi="宋体" w:eastAsia="宋体" w:cs="宋体"/>
          <w:szCs w:val="28"/>
        </w:rPr>
        <w:fldChar w:fldCharType="separate"/>
      </w:r>
      <w:r>
        <w:rPr>
          <w:rFonts w:hint="eastAsia" w:ascii="宋体" w:hAnsi="宋体" w:eastAsia="宋体" w:cs="宋体"/>
          <w:snapToGrid w:val="0"/>
          <w:szCs w:val="21"/>
        </w:rPr>
        <w:t>1.  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_Toc11384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_Toc28637 </w:instrText>
      </w:r>
      <w:r>
        <w:rPr>
          <w:rFonts w:hint="eastAsia" w:ascii="宋体" w:hAnsi="宋体" w:eastAsia="宋体" w:cs="宋体"/>
          <w:szCs w:val="28"/>
        </w:rPr>
        <w:fldChar w:fldCharType="separate"/>
      </w:r>
      <w:r>
        <w:rPr>
          <w:rFonts w:hint="eastAsia" w:ascii="宋体" w:hAnsi="宋体" w:eastAsia="宋体" w:cs="宋体"/>
          <w:snapToGrid w:val="0"/>
          <w:szCs w:val="21"/>
        </w:rPr>
        <w:t>1.1  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_Toc28637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_Toc17915 </w:instrText>
      </w:r>
      <w:r>
        <w:rPr>
          <w:rFonts w:hint="eastAsia" w:ascii="宋体" w:hAnsi="宋体" w:eastAsia="宋体" w:cs="宋体"/>
          <w:szCs w:val="28"/>
        </w:rPr>
        <w:fldChar w:fldCharType="separate"/>
      </w:r>
      <w:r>
        <w:rPr>
          <w:rFonts w:hint="eastAsia" w:ascii="宋体" w:hAnsi="宋体" w:eastAsia="宋体" w:cs="宋体"/>
          <w:snapToGrid w:val="0"/>
          <w:szCs w:val="21"/>
        </w:rPr>
        <w:t>1.5  费用承担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_Toc17915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_Toc29549 </w:instrText>
      </w:r>
      <w:r>
        <w:rPr>
          <w:rFonts w:hint="eastAsia" w:ascii="宋体" w:hAnsi="宋体" w:eastAsia="宋体" w:cs="宋体"/>
          <w:szCs w:val="28"/>
        </w:rPr>
        <w:fldChar w:fldCharType="separate"/>
      </w:r>
      <w:r>
        <w:rPr>
          <w:rFonts w:hint="eastAsia" w:ascii="宋体" w:hAnsi="宋体" w:eastAsia="宋体" w:cs="宋体"/>
          <w:snapToGrid w:val="0"/>
          <w:szCs w:val="21"/>
        </w:rPr>
        <w:t>1.6 保密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_Toc29549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_Toc27047 </w:instrText>
      </w:r>
      <w:r>
        <w:rPr>
          <w:rFonts w:hint="eastAsia" w:ascii="宋体" w:hAnsi="宋体" w:eastAsia="宋体" w:cs="宋体"/>
          <w:szCs w:val="28"/>
        </w:rPr>
        <w:fldChar w:fldCharType="separate"/>
      </w:r>
      <w:r>
        <w:rPr>
          <w:rFonts w:hint="eastAsia" w:ascii="宋体" w:hAnsi="宋体" w:eastAsia="宋体" w:cs="宋体"/>
          <w:snapToGrid w:val="0"/>
          <w:szCs w:val="21"/>
        </w:rPr>
        <w:t>1.7 语言文字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_Toc27047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_Toc8569 </w:instrText>
      </w:r>
      <w:r>
        <w:rPr>
          <w:rFonts w:hint="eastAsia" w:ascii="宋体" w:hAnsi="宋体" w:eastAsia="宋体" w:cs="宋体"/>
          <w:szCs w:val="28"/>
        </w:rPr>
        <w:fldChar w:fldCharType="separate"/>
      </w:r>
      <w:r>
        <w:rPr>
          <w:rFonts w:hint="eastAsia" w:ascii="宋体" w:hAnsi="宋体" w:eastAsia="宋体" w:cs="宋体"/>
          <w:snapToGrid w:val="0"/>
          <w:szCs w:val="21"/>
        </w:rPr>
        <w:t>1.8  计量单位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_Toc8569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_Toc10224 </w:instrText>
      </w:r>
      <w:r>
        <w:rPr>
          <w:rFonts w:hint="eastAsia" w:ascii="宋体" w:hAnsi="宋体" w:eastAsia="宋体" w:cs="宋体"/>
          <w:szCs w:val="28"/>
        </w:rPr>
        <w:fldChar w:fldCharType="separate"/>
      </w:r>
      <w:r>
        <w:rPr>
          <w:rFonts w:hint="eastAsia" w:ascii="宋体" w:hAnsi="宋体" w:eastAsia="宋体" w:cs="宋体"/>
          <w:snapToGrid w:val="0"/>
          <w:szCs w:val="21"/>
        </w:rPr>
        <w:t>3.3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_Toc10224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_Toc21105 </w:instrText>
      </w:r>
      <w:r>
        <w:rPr>
          <w:rFonts w:hint="eastAsia" w:ascii="宋体" w:hAnsi="宋体" w:eastAsia="宋体" w:cs="宋体"/>
          <w:szCs w:val="28"/>
        </w:rPr>
        <w:fldChar w:fldCharType="separate"/>
      </w:r>
      <w:r>
        <w:rPr>
          <w:rFonts w:hint="eastAsia" w:ascii="宋体" w:hAnsi="宋体" w:eastAsia="宋体" w:cs="宋体"/>
          <w:snapToGrid w:val="0"/>
          <w:szCs w:val="21"/>
        </w:rPr>
        <w:t>4.  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_Toc21105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_Toc558 </w:instrText>
      </w:r>
      <w:r>
        <w:rPr>
          <w:rFonts w:hint="eastAsia" w:ascii="宋体" w:hAnsi="宋体" w:eastAsia="宋体" w:cs="宋体"/>
          <w:szCs w:val="28"/>
        </w:rPr>
        <w:fldChar w:fldCharType="separate"/>
      </w:r>
      <w:r>
        <w:rPr>
          <w:rFonts w:hint="eastAsia" w:ascii="宋体" w:hAnsi="宋体" w:eastAsia="宋体" w:cs="宋体"/>
          <w:snapToGrid w:val="0"/>
          <w:szCs w:val="21"/>
        </w:rPr>
        <w:t>4.1  投标文件的密封和标记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_Toc558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_Toc27240 </w:instrText>
      </w:r>
      <w:r>
        <w:rPr>
          <w:rFonts w:hint="eastAsia" w:ascii="宋体" w:hAnsi="宋体" w:eastAsia="宋体" w:cs="宋体"/>
          <w:szCs w:val="28"/>
        </w:rPr>
        <w:fldChar w:fldCharType="separate"/>
      </w:r>
      <w:r>
        <w:rPr>
          <w:rFonts w:hint="eastAsia" w:ascii="宋体" w:hAnsi="宋体" w:eastAsia="宋体" w:cs="宋体"/>
          <w:snapToGrid w:val="0"/>
          <w:szCs w:val="21"/>
        </w:rPr>
        <w:t>4.2  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_Toc27240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_Toc31702 </w:instrText>
      </w:r>
      <w:r>
        <w:rPr>
          <w:rFonts w:hint="eastAsia" w:ascii="宋体" w:hAnsi="宋体" w:eastAsia="宋体" w:cs="宋体"/>
          <w:szCs w:val="28"/>
        </w:rPr>
        <w:fldChar w:fldCharType="separate"/>
      </w:r>
      <w:r>
        <w:rPr>
          <w:rFonts w:hint="eastAsia" w:ascii="宋体" w:hAnsi="宋体" w:eastAsia="宋体" w:cs="宋体"/>
          <w:snapToGrid w:val="0"/>
          <w:szCs w:val="21"/>
        </w:rPr>
        <w:t>4.3  投标文件的修改与撤回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_Toc31702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_Toc6121 </w:instrText>
      </w:r>
      <w:r>
        <w:rPr>
          <w:rFonts w:hint="eastAsia" w:ascii="宋体" w:hAnsi="宋体" w:eastAsia="宋体" w:cs="宋体"/>
          <w:szCs w:val="28"/>
        </w:rPr>
        <w:fldChar w:fldCharType="separate"/>
      </w:r>
      <w:r>
        <w:rPr>
          <w:rFonts w:hint="eastAsia" w:ascii="宋体" w:hAnsi="宋体" w:eastAsia="宋体" w:cs="宋体"/>
          <w:snapToGrid w:val="0"/>
          <w:szCs w:val="21"/>
        </w:rPr>
        <w:t>5.  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_Toc6121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_Toc1674 </w:instrText>
      </w:r>
      <w:r>
        <w:rPr>
          <w:rFonts w:hint="eastAsia" w:ascii="宋体" w:hAnsi="宋体" w:eastAsia="宋体" w:cs="宋体"/>
          <w:szCs w:val="28"/>
        </w:rPr>
        <w:fldChar w:fldCharType="separate"/>
      </w:r>
      <w:r>
        <w:rPr>
          <w:rFonts w:hint="eastAsia" w:ascii="宋体" w:hAnsi="宋体" w:eastAsia="宋体" w:cs="宋体"/>
          <w:snapToGrid w:val="0"/>
          <w:szCs w:val="21"/>
        </w:rPr>
        <w:t>5.1  开标时间和地点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_Toc5702 </w:instrText>
      </w:r>
      <w:r>
        <w:rPr>
          <w:rFonts w:hint="eastAsia" w:ascii="宋体" w:hAnsi="宋体" w:eastAsia="宋体" w:cs="宋体"/>
          <w:szCs w:val="28"/>
        </w:rPr>
        <w:fldChar w:fldCharType="separate"/>
      </w:r>
      <w:r>
        <w:rPr>
          <w:rFonts w:hint="eastAsia" w:ascii="宋体" w:hAnsi="宋体" w:eastAsia="宋体" w:cs="宋体"/>
          <w:snapToGrid w:val="0"/>
          <w:szCs w:val="21"/>
        </w:rPr>
        <w:t>6.  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_Toc5702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_Toc10152 </w:instrText>
      </w:r>
      <w:r>
        <w:rPr>
          <w:rFonts w:hint="eastAsia" w:ascii="宋体" w:hAnsi="宋体" w:eastAsia="宋体" w:cs="宋体"/>
          <w:szCs w:val="28"/>
        </w:rPr>
        <w:fldChar w:fldCharType="separate"/>
      </w:r>
      <w:r>
        <w:rPr>
          <w:rFonts w:hint="eastAsia" w:ascii="宋体" w:hAnsi="宋体" w:eastAsia="宋体" w:cs="宋体"/>
          <w:snapToGrid w:val="0"/>
          <w:szCs w:val="21"/>
        </w:rPr>
        <w:t>6.1  评审委员会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_Toc10152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_Toc30577 </w:instrText>
      </w:r>
      <w:r>
        <w:rPr>
          <w:rFonts w:hint="eastAsia" w:ascii="宋体" w:hAnsi="宋体" w:eastAsia="宋体" w:cs="宋体"/>
          <w:szCs w:val="28"/>
        </w:rPr>
        <w:fldChar w:fldCharType="separate"/>
      </w:r>
      <w:r>
        <w:rPr>
          <w:rFonts w:hint="eastAsia" w:ascii="宋体" w:hAnsi="宋体" w:eastAsia="宋体" w:cs="宋体"/>
          <w:snapToGrid w:val="0"/>
          <w:szCs w:val="21"/>
        </w:rPr>
        <w:t>6.2  评审原则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_Toc30577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_Toc27448 </w:instrText>
      </w:r>
      <w:r>
        <w:rPr>
          <w:rFonts w:hint="eastAsia" w:ascii="宋体" w:hAnsi="宋体" w:eastAsia="宋体" w:cs="宋体"/>
          <w:szCs w:val="28"/>
        </w:rPr>
        <w:fldChar w:fldCharType="separate"/>
      </w:r>
      <w:r>
        <w:rPr>
          <w:rFonts w:hint="eastAsia" w:ascii="宋体" w:hAnsi="宋体" w:eastAsia="宋体" w:cs="宋体"/>
          <w:snapToGrid w:val="0"/>
          <w:szCs w:val="21"/>
        </w:rPr>
        <w:t>6.3  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_Toc27448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_Toc22955 </w:instrText>
      </w:r>
      <w:r>
        <w:rPr>
          <w:rFonts w:hint="eastAsia" w:ascii="宋体" w:hAnsi="宋体" w:eastAsia="宋体" w:cs="宋体"/>
          <w:szCs w:val="28"/>
        </w:rPr>
        <w:fldChar w:fldCharType="separate"/>
      </w:r>
      <w:r>
        <w:rPr>
          <w:rFonts w:hint="eastAsia" w:ascii="宋体" w:hAnsi="宋体" w:eastAsia="宋体" w:cs="宋体"/>
          <w:snapToGrid w:val="0"/>
          <w:szCs w:val="21"/>
        </w:rPr>
        <w:t>7.  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_Toc5998 </w:instrText>
      </w:r>
      <w:r>
        <w:rPr>
          <w:rFonts w:hint="eastAsia" w:ascii="宋体" w:hAnsi="宋体" w:eastAsia="宋体" w:cs="宋体"/>
          <w:szCs w:val="28"/>
        </w:rPr>
        <w:fldChar w:fldCharType="separate"/>
      </w:r>
      <w:r>
        <w:rPr>
          <w:rFonts w:hint="eastAsia" w:ascii="宋体" w:hAnsi="宋体" w:eastAsia="宋体" w:cs="宋体"/>
          <w:snapToGrid w:val="0"/>
          <w:szCs w:val="21"/>
        </w:rPr>
        <w:t>7.1  定标方式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_Toc5998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_Toc20355 </w:instrText>
      </w:r>
      <w:r>
        <w:rPr>
          <w:rFonts w:hint="eastAsia" w:ascii="宋体" w:hAnsi="宋体" w:eastAsia="宋体" w:cs="宋体"/>
          <w:szCs w:val="28"/>
        </w:rPr>
        <w:fldChar w:fldCharType="separate"/>
      </w:r>
      <w:r>
        <w:rPr>
          <w:rFonts w:hint="eastAsia" w:ascii="宋体" w:hAnsi="宋体" w:eastAsia="宋体" w:cs="宋体"/>
          <w:snapToGrid w:val="0"/>
          <w:szCs w:val="21"/>
        </w:rPr>
        <w:t>7.2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_Toc27930 </w:instrText>
      </w:r>
      <w:r>
        <w:rPr>
          <w:rFonts w:hint="eastAsia" w:ascii="宋体" w:hAnsi="宋体" w:eastAsia="宋体" w:cs="宋体"/>
          <w:szCs w:val="28"/>
        </w:rPr>
        <w:fldChar w:fldCharType="separate"/>
      </w:r>
      <w:r>
        <w:rPr>
          <w:rFonts w:hint="eastAsia" w:ascii="宋体" w:hAnsi="宋体" w:eastAsia="宋体" w:cs="宋体"/>
          <w:snapToGrid w:val="0"/>
          <w:szCs w:val="21"/>
        </w:rPr>
        <w:t>7.4  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_Toc27930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_Toc13567 </w:instrText>
      </w:r>
      <w:r>
        <w:rPr>
          <w:rFonts w:hint="eastAsia" w:ascii="宋体" w:hAnsi="宋体" w:eastAsia="宋体" w:cs="宋体"/>
          <w:szCs w:val="28"/>
        </w:rPr>
        <w:fldChar w:fldCharType="separate"/>
      </w:r>
      <w:r>
        <w:rPr>
          <w:rFonts w:hint="eastAsia" w:ascii="宋体" w:hAnsi="宋体" w:eastAsia="宋体" w:cs="宋体"/>
          <w:snapToGrid w:val="0"/>
          <w:szCs w:val="21"/>
        </w:rPr>
        <w:t>8. 重新招标和不再招标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_Toc13567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_Toc25790 </w:instrText>
      </w:r>
      <w:r>
        <w:rPr>
          <w:rFonts w:hint="eastAsia" w:ascii="宋体" w:hAnsi="宋体" w:eastAsia="宋体" w:cs="宋体"/>
          <w:szCs w:val="28"/>
        </w:rPr>
        <w:fldChar w:fldCharType="separate"/>
      </w:r>
      <w:r>
        <w:rPr>
          <w:rFonts w:hint="eastAsia" w:ascii="宋体" w:hAnsi="宋体" w:eastAsia="宋体" w:cs="宋体"/>
          <w:snapToGrid w:val="0"/>
          <w:szCs w:val="21"/>
        </w:rPr>
        <w:t>9. 纪律和监督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_Toc25790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_Toc17130 </w:instrText>
      </w:r>
      <w:r>
        <w:rPr>
          <w:rFonts w:hint="eastAsia" w:ascii="宋体" w:hAnsi="宋体" w:eastAsia="宋体" w:cs="宋体"/>
          <w:szCs w:val="28"/>
        </w:rPr>
        <w:fldChar w:fldCharType="separate"/>
      </w:r>
      <w:r>
        <w:rPr>
          <w:rFonts w:hint="eastAsia" w:ascii="宋体" w:hAnsi="宋体" w:eastAsia="宋体" w:cs="宋体"/>
          <w:bCs/>
          <w:szCs w:val="32"/>
        </w:rPr>
        <w:t xml:space="preserve">第三章 </w:t>
      </w:r>
      <w:r>
        <w:rPr>
          <w:rFonts w:hint="eastAsia" w:ascii="宋体" w:hAnsi="宋体" w:eastAsia="宋体" w:cs="宋体"/>
          <w:szCs w:val="32"/>
        </w:rPr>
        <w:t>评标办法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_Toc17130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_Toc5405 </w:instrText>
      </w:r>
      <w:r>
        <w:rPr>
          <w:rFonts w:hint="eastAsia" w:ascii="宋体" w:hAnsi="宋体" w:eastAsia="宋体" w:cs="宋体"/>
          <w:szCs w:val="28"/>
        </w:rPr>
        <w:fldChar w:fldCharType="separate"/>
      </w:r>
      <w:r>
        <w:rPr>
          <w:rFonts w:hint="eastAsia" w:ascii="宋体" w:hAnsi="宋体" w:eastAsia="宋体" w:cs="宋体"/>
          <w:szCs w:val="24"/>
        </w:rPr>
        <w:t>1、评标原则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_Toc5405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_Toc31120 </w:instrText>
      </w:r>
      <w:r>
        <w:rPr>
          <w:rFonts w:hint="eastAsia" w:ascii="宋体" w:hAnsi="宋体" w:eastAsia="宋体" w:cs="宋体"/>
          <w:szCs w:val="28"/>
        </w:rPr>
        <w:fldChar w:fldCharType="separate"/>
      </w:r>
      <w:r>
        <w:rPr>
          <w:rFonts w:hint="eastAsia" w:ascii="宋体" w:hAnsi="宋体" w:eastAsia="宋体" w:cs="宋体"/>
          <w:szCs w:val="24"/>
        </w:rPr>
        <w:t>2、初步评审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_Toc31120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_Toc6019 </w:instrText>
      </w:r>
      <w:r>
        <w:rPr>
          <w:rFonts w:hint="eastAsia" w:ascii="宋体" w:hAnsi="宋体" w:eastAsia="宋体" w:cs="宋体"/>
          <w:szCs w:val="28"/>
        </w:rPr>
        <w:fldChar w:fldCharType="separate"/>
      </w:r>
      <w:r>
        <w:rPr>
          <w:rFonts w:hint="eastAsia" w:ascii="宋体" w:hAnsi="宋体" w:eastAsia="宋体" w:cs="宋体"/>
          <w:szCs w:val="24"/>
        </w:rPr>
        <w:t>3、详细评审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_Toc6019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_Toc1657 </w:instrText>
      </w:r>
      <w:r>
        <w:rPr>
          <w:rFonts w:hint="eastAsia" w:ascii="宋体" w:hAnsi="宋体" w:eastAsia="宋体" w:cs="宋体"/>
          <w:szCs w:val="28"/>
        </w:rPr>
        <w:fldChar w:fldCharType="separate"/>
      </w:r>
      <w:r>
        <w:rPr>
          <w:rFonts w:hint="eastAsia" w:ascii="宋体" w:hAnsi="宋体" w:eastAsia="宋体" w:cs="宋体"/>
        </w:rPr>
        <w:t xml:space="preserve">4、 </w:t>
      </w:r>
      <w:r>
        <w:rPr>
          <w:rFonts w:hint="eastAsia" w:ascii="宋体" w:hAnsi="宋体" w:eastAsia="宋体" w:cs="宋体"/>
          <w:szCs w:val="24"/>
        </w:rPr>
        <w:t>评审评分标准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_Toc7961 </w:instrText>
      </w:r>
      <w:r>
        <w:rPr>
          <w:rFonts w:hint="eastAsia" w:ascii="宋体" w:hAnsi="宋体" w:eastAsia="宋体" w:cs="宋体"/>
          <w:szCs w:val="28"/>
        </w:rPr>
        <w:fldChar w:fldCharType="separate"/>
      </w:r>
      <w:r>
        <w:rPr>
          <w:rFonts w:hint="eastAsia" w:ascii="宋体" w:hAnsi="宋体" w:eastAsia="宋体" w:cs="宋体"/>
          <w:kern w:val="0"/>
          <w:lang w:val="en-US" w:eastAsia="zh-CN" w:bidi="ar-SA"/>
        </w:rPr>
        <w:t>5、</w:t>
      </w:r>
      <w:r>
        <w:rPr>
          <w:rFonts w:hint="eastAsia" w:ascii="宋体" w:hAnsi="宋体" w:eastAsia="宋体" w:cs="宋体"/>
          <w:szCs w:val="24"/>
        </w:rPr>
        <w:t>评标报告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_Toc7961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_Toc9441 </w:instrText>
      </w:r>
      <w:r>
        <w:rPr>
          <w:rFonts w:hint="eastAsia" w:ascii="宋体" w:hAnsi="宋体" w:eastAsia="宋体" w:cs="宋体"/>
          <w:szCs w:val="28"/>
        </w:rPr>
        <w:fldChar w:fldCharType="separate"/>
      </w:r>
      <w:r>
        <w:rPr>
          <w:rFonts w:hint="eastAsia" w:ascii="宋体" w:hAnsi="宋体" w:eastAsia="宋体" w:cs="宋体"/>
          <w:szCs w:val="24"/>
        </w:rPr>
        <w:t>6、评标保密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_Toc9441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_Toc14076 </w:instrText>
      </w:r>
      <w:r>
        <w:rPr>
          <w:rFonts w:hint="eastAsia" w:ascii="宋体" w:hAnsi="宋体" w:eastAsia="宋体" w:cs="宋体"/>
          <w:szCs w:val="28"/>
        </w:rPr>
        <w:fldChar w:fldCharType="separate"/>
      </w:r>
      <w:r>
        <w:rPr>
          <w:rFonts w:hint="eastAsia" w:ascii="宋体" w:hAnsi="宋体" w:eastAsia="宋体" w:cs="宋体"/>
          <w:kern w:val="2"/>
          <w:szCs w:val="44"/>
          <w:lang w:val="en-US" w:eastAsia="zh-CN" w:bidi="ar-SA"/>
        </w:rPr>
        <w:t xml:space="preserve">第四章 </w:t>
      </w:r>
      <w:r>
        <w:rPr>
          <w:rFonts w:hint="eastAsia" w:ascii="宋体" w:hAnsi="宋体" w:eastAsia="宋体" w:cs="宋体"/>
          <w:kern w:val="2"/>
          <w:szCs w:val="44"/>
        </w:rPr>
        <w:t>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_Toc14076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_Toc18425 </w:instrText>
      </w:r>
      <w:r>
        <w:rPr>
          <w:rFonts w:hint="eastAsia" w:ascii="宋体" w:hAnsi="宋体" w:eastAsia="宋体" w:cs="宋体"/>
          <w:szCs w:val="28"/>
        </w:rPr>
        <w:fldChar w:fldCharType="separate"/>
      </w:r>
      <w:r>
        <w:rPr>
          <w:rFonts w:hint="eastAsia" w:ascii="宋体" w:hAnsi="宋体" w:eastAsia="宋体" w:cs="宋体"/>
          <w:kern w:val="2"/>
          <w:szCs w:val="28"/>
        </w:rPr>
        <w:t>第一部分 合同协议书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_Toc18425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_Toc1606 </w:instrText>
      </w:r>
      <w:r>
        <w:rPr>
          <w:rFonts w:hint="eastAsia" w:ascii="宋体" w:hAnsi="宋体" w:eastAsia="宋体" w:cs="宋体"/>
          <w:szCs w:val="28"/>
        </w:rPr>
        <w:fldChar w:fldCharType="separate"/>
      </w:r>
      <w:r>
        <w:rPr>
          <w:rFonts w:hint="eastAsia" w:ascii="宋体" w:hAnsi="宋体" w:eastAsia="宋体" w:cs="宋体"/>
          <w:szCs w:val="44"/>
        </w:rPr>
        <w:t>第三部分 专用合同条款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_Toc1606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_Toc2569 </w:instrText>
      </w:r>
      <w:r>
        <w:rPr>
          <w:rFonts w:hint="eastAsia" w:ascii="宋体" w:hAnsi="宋体" w:eastAsia="宋体" w:cs="宋体"/>
          <w:szCs w:val="28"/>
        </w:rPr>
        <w:fldChar w:fldCharType="separate"/>
      </w:r>
      <w:r>
        <w:rPr>
          <w:rFonts w:hint="eastAsia" w:ascii="宋体" w:hAnsi="宋体" w:eastAsia="宋体" w:cs="宋体"/>
        </w:rPr>
        <w:t xml:space="preserve">第四章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_Toc2569 \h </w:instrText>
      </w:r>
      <w:r>
        <w:rPr>
          <w:rFonts w:hint="eastAsia" w:ascii="宋体" w:hAnsi="宋体" w:eastAsia="宋体" w:cs="宋体"/>
        </w:rPr>
        <w:fldChar w:fldCharType="separate"/>
      </w:r>
      <w:r>
        <w:rPr>
          <w:rFonts w:hint="eastAsia" w:ascii="宋体" w:hAnsi="宋体" w:eastAsia="宋体" w:cs="宋体"/>
        </w:rPr>
        <w:t>101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_Toc19311 </w:instrText>
      </w:r>
      <w:r>
        <w:rPr>
          <w:rFonts w:hint="eastAsia" w:ascii="宋体" w:hAnsi="宋体" w:eastAsia="宋体" w:cs="宋体"/>
          <w:szCs w:val="28"/>
        </w:rPr>
        <w:fldChar w:fldCharType="separate"/>
      </w:r>
      <w:r>
        <w:rPr>
          <w:rFonts w:hint="eastAsia" w:ascii="宋体" w:hAnsi="宋体" w:eastAsia="宋体" w:cs="宋体"/>
          <w:bCs/>
          <w:szCs w:val="36"/>
        </w:rPr>
        <w:t>第五章 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_Toc19311 \h </w:instrText>
      </w:r>
      <w:r>
        <w:rPr>
          <w:rFonts w:hint="eastAsia" w:ascii="宋体" w:hAnsi="宋体" w:eastAsia="宋体" w:cs="宋体"/>
        </w:rPr>
        <w:fldChar w:fldCharType="separate"/>
      </w:r>
      <w:r>
        <w:rPr>
          <w:rFonts w:hint="eastAsia" w:ascii="宋体" w:hAnsi="宋体" w:eastAsia="宋体" w:cs="宋体"/>
        </w:rPr>
        <w:t>102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_Toc18203 </w:instrText>
      </w:r>
      <w:r>
        <w:rPr>
          <w:rFonts w:hint="eastAsia" w:ascii="宋体" w:hAnsi="宋体" w:eastAsia="宋体" w:cs="宋体"/>
          <w:szCs w:val="28"/>
        </w:rPr>
        <w:fldChar w:fldCharType="separate"/>
      </w:r>
      <w:r>
        <w:rPr>
          <w:rFonts w:hint="eastAsia" w:ascii="宋体" w:hAnsi="宋体" w:eastAsia="宋体" w:cs="宋体"/>
          <w:bCs/>
          <w:szCs w:val="36"/>
        </w:rPr>
        <w:t>第六章 商务需求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_Toc18203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_Toc25261 </w:instrText>
      </w:r>
      <w:r>
        <w:rPr>
          <w:rFonts w:hint="eastAsia" w:ascii="宋体" w:hAnsi="宋体" w:eastAsia="宋体" w:cs="宋体"/>
          <w:szCs w:val="28"/>
        </w:rPr>
        <w:fldChar w:fldCharType="separate"/>
      </w:r>
      <w:r>
        <w:rPr>
          <w:rFonts w:hint="eastAsia" w:ascii="宋体" w:hAnsi="宋体" w:eastAsia="宋体" w:cs="宋体"/>
          <w:szCs w:val="24"/>
        </w:rPr>
        <w:t>一、验收方式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_Toc25261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_Toc14755 </w:instrText>
      </w:r>
      <w:r>
        <w:rPr>
          <w:rFonts w:hint="eastAsia" w:ascii="宋体" w:hAnsi="宋体" w:eastAsia="宋体" w:cs="宋体"/>
          <w:szCs w:val="28"/>
        </w:rPr>
        <w:fldChar w:fldCharType="separate"/>
      </w:r>
      <w:r>
        <w:rPr>
          <w:rFonts w:hint="eastAsia" w:ascii="宋体" w:hAnsi="宋体" w:eastAsia="宋体" w:cs="宋体"/>
          <w:szCs w:val="24"/>
        </w:rPr>
        <w:t>二、质量保证及售后服务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_Toc14755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_Toc30574 </w:instrText>
      </w:r>
      <w:r>
        <w:rPr>
          <w:rFonts w:hint="eastAsia" w:ascii="宋体" w:hAnsi="宋体" w:eastAsia="宋体" w:cs="宋体"/>
          <w:szCs w:val="28"/>
        </w:rPr>
        <w:fldChar w:fldCharType="separate"/>
      </w:r>
      <w:r>
        <w:rPr>
          <w:rFonts w:hint="eastAsia" w:ascii="宋体" w:hAnsi="宋体" w:eastAsia="宋体" w:cs="宋体"/>
          <w:szCs w:val="24"/>
        </w:rPr>
        <w:t>三、报价要求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_Toc30574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_Toc30458 </w:instrText>
      </w:r>
      <w:r>
        <w:rPr>
          <w:rFonts w:hint="eastAsia" w:ascii="宋体" w:hAnsi="宋体" w:eastAsia="宋体" w:cs="宋体"/>
          <w:szCs w:val="28"/>
        </w:rPr>
        <w:fldChar w:fldCharType="separate"/>
      </w:r>
      <w:r>
        <w:rPr>
          <w:rFonts w:hint="eastAsia" w:ascii="宋体" w:hAnsi="宋体" w:eastAsia="宋体" w:cs="宋体"/>
          <w:szCs w:val="24"/>
        </w:rPr>
        <w:t>四、付款方式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_Toc30458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_Toc2751 </w:instrText>
      </w:r>
      <w:r>
        <w:rPr>
          <w:rFonts w:hint="eastAsia" w:ascii="宋体" w:hAnsi="宋体" w:eastAsia="宋体" w:cs="宋体"/>
          <w:szCs w:val="28"/>
        </w:rPr>
        <w:fldChar w:fldCharType="separate"/>
      </w:r>
      <w:r>
        <w:rPr>
          <w:rFonts w:hint="eastAsia" w:ascii="宋体" w:hAnsi="宋体" w:eastAsia="宋体" w:cs="宋体"/>
          <w:szCs w:val="24"/>
        </w:rPr>
        <w:t>五、知识产权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_Toc8361 </w:instrText>
      </w:r>
      <w:r>
        <w:rPr>
          <w:rFonts w:hint="eastAsia" w:ascii="宋体" w:hAnsi="宋体" w:eastAsia="宋体" w:cs="宋体"/>
          <w:szCs w:val="28"/>
        </w:rPr>
        <w:fldChar w:fldCharType="separate"/>
      </w:r>
      <w:r>
        <w:rPr>
          <w:rFonts w:hint="eastAsia" w:ascii="宋体" w:hAnsi="宋体" w:eastAsia="宋体" w:cs="宋体"/>
          <w:szCs w:val="24"/>
        </w:rPr>
        <w:t>六、其他内容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_Toc8361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_Toc4589 </w:instrText>
      </w:r>
      <w:r>
        <w:rPr>
          <w:rFonts w:hint="eastAsia" w:ascii="宋体" w:hAnsi="宋体" w:eastAsia="宋体" w:cs="宋体"/>
          <w:szCs w:val="28"/>
        </w:rPr>
        <w:fldChar w:fldCharType="separate"/>
      </w:r>
      <w:r>
        <w:rPr>
          <w:rFonts w:hint="eastAsia" w:ascii="宋体" w:hAnsi="宋体" w:eastAsia="宋体" w:cs="宋体"/>
          <w:bCs/>
          <w:szCs w:val="52"/>
        </w:rPr>
        <w:t xml:space="preserve">第七章 </w:t>
      </w:r>
      <w:r>
        <w:rPr>
          <w:rFonts w:hint="eastAsia" w:ascii="宋体" w:hAnsi="宋体" w:eastAsia="宋体" w:cs="宋体"/>
          <w:szCs w:val="52"/>
        </w:rPr>
        <w:t>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_Toc4589 \h </w:instrText>
      </w:r>
      <w:r>
        <w:rPr>
          <w:rFonts w:hint="eastAsia" w:ascii="宋体" w:hAnsi="宋体" w:eastAsia="宋体" w:cs="宋体"/>
        </w:rPr>
        <w:fldChar w:fldCharType="separate"/>
      </w:r>
      <w:r>
        <w:rPr>
          <w:rFonts w:hint="eastAsia" w:ascii="宋体" w:hAnsi="宋体" w:eastAsia="宋体" w:cs="宋体"/>
        </w:rPr>
        <w:t>104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30"/>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_Toc28938 </w:instrText>
      </w:r>
      <w:r>
        <w:rPr>
          <w:rFonts w:hint="eastAsia" w:ascii="宋体" w:hAnsi="宋体" w:eastAsia="宋体" w:cs="宋体"/>
          <w:szCs w:val="28"/>
        </w:rPr>
        <w:fldChar w:fldCharType="separate"/>
      </w:r>
      <w:r>
        <w:rPr>
          <w:rFonts w:hint="eastAsia" w:ascii="宋体" w:hAnsi="宋体" w:eastAsia="宋体" w:cs="宋体"/>
          <w:szCs w:val="84"/>
        </w:rPr>
        <w:t>竞争性比选响应文件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_Toc28938 \h </w:instrText>
      </w:r>
      <w:r>
        <w:rPr>
          <w:rFonts w:hint="eastAsia" w:ascii="宋体" w:hAnsi="宋体" w:eastAsia="宋体" w:cs="宋体"/>
        </w:rPr>
        <w:fldChar w:fldCharType="separate"/>
      </w:r>
      <w:r>
        <w:rPr>
          <w:rFonts w:hint="eastAsia" w:ascii="宋体" w:hAnsi="宋体" w:eastAsia="宋体" w:cs="宋体"/>
        </w:rPr>
        <w:t>105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21"/>
        <w:tabs>
          <w:tab w:val="right" w:leader="dot" w:pos="9412"/>
        </w:tabs>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_Toc5928 </w:instrText>
      </w:r>
      <w:r>
        <w:rPr>
          <w:rFonts w:hint="eastAsia" w:ascii="宋体" w:hAnsi="宋体" w:eastAsia="宋体" w:cs="宋体"/>
          <w:szCs w:val="28"/>
        </w:rPr>
        <w:fldChar w:fldCharType="separate"/>
      </w:r>
      <w:r>
        <w:rPr>
          <w:rFonts w:hint="eastAsia" w:ascii="宋体" w:hAnsi="宋体" w:eastAsia="宋体" w:cs="宋体"/>
        </w:rPr>
        <w:t>（二</w:t>
      </w:r>
      <w:r>
        <w:rPr>
          <w:rFonts w:hint="eastAsia" w:ascii="宋体" w:hAnsi="宋体" w:eastAsia="宋体" w:cs="宋体"/>
          <w:kern w:val="2"/>
          <w:szCs w:val="21"/>
        </w:rPr>
        <w:t>）承诺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_Toc5928 \h </w:instrText>
      </w:r>
      <w:r>
        <w:rPr>
          <w:rFonts w:hint="eastAsia" w:ascii="宋体" w:hAnsi="宋体" w:eastAsia="宋体" w:cs="宋体"/>
        </w:rPr>
        <w:fldChar w:fldCharType="separate"/>
      </w:r>
      <w:r>
        <w:rPr>
          <w:rFonts w:hint="eastAsia" w:ascii="宋体" w:hAnsi="宋体" w:eastAsia="宋体" w:cs="宋体"/>
        </w:rPr>
        <w:t>112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pPr>
        <w:pStyle w:val="72"/>
        <w:tabs>
          <w:tab w:val="right" w:leader="dot" w:pos="9033"/>
        </w:tabs>
        <w:spacing w:line="3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end"/>
      </w:r>
    </w:p>
    <w:p>
      <w:pPr>
        <w:pStyle w:val="2"/>
        <w:spacing w:before="0" w:after="240" w:afterLines="100" w:line="360" w:lineRule="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val="0"/>
          <w:color w:val="000000" w:themeColor="text1"/>
          <w:kern w:val="2"/>
          <w:sz w:val="28"/>
          <w:szCs w:val="28"/>
          <w14:textFill>
            <w14:solidFill>
              <w14:schemeClr w14:val="tx1"/>
            </w14:solidFill>
          </w14:textFill>
        </w:rPr>
        <w:br w:type="page"/>
      </w:r>
      <w:bookmarkStart w:id="6" w:name="_Toc430184662"/>
      <w:bookmarkStart w:id="7" w:name="_Toc428518711"/>
      <w:bookmarkStart w:id="8" w:name="_Toc428172715"/>
      <w:bookmarkStart w:id="9" w:name="_Toc419977252"/>
      <w:bookmarkStart w:id="10" w:name="_Toc430185946"/>
      <w:bookmarkStart w:id="11" w:name="_Toc86934185"/>
      <w:r>
        <w:rPr>
          <w:rFonts w:hint="eastAsia" w:ascii="宋体" w:hAnsi="宋体" w:eastAsia="宋体" w:cs="宋体"/>
          <w:b w:val="0"/>
          <w:color w:val="000000" w:themeColor="text1"/>
          <w:kern w:val="2"/>
          <w:sz w:val="28"/>
          <w:szCs w:val="28"/>
          <w14:textFill>
            <w14:solidFill>
              <w14:schemeClr w14:val="tx1"/>
            </w14:solidFill>
          </w14:textFill>
        </w:rPr>
        <w:t xml:space="preserve">                     </w:t>
      </w:r>
      <w:bookmarkStart w:id="12" w:name="_Toc24504"/>
      <w:r>
        <w:rPr>
          <w:rStyle w:val="57"/>
          <w:rFonts w:hint="eastAsia" w:ascii="宋体" w:hAnsi="宋体" w:eastAsia="宋体" w:cs="宋体"/>
          <w:color w:val="000000" w:themeColor="text1"/>
          <w:sz w:val="52"/>
          <w:szCs w:val="52"/>
          <w14:textFill>
            <w14:solidFill>
              <w14:schemeClr w14:val="tx1"/>
            </w14:solidFill>
          </w14:textFill>
        </w:rPr>
        <w:t xml:space="preserve">第一章  </w:t>
      </w:r>
      <w:bookmarkEnd w:id="0"/>
      <w:bookmarkEnd w:id="1"/>
      <w:bookmarkEnd w:id="2"/>
      <w:bookmarkEnd w:id="5"/>
      <w:bookmarkEnd w:id="6"/>
      <w:bookmarkEnd w:id="7"/>
      <w:bookmarkEnd w:id="8"/>
      <w:bookmarkEnd w:id="9"/>
      <w:bookmarkEnd w:id="10"/>
      <w:r>
        <w:rPr>
          <w:rStyle w:val="57"/>
          <w:rFonts w:hint="eastAsia" w:ascii="宋体" w:hAnsi="宋体" w:eastAsia="宋体" w:cs="宋体"/>
          <w:color w:val="000000" w:themeColor="text1"/>
          <w:sz w:val="52"/>
          <w:szCs w:val="52"/>
          <w14:textFill>
            <w14:solidFill>
              <w14:schemeClr w14:val="tx1"/>
            </w14:solidFill>
          </w14:textFill>
        </w:rPr>
        <w:t>比选公告</w:t>
      </w:r>
      <w:bookmarkEnd w:id="11"/>
      <w:bookmarkEnd w:id="12"/>
    </w:p>
    <w:p>
      <w:pPr>
        <w:autoSpaceDE w:val="0"/>
        <w:autoSpaceDN w:val="0"/>
        <w:adjustRightInd w:val="0"/>
        <w:snapToGrid w:val="0"/>
        <w:spacing w:line="360" w:lineRule="auto"/>
        <w:jc w:val="center"/>
        <w:rPr>
          <w:rFonts w:hint="eastAsia" w:ascii="宋体" w:hAnsi="宋体" w:eastAsia="宋体" w:cs="宋体"/>
          <w:b/>
          <w:snapToGrid w:val="0"/>
          <w:color w:val="000000" w:themeColor="text1"/>
          <w:w w:val="99"/>
          <w:kern w:val="0"/>
          <w:sz w:val="28"/>
          <w:szCs w:val="28"/>
          <w:lang w:val="en-US" w:eastAsia="zh-CN"/>
          <w14:textFill>
            <w14:solidFill>
              <w14:schemeClr w14:val="tx1"/>
            </w14:solidFill>
          </w14:textFill>
        </w:rPr>
      </w:pPr>
      <w:bookmarkStart w:id="13" w:name="_Toc430184670"/>
      <w:bookmarkStart w:id="14" w:name="_Toc370384623"/>
      <w:bookmarkStart w:id="15" w:name="_Toc419974234"/>
      <w:bookmarkStart w:id="16" w:name="_Toc430185954"/>
      <w:bookmarkStart w:id="17" w:name="_Toc428172723"/>
      <w:bookmarkStart w:id="18" w:name="_Toc419974476"/>
      <w:bookmarkStart w:id="19" w:name="_Toc428518719"/>
      <w:bookmarkStart w:id="20" w:name="_Toc338941629"/>
      <w:bookmarkStart w:id="21" w:name="_Toc419977260"/>
      <w:r>
        <w:rPr>
          <w:rFonts w:hint="eastAsia" w:ascii="宋体" w:hAnsi="宋体" w:cs="宋体"/>
          <w:b/>
          <w:snapToGrid w:val="0"/>
          <w:color w:val="000000" w:themeColor="text1"/>
          <w:w w:val="99"/>
          <w:kern w:val="0"/>
          <w:sz w:val="28"/>
          <w:szCs w:val="28"/>
          <w:lang w:val="en-US" w:eastAsia="zh-CN"/>
          <w14:textFill>
            <w14:solidFill>
              <w14:schemeClr w14:val="tx1"/>
            </w14:solidFill>
          </w14:textFill>
        </w:rPr>
        <w:t>龙滩子烟火集市建设项目</w:t>
      </w:r>
    </w:p>
    <w:p>
      <w:pPr>
        <w:autoSpaceDE w:val="0"/>
        <w:autoSpaceDN w:val="0"/>
        <w:adjustRightInd w:val="0"/>
        <w:snapToGrid w:val="0"/>
        <w:spacing w:line="360" w:lineRule="auto"/>
        <w:jc w:val="center"/>
        <w:rPr>
          <w:rFonts w:hint="eastAsia" w:ascii="宋体" w:hAnsi="宋体" w:eastAsia="宋体" w:cs="宋体"/>
          <w:b/>
          <w:snapToGrid w:val="0"/>
          <w:color w:val="000000" w:themeColor="text1"/>
          <w:w w:val="99"/>
          <w:kern w:val="0"/>
          <w:sz w:val="28"/>
          <w:szCs w:val="28"/>
          <w14:textFill>
            <w14:solidFill>
              <w14:schemeClr w14:val="tx1"/>
            </w14:solidFill>
          </w14:textFill>
        </w:rPr>
      </w:pPr>
      <w:r>
        <w:rPr>
          <w:rFonts w:hint="eastAsia" w:ascii="宋体" w:hAnsi="宋体" w:eastAsia="宋体" w:cs="宋体"/>
          <w:b/>
          <w:snapToGrid w:val="0"/>
          <w:color w:val="000000" w:themeColor="text1"/>
          <w:w w:val="99"/>
          <w:kern w:val="0"/>
          <w:sz w:val="28"/>
          <w:szCs w:val="28"/>
          <w14:textFill>
            <w14:solidFill>
              <w14:schemeClr w14:val="tx1"/>
            </w14:solidFill>
          </w14:textFill>
        </w:rPr>
        <w:t>竞争性比选公告</w:t>
      </w:r>
    </w:p>
    <w:p>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22" w:name="_Toc86934186"/>
      <w:bookmarkStart w:id="23" w:name="_Toc19591"/>
      <w:bookmarkStart w:id="24" w:name="_Toc28965251"/>
      <w:r>
        <w:rPr>
          <w:rFonts w:hint="eastAsia" w:ascii="宋体" w:hAnsi="宋体" w:eastAsia="宋体" w:cs="宋体"/>
          <w:snapToGrid w:val="0"/>
          <w:color w:val="000000" w:themeColor="text1"/>
          <w:sz w:val="21"/>
          <w:szCs w:val="21"/>
          <w14:textFill>
            <w14:solidFill>
              <w14:schemeClr w14:val="tx1"/>
            </w14:solidFill>
          </w14:textFill>
        </w:rPr>
        <w:t>1. 比选条件</w:t>
      </w:r>
      <w:bookmarkEnd w:id="22"/>
      <w:bookmarkEnd w:id="23"/>
      <w:bookmarkEnd w:id="24"/>
    </w:p>
    <w:p>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25" w:name="_Toc440472360"/>
      <w:bookmarkStart w:id="26" w:name="_Toc375038774"/>
      <w:r>
        <w:rPr>
          <w:rFonts w:hint="eastAsia" w:ascii="宋体" w:hAnsi="宋体" w:eastAsia="宋体" w:cs="宋体"/>
          <w:color w:val="000000" w:themeColor="text1"/>
          <w14:textFill>
            <w14:solidFill>
              <w14:schemeClr w14:val="tx1"/>
            </w14:solidFill>
          </w14:textFill>
        </w:rPr>
        <w:t>本招标项目</w:t>
      </w:r>
      <w:r>
        <w:rPr>
          <w:rFonts w:hint="eastAsia" w:ascii="宋体" w:hAnsi="宋体" w:cs="宋体"/>
          <w:color w:val="000000" w:themeColor="text1"/>
          <w:u w:val="single"/>
          <w:lang w:val="en-US" w:eastAsia="zh-CN"/>
          <w14:textFill>
            <w14:solidFill>
              <w14:schemeClr w14:val="tx1"/>
            </w14:solidFill>
          </w14:textFill>
        </w:rPr>
        <w:t>龙滩子烟火集市建设项目</w:t>
      </w:r>
      <w:r>
        <w:rPr>
          <w:rFonts w:hint="eastAsia" w:ascii="宋体" w:hAnsi="宋体" w:eastAsia="宋体" w:cs="宋体"/>
          <w:color w:val="000000" w:themeColor="text1"/>
          <w14:textFill>
            <w14:solidFill>
              <w14:schemeClr w14:val="tx1"/>
            </w14:solidFill>
          </w14:textFill>
        </w:rPr>
        <w:t>已由</w:t>
      </w:r>
      <w:r>
        <w:rPr>
          <w:rFonts w:hint="eastAsia" w:ascii="宋体" w:hAnsi="宋体" w:cs="宋体"/>
          <w:color w:val="000000" w:themeColor="text1"/>
          <w:u w:val="single"/>
          <w:lang w:val="en-US" w:eastAsia="zh-CN"/>
          <w14:textFill>
            <w14:solidFill>
              <w14:schemeClr w14:val="tx1"/>
            </w14:solidFill>
          </w14:textFill>
        </w:rPr>
        <w:t>重庆市大足区人民政府龙滩子街道办事处</w:t>
      </w:r>
      <w:r>
        <w:rPr>
          <w:rFonts w:hint="eastAsia" w:ascii="宋体" w:hAnsi="宋体" w:eastAsia="宋体" w:cs="宋体"/>
          <w:color w:val="000000" w:themeColor="text1"/>
          <w14:textFill>
            <w14:solidFill>
              <w14:schemeClr w14:val="tx1"/>
            </w14:solidFill>
          </w14:textFill>
        </w:rPr>
        <w:t>批准实施</w:t>
      </w:r>
      <w:r>
        <w:rPr>
          <w:rFonts w:hint="eastAsia" w:ascii="宋体" w:hAnsi="宋体" w:cs="宋体"/>
          <w:color w:val="000000" w:themeColor="text1"/>
          <w:lang w:val="en-US" w:eastAsia="zh-CN"/>
          <w14:textFill>
            <w14:solidFill>
              <w14:schemeClr w14:val="tx1"/>
            </w14:solidFill>
          </w14:textFill>
        </w:rPr>
        <w:t>建设</w:t>
      </w:r>
      <w:r>
        <w:rPr>
          <w:rFonts w:hint="eastAsia" w:ascii="宋体" w:hAnsi="宋体" w:eastAsia="宋体" w:cs="宋体"/>
          <w:color w:val="000000" w:themeColor="text1"/>
          <w14:textFill>
            <w14:solidFill>
              <w14:schemeClr w14:val="tx1"/>
            </w14:solidFill>
          </w14:textFill>
        </w:rPr>
        <w:t>，招标人为</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重庆市大足区</w:t>
      </w:r>
      <w:r>
        <w:rPr>
          <w:rFonts w:hint="eastAsia" w:ascii="宋体" w:hAnsi="宋体" w:cs="宋体"/>
          <w:color w:val="000000" w:themeColor="text1"/>
          <w:u w:val="single"/>
          <w:lang w:val="en-US" w:eastAsia="zh-CN"/>
          <w14:textFill>
            <w14:solidFill>
              <w14:schemeClr w14:val="tx1"/>
            </w14:solidFill>
          </w14:textFill>
        </w:rPr>
        <w:t xml:space="preserve">人民政府龙滩子街道办事处 </w:t>
      </w:r>
      <w:r>
        <w:rPr>
          <w:rFonts w:hint="eastAsia" w:ascii="宋体" w:hAnsi="宋体" w:eastAsia="宋体" w:cs="宋体"/>
          <w:color w:val="000000" w:themeColor="text1"/>
          <w14:textFill>
            <w14:solidFill>
              <w14:schemeClr w14:val="tx1"/>
            </w14:solidFill>
          </w14:textFill>
        </w:rPr>
        <w:t>，资金来源为</w:t>
      </w:r>
      <w:r>
        <w:rPr>
          <w:rFonts w:hint="eastAsia" w:ascii="宋体" w:hAnsi="宋体" w:cs="宋体"/>
          <w:color w:val="000000" w:themeColor="text1"/>
          <w:u w:val="single"/>
          <w:lang w:val="en-US" w:eastAsia="zh-CN"/>
          <w14:textFill>
            <w14:solidFill>
              <w14:schemeClr w14:val="tx1"/>
            </w14:solidFill>
          </w14:textFill>
        </w:rPr>
        <w:t xml:space="preserve"> 财政性资金 </w:t>
      </w:r>
      <w:r>
        <w:rPr>
          <w:rFonts w:hint="eastAsia" w:ascii="宋体" w:hAnsi="宋体" w:eastAsia="宋体" w:cs="宋体"/>
          <w:color w:val="000000" w:themeColor="text1"/>
          <w14:textFill>
            <w14:solidFill>
              <w14:schemeClr w14:val="tx1"/>
            </w14:solidFill>
          </w14:textFill>
        </w:rPr>
        <w:t>。项目已具备招标条件，现招标人决定对该项目进行</w:t>
      </w:r>
      <w:r>
        <w:rPr>
          <w:rFonts w:hint="eastAsia" w:ascii="宋体" w:hAnsi="宋体" w:cs="宋体"/>
          <w:color w:val="000000" w:themeColor="text1"/>
          <w:lang w:eastAsia="zh-CN"/>
          <w14:textFill>
            <w14:solidFill>
              <w14:schemeClr w14:val="tx1"/>
            </w14:solidFill>
          </w14:textFill>
        </w:rPr>
        <w:t>竞争性</w:t>
      </w:r>
      <w:r>
        <w:rPr>
          <w:rFonts w:hint="eastAsia" w:ascii="宋体" w:hAnsi="宋体" w:eastAsia="宋体" w:cs="宋体"/>
          <w:color w:val="000000" w:themeColor="text1"/>
          <w14:textFill>
            <w14:solidFill>
              <w14:schemeClr w14:val="tx1"/>
            </w14:solidFill>
          </w14:textFill>
        </w:rPr>
        <w:t>比选，特邀请有兴趣的潜在投标人参与投标。</w:t>
      </w:r>
      <w:bookmarkStart w:id="27" w:name="_Toc28965252"/>
    </w:p>
    <w:p>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28" w:name="_Toc5796"/>
      <w:bookmarkStart w:id="29" w:name="_Toc86934187"/>
      <w:r>
        <w:rPr>
          <w:rFonts w:hint="eastAsia" w:ascii="宋体" w:hAnsi="宋体" w:eastAsia="宋体" w:cs="宋体"/>
          <w:snapToGrid w:val="0"/>
          <w:color w:val="000000" w:themeColor="text1"/>
          <w:sz w:val="21"/>
          <w:szCs w:val="21"/>
          <w14:textFill>
            <w14:solidFill>
              <w14:schemeClr w14:val="tx1"/>
            </w14:solidFill>
          </w14:textFill>
        </w:rPr>
        <w:t>2. 项目概况与比选范围</w:t>
      </w:r>
      <w:bookmarkEnd w:id="25"/>
      <w:bookmarkEnd w:id="26"/>
      <w:bookmarkEnd w:id="27"/>
      <w:bookmarkEnd w:id="28"/>
      <w:bookmarkEnd w:id="29"/>
      <w:bookmarkStart w:id="30" w:name="_Toc441046572"/>
      <w:bookmarkStart w:id="31" w:name="_Toc28965253"/>
      <w:bookmarkStart w:id="32" w:name="_Toc375038775"/>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（1）实施地点：重庆市大足区</w:t>
      </w:r>
      <w:r>
        <w:rPr>
          <w:rFonts w:hint="eastAsia" w:ascii="宋体" w:hAnsi="宋体" w:cs="宋体"/>
          <w:color w:val="000000" w:themeColor="text1"/>
          <w:lang w:val="en-US" w:eastAsia="zh-CN"/>
          <w14:textFill>
            <w14:solidFill>
              <w14:schemeClr w14:val="tx1"/>
            </w14:solidFill>
          </w14:textFill>
        </w:rPr>
        <w:t>人民政府龙滩子街道。</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（2）项目名称：</w:t>
      </w:r>
      <w:r>
        <w:rPr>
          <w:rFonts w:hint="eastAsia" w:ascii="宋体" w:hAnsi="宋体" w:cs="宋体"/>
          <w:color w:val="000000" w:themeColor="text1"/>
          <w:u w:val="none"/>
          <w:lang w:val="en-US" w:eastAsia="zh-CN"/>
          <w14:textFill>
            <w14:solidFill>
              <w14:schemeClr w14:val="tx1"/>
            </w14:solidFill>
          </w14:textFill>
        </w:rPr>
        <w:t>龙滩子烟火集市建设项目</w:t>
      </w:r>
      <w:r>
        <w:rPr>
          <w:rFonts w:hint="eastAsia" w:ascii="宋体" w:hAnsi="宋体" w:eastAsia="宋体" w:cs="宋体"/>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（3）改造内容：</w:t>
      </w:r>
      <w:r>
        <w:rPr>
          <w:rFonts w:hint="eastAsia" w:ascii="宋体" w:hAnsi="宋体" w:eastAsia="宋体" w:cs="宋体"/>
          <w:color w:val="000000" w:themeColor="text1"/>
          <w:szCs w:val="21"/>
          <w14:textFill>
            <w14:solidFill>
              <w14:schemeClr w14:val="tx1"/>
            </w14:solidFill>
          </w14:textFill>
        </w:rPr>
        <w:t>本工程施工图示范围内的相关内容（具体详见附件设计图），以及发包人提供的工程量清单、设计方案明细表、答疑资料、澄清资料、其他补遗资料等相关内容。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（4）工程规模：主要项目内容详见</w:t>
      </w:r>
      <w:r>
        <w:rPr>
          <w:rFonts w:hint="eastAsia" w:ascii="宋体" w:hAnsi="宋体" w:cs="宋体"/>
          <w:color w:val="000000" w:themeColor="text1"/>
          <w:lang w:val="en-US" w:eastAsia="zh-CN"/>
          <w14:textFill>
            <w14:solidFill>
              <w14:schemeClr w14:val="tx1"/>
            </w14:solidFill>
          </w14:textFill>
        </w:rPr>
        <w:t>招标人提供的</w:t>
      </w:r>
      <w:r>
        <w:rPr>
          <w:rFonts w:hint="eastAsia" w:ascii="宋体" w:hAnsi="宋体" w:eastAsia="宋体" w:cs="宋体"/>
          <w:color w:val="000000" w:themeColor="text1"/>
          <w14:textFill>
            <w14:solidFill>
              <w14:schemeClr w14:val="tx1"/>
            </w14:solidFill>
          </w14:textFill>
        </w:rPr>
        <w:t>相关资料</w:t>
      </w:r>
      <w:r>
        <w:rPr>
          <w:rFonts w:hint="eastAsia" w:ascii="宋体" w:hAnsi="宋体" w:cs="宋体"/>
          <w:color w:val="000000" w:themeColor="text1"/>
          <w:lang w:val="en-US" w:eastAsia="zh-CN"/>
          <w14:textFill>
            <w14:solidFill>
              <w14:schemeClr w14:val="tx1"/>
            </w14:solidFill>
          </w14:textFill>
        </w:rPr>
        <w:t>为准</w:t>
      </w:r>
      <w:r>
        <w:rPr>
          <w:rFonts w:hint="eastAsia" w:ascii="宋体" w:hAnsi="宋体" w:eastAsia="宋体" w:cs="宋体"/>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yellow"/>
        </w:rPr>
      </w:pPr>
      <w:r>
        <w:rPr>
          <w:rFonts w:hint="eastAsia" w:ascii="宋体" w:hAnsi="宋体" w:eastAsia="宋体" w:cs="宋体"/>
          <w:color w:val="auto"/>
        </w:rPr>
        <w:t>（5）</w:t>
      </w:r>
      <w:r>
        <w:rPr>
          <w:rFonts w:hint="eastAsia" w:ascii="宋体" w:hAnsi="宋体" w:eastAsia="宋体" w:cs="宋体"/>
          <w:color w:val="auto"/>
          <w:highlight w:val="none"/>
        </w:rPr>
        <w:t>工期：</w:t>
      </w:r>
      <w:r>
        <w:rPr>
          <w:rFonts w:hint="eastAsia" w:ascii="宋体" w:hAnsi="宋体" w:cs="宋体"/>
          <w:color w:val="auto"/>
          <w:highlight w:val="none"/>
          <w:lang w:val="en-US" w:eastAsia="zh-CN"/>
        </w:rPr>
        <w:t>暂定</w:t>
      </w:r>
      <w:r>
        <w:rPr>
          <w:rFonts w:hint="eastAsia" w:ascii="宋体" w:hAnsi="宋体" w:eastAsia="宋体" w:cs="宋体"/>
          <w:color w:val="auto"/>
          <w:highlight w:val="none"/>
        </w:rPr>
        <w:t>。</w:t>
      </w:r>
    </w:p>
    <w:bookmarkEnd w:id="30"/>
    <w:bookmarkEnd w:id="31"/>
    <w:bookmarkEnd w:id="32"/>
    <w:p>
      <w:pPr>
        <w:pStyle w:val="381"/>
        <w:pageBreakBefore w:val="0"/>
        <w:kinsoku/>
        <w:overflowPunct/>
        <w:autoSpaceDE/>
        <w:autoSpaceDN/>
        <w:bidi w:val="0"/>
        <w:spacing w:before="0" w:beforeLines="0" w:line="348" w:lineRule="auto"/>
        <w:ind w:right="0" w:firstLine="0" w:firstLineChars="0"/>
        <w:textAlignment w:val="auto"/>
        <w:rPr>
          <w:rFonts w:hint="eastAsia" w:ascii="宋体" w:hAnsi="宋体" w:eastAsia="宋体" w:cs="宋体"/>
          <w:b/>
          <w:snapToGrid w:val="0"/>
          <w:color w:val="000000" w:themeColor="text1"/>
          <w:w w:val="100"/>
          <w:kern w:val="0"/>
          <w:sz w:val="21"/>
          <w:szCs w:val="21"/>
          <w:lang w:val="en-US" w:eastAsia="zh-CN" w:bidi="ar-SA"/>
          <w14:textFill>
            <w14:solidFill>
              <w14:schemeClr w14:val="tx1"/>
            </w14:solidFill>
          </w14:textFill>
        </w:rPr>
      </w:pPr>
      <w:bookmarkStart w:id="33" w:name="_Toc29349"/>
      <w:bookmarkStart w:id="34" w:name="_Toc730"/>
      <w:bookmarkStart w:id="35" w:name="_Toc517263826"/>
      <w:bookmarkStart w:id="36" w:name="_Toc16849"/>
      <w:bookmarkStart w:id="37" w:name="_Toc86934189"/>
      <w:r>
        <w:rPr>
          <w:rFonts w:hint="eastAsia" w:ascii="宋体" w:hAnsi="宋体" w:eastAsia="宋体" w:cs="宋体"/>
          <w:b/>
          <w:snapToGrid w:val="0"/>
          <w:color w:val="000000" w:themeColor="text1"/>
          <w:w w:val="100"/>
          <w:kern w:val="0"/>
          <w:sz w:val="21"/>
          <w:szCs w:val="21"/>
          <w:lang w:val="en-US" w:eastAsia="zh-CN" w:bidi="ar-SA"/>
          <w14:textFill>
            <w14:solidFill>
              <w14:schemeClr w14:val="tx1"/>
            </w14:solidFill>
          </w14:textFill>
        </w:rPr>
        <w:t>3.投标人资格要求</w:t>
      </w:r>
      <w:bookmarkEnd w:id="33"/>
      <w:bookmarkEnd w:id="34"/>
      <w:bookmarkEnd w:id="35"/>
    </w:p>
    <w:p>
      <w:pPr>
        <w:pStyle w:val="38"/>
        <w:pageBreakBefore w:val="0"/>
        <w:kinsoku/>
        <w:overflowPunct/>
        <w:autoSpaceDE/>
        <w:autoSpaceDN/>
        <w:bidi w:val="0"/>
        <w:spacing w:before="0" w:beforeAutospacing="0" w:after="0" w:afterAutospacing="0" w:line="348" w:lineRule="auto"/>
        <w:ind w:right="0" w:firstLine="420" w:firstLineChars="200"/>
        <w:jc w:val="both"/>
        <w:textAlignment w:val="auto"/>
        <w:rPr>
          <w:rFonts w:hint="eastAsia" w:ascii="宋体" w:hAnsi="宋体" w:eastAsia="宋体" w:cs="宋体"/>
          <w:color w:val="000000" w:themeColor="text1"/>
          <w:kern w:val="2"/>
          <w:sz w:val="21"/>
          <w:lang w:val="en-US" w:eastAsia="zh-CN" w:bidi="ar-SA"/>
          <w14:textFill>
            <w14:solidFill>
              <w14:schemeClr w14:val="tx1"/>
            </w14:solidFill>
          </w14:textFill>
        </w:rPr>
      </w:pPr>
      <w:r>
        <w:rPr>
          <w:rFonts w:hint="eastAsia" w:ascii="宋体" w:hAnsi="宋体" w:eastAsia="宋体" w:cs="宋体"/>
          <w:color w:val="000000" w:themeColor="text1"/>
          <w:kern w:val="2"/>
          <w:sz w:val="21"/>
          <w:lang w:val="en-US" w:eastAsia="zh-CN" w:bidi="ar-SA"/>
          <w14:textFill>
            <w14:solidFill>
              <w14:schemeClr w14:val="tx1"/>
            </w14:solidFill>
          </w14:textFill>
        </w:rPr>
        <w:t>3.1本次比选要求投标人必须具备有效的营业执照。</w:t>
      </w:r>
    </w:p>
    <w:p>
      <w:pPr>
        <w:pStyle w:val="382"/>
        <w:pageBreakBefore w:val="0"/>
        <w:kinsoku/>
        <w:overflowPunct/>
        <w:autoSpaceDE/>
        <w:autoSpaceDN/>
        <w:bidi w:val="0"/>
        <w:spacing w:line="348" w:lineRule="auto"/>
        <w:ind w:right="0" w:firstLine="420" w:firstLineChars="200"/>
        <w:textAlignment w:val="auto"/>
        <w:rPr>
          <w:rFonts w:hint="eastAsia" w:ascii="宋体" w:hAnsi="宋体" w:eastAsia="宋体" w:cs="宋体"/>
          <w:color w:val="000000" w:themeColor="text1"/>
          <w:kern w:val="2"/>
          <w:sz w:val="21"/>
          <w:lang w:val="en-US" w:eastAsia="zh-CN" w:bidi="ar-SA"/>
          <w14:textFill>
            <w14:solidFill>
              <w14:schemeClr w14:val="tx1"/>
            </w14:solidFill>
          </w14:textFill>
        </w:rPr>
      </w:pPr>
      <w:r>
        <w:rPr>
          <w:rFonts w:hint="eastAsia" w:ascii="宋体" w:hAnsi="宋体" w:eastAsia="宋体" w:cs="宋体"/>
          <w:color w:val="000000" w:themeColor="text1"/>
          <w:kern w:val="2"/>
          <w:sz w:val="21"/>
          <w:lang w:val="en-US" w:eastAsia="zh-CN" w:bidi="ar-SA"/>
          <w14:textFill>
            <w14:solidFill>
              <w14:schemeClr w14:val="tx1"/>
            </w14:solidFill>
          </w14:textFill>
        </w:rPr>
        <w:t>3.2 本次比选不接受联合体投标。</w:t>
      </w:r>
    </w:p>
    <w:p>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4. 比选文件的获取</w:t>
      </w:r>
      <w:bookmarkEnd w:id="36"/>
      <w:bookmarkEnd w:id="37"/>
    </w:p>
    <w:p>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凡有意参加投标者，从比选公告发布之日起至投标截止之时前，投标人可登录行采家（https://www.gec123.com/）直接下载获取比选文件（包括工程需求、答疑、补遗及通知）等开标前的有关资料，不管投标人是否下载，均视为已知晓比选文件的全部内容和有关事宜。</w:t>
      </w:r>
    </w:p>
    <w:p>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（2）在公告期间，各投标单位应随时关注行采家（https://www.gec123.com/）网上发布的比选文件及相关修改、补遗等内容。</w:t>
      </w:r>
    </w:p>
    <w:p>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38" w:name="_Toc441046573"/>
      <w:bookmarkStart w:id="39" w:name="_Toc375038776"/>
      <w:bookmarkStart w:id="40" w:name="_Toc27136646"/>
      <w:bookmarkStart w:id="41" w:name="_Toc26034"/>
      <w:bookmarkStart w:id="42" w:name="_Toc86934190"/>
      <w:r>
        <w:rPr>
          <w:rFonts w:hint="eastAsia" w:ascii="宋体" w:hAnsi="宋体" w:eastAsia="宋体" w:cs="宋体"/>
          <w:snapToGrid w:val="0"/>
          <w:color w:val="000000" w:themeColor="text1"/>
          <w:sz w:val="21"/>
          <w:szCs w:val="21"/>
          <w14:textFill>
            <w14:solidFill>
              <w14:schemeClr w14:val="tx1"/>
            </w14:solidFill>
          </w14:textFill>
        </w:rPr>
        <w:t xml:space="preserve">5. </w:t>
      </w:r>
      <w:bookmarkEnd w:id="38"/>
      <w:bookmarkEnd w:id="39"/>
      <w:bookmarkEnd w:id="40"/>
      <w:bookmarkStart w:id="43" w:name="_Toc440472363"/>
      <w:bookmarkStart w:id="44" w:name="_Toc375038777"/>
      <w:r>
        <w:rPr>
          <w:rFonts w:hint="eastAsia" w:ascii="宋体" w:hAnsi="宋体" w:eastAsia="宋体" w:cs="宋体"/>
          <w:snapToGrid w:val="0"/>
          <w:color w:val="000000" w:themeColor="text1"/>
          <w:sz w:val="21"/>
          <w:szCs w:val="21"/>
          <w14:textFill>
            <w14:solidFill>
              <w14:schemeClr w14:val="tx1"/>
            </w14:solidFill>
          </w14:textFill>
        </w:rPr>
        <w:t>报名和递交投标文件时间、地点</w:t>
      </w:r>
      <w:bookmarkEnd w:id="41"/>
      <w:bookmarkEnd w:id="42"/>
    </w:p>
    <w:p>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（1）报名和</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发售期：202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日至202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日17：00（工作时间）。</w:t>
      </w:r>
    </w:p>
    <w:p>
      <w:pPr>
        <w:widowControl/>
        <w:wordWrap w:val="0"/>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售价：人民币</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00元</w:t>
      </w:r>
      <w:r>
        <w:rPr>
          <w:rFonts w:hint="eastAsia" w:ascii="宋体" w:hAnsi="宋体" w:eastAsia="宋体" w:cs="宋体"/>
          <w:color w:val="000000" w:themeColor="text1"/>
          <w:highlight w:val="none"/>
          <w14:textFill>
            <w14:solidFill>
              <w14:schemeClr w14:val="tx1"/>
            </w14:solidFill>
          </w14:textFill>
        </w:rPr>
        <w:t>/份（售后不退）。</w:t>
      </w:r>
    </w:p>
    <w:p>
      <w:pPr>
        <w:spacing w:line="372"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（3）报名及</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购买方式：在报名和</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发售期内，到（重庆市大足区棠香街道龙棠大道222号2-29），登记递交了《</w:t>
      </w:r>
      <w:r>
        <w:rPr>
          <w:rFonts w:hint="eastAsia" w:ascii="宋体" w:hAnsi="宋体" w:cs="宋体"/>
          <w:color w:val="000000" w:themeColor="text1"/>
          <w:highlight w:val="none"/>
          <w:lang w:eastAsia="zh-CN"/>
          <w14:textFill>
            <w14:solidFill>
              <w14:schemeClr w14:val="tx1"/>
            </w14:solidFill>
          </w14:textFill>
        </w:rPr>
        <w:t>优序建设集团有限公司比选文件</w:t>
      </w:r>
      <w:r>
        <w:rPr>
          <w:rFonts w:hint="eastAsia" w:ascii="宋体" w:hAnsi="宋体" w:eastAsia="宋体" w:cs="宋体"/>
          <w:color w:val="000000" w:themeColor="text1"/>
          <w:highlight w:val="none"/>
          <w14:textFill>
            <w14:solidFill>
              <w14:schemeClr w14:val="tx1"/>
            </w14:solidFill>
          </w14:textFill>
        </w:rPr>
        <w:t>发售登记表》（格式详见附件）并购买</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的供应商，其报名才被接收。</w:t>
      </w:r>
    </w:p>
    <w:p>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线上报价：公告发布之日起即可报价，报价截止时间为： 2025年</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 1</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：00（报价时需上传签字盖章完整的PDF格式的电子响应文件，电子文档内容应与纸质文件正本一致，除报</w:t>
      </w:r>
      <w:r>
        <w:rPr>
          <w:rFonts w:hint="eastAsia" w:ascii="宋体" w:hAnsi="宋体" w:eastAsia="宋体" w:cs="宋体"/>
          <w:color w:val="000000" w:themeColor="text1"/>
          <w14:textFill>
            <w14:solidFill>
              <w14:schemeClr w14:val="tx1"/>
            </w14:solidFill>
          </w14:textFill>
        </w:rPr>
        <w:t>价以外的不一致以纸质文件正本为准，未在规定时间内报价并上传响应文件的供应商将视为无效投标）</w:t>
      </w:r>
    </w:p>
    <w:p>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）递交投标文件开始时间：202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00分</w:t>
      </w:r>
      <w:r>
        <w:rPr>
          <w:rFonts w:hint="eastAsia" w:ascii="宋体" w:hAnsi="宋体" w:eastAsia="宋体" w:cs="宋体"/>
          <w:color w:val="000000" w:themeColor="text1"/>
          <w14:textFill>
            <w14:solidFill>
              <w14:schemeClr w14:val="tx1"/>
            </w14:solidFill>
          </w14:textFill>
        </w:rPr>
        <w:t>（北京时间）</w:t>
      </w:r>
    </w:p>
    <w:p>
      <w:pPr>
        <w:widowControl/>
        <w:wordWrap w:val="0"/>
        <w:spacing w:line="360" w:lineRule="auto"/>
        <w:ind w:firstLine="1050" w:firstLine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递交投标文件截止时间：202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（北京时间），逾期不予受理。</w:t>
      </w:r>
    </w:p>
    <w:p>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）开标时间：202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w:t>
      </w:r>
    </w:p>
    <w:p>
      <w:pPr>
        <w:widowControl/>
        <w:wordWrap w:val="0"/>
        <w:spacing w:line="360" w:lineRule="auto"/>
        <w:ind w:firstLine="48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）投标和开标地点：</w:t>
      </w:r>
      <w:r>
        <w:rPr>
          <w:rFonts w:hint="eastAsia" w:ascii="宋体" w:hAnsi="宋体" w:eastAsia="宋体" w:cs="宋体"/>
          <w:color w:val="000000" w:themeColor="text1"/>
          <w:lang w:eastAsia="zh-CN"/>
          <w14:textFill>
            <w14:solidFill>
              <w14:schemeClr w14:val="tx1"/>
            </w14:solidFill>
          </w14:textFill>
        </w:rPr>
        <w:t>重庆市大足区</w:t>
      </w:r>
      <w:r>
        <w:rPr>
          <w:rFonts w:hint="eastAsia" w:ascii="宋体" w:hAnsi="宋体" w:eastAsia="宋体" w:cs="宋体"/>
          <w:color w:val="000000" w:themeColor="text1"/>
          <w:lang w:val="en-US" w:eastAsia="zh-CN"/>
          <w14:textFill>
            <w14:solidFill>
              <w14:schemeClr w14:val="tx1"/>
            </w14:solidFill>
          </w14:textFill>
        </w:rPr>
        <w:t>人民政府龙滩子街道办事处</w:t>
      </w:r>
      <w:r>
        <w:rPr>
          <w:rFonts w:hint="eastAsia" w:ascii="宋体" w:hAnsi="宋体" w:eastAsia="宋体" w:cs="宋体"/>
          <w:color w:val="000000" w:themeColor="text1"/>
          <w:lang w:eastAsia="zh-CN"/>
          <w14:textFill>
            <w14:solidFill>
              <w14:schemeClr w14:val="tx1"/>
            </w14:solidFill>
          </w14:textFill>
        </w:rPr>
        <w:t>社办公室</w:t>
      </w:r>
      <w:r>
        <w:rPr>
          <w:rFonts w:hint="eastAsia" w:ascii="宋体" w:hAnsi="宋体" w:eastAsia="宋体" w:cs="宋体"/>
          <w:color w:val="000000" w:themeColor="text1"/>
          <w:lang w:val="en-US" w:eastAsia="zh-CN"/>
          <w14:textFill>
            <w14:solidFill>
              <w14:schemeClr w14:val="tx1"/>
            </w14:solidFill>
          </w14:textFill>
        </w:rPr>
        <w:t>3楼会议室</w:t>
      </w:r>
    </w:p>
    <w:p>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）逾期送达的、未送达指定地点的或者不按照招标文件要求密封的投标文件，招标人将予以拒收。</w:t>
      </w:r>
    </w:p>
    <w:p>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45" w:name="_Toc86934191"/>
      <w:bookmarkStart w:id="46" w:name="_Toc21764"/>
      <w:r>
        <w:rPr>
          <w:rFonts w:hint="eastAsia" w:ascii="宋体" w:hAnsi="宋体" w:eastAsia="宋体" w:cs="宋体"/>
          <w:snapToGrid w:val="0"/>
          <w:color w:val="000000" w:themeColor="text1"/>
          <w:sz w:val="21"/>
          <w:szCs w:val="21"/>
          <w14:textFill>
            <w14:solidFill>
              <w14:schemeClr w14:val="tx1"/>
            </w14:solidFill>
          </w14:textFill>
        </w:rPr>
        <w:t>6.发布公告的媒介</w:t>
      </w:r>
      <w:bookmarkEnd w:id="45"/>
      <w:bookmarkEnd w:id="46"/>
    </w:p>
    <w:bookmarkEnd w:id="43"/>
    <w:bookmarkEnd w:id="44"/>
    <w:p>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47" w:name="_Toc375038779"/>
      <w:bookmarkStart w:id="48" w:name="_Toc440472365"/>
      <w:r>
        <w:rPr>
          <w:rFonts w:hint="eastAsia" w:ascii="宋体" w:hAnsi="宋体" w:eastAsia="宋体" w:cs="宋体"/>
          <w:color w:val="000000" w:themeColor="text1"/>
          <w14:textFill>
            <w14:solidFill>
              <w14:schemeClr w14:val="tx1"/>
            </w14:solidFill>
          </w14:textFill>
        </w:rPr>
        <w:t>本招标公告在行采家（https://www.gec123.com/）上发布。</w:t>
      </w:r>
    </w:p>
    <w:bookmarkEnd w:id="47"/>
    <w:bookmarkEnd w:id="48"/>
    <w:p>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49" w:name="_Toc86934192"/>
      <w:bookmarkStart w:id="50" w:name="_Toc27136649"/>
      <w:bookmarkStart w:id="51" w:name="_Toc15969"/>
      <w:r>
        <w:rPr>
          <w:rFonts w:hint="eastAsia" w:ascii="宋体" w:hAnsi="宋体" w:eastAsia="宋体" w:cs="宋体"/>
          <w:snapToGrid w:val="0"/>
          <w:color w:val="000000" w:themeColor="text1"/>
          <w:sz w:val="21"/>
          <w:szCs w:val="21"/>
          <w14:textFill>
            <w14:solidFill>
              <w14:schemeClr w14:val="tx1"/>
            </w14:solidFill>
          </w14:textFill>
        </w:rPr>
        <w:t>7.联系方式</w:t>
      </w:r>
      <w:bookmarkEnd w:id="49"/>
      <w:bookmarkEnd w:id="50"/>
      <w:bookmarkEnd w:id="51"/>
    </w:p>
    <w:p>
      <w:pPr>
        <w:wordWrap w:val="0"/>
        <w:spacing w:line="360" w:lineRule="auto"/>
        <w:ind w:firstLine="48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 xml:space="preserve">招 标 </w:t>
      </w:r>
      <w:r>
        <w:rPr>
          <w:rFonts w:hint="eastAsia" w:ascii="宋体" w:hAnsi="宋体" w:eastAsia="宋体" w:cs="宋体"/>
          <w:color w:val="000000" w:themeColor="text1"/>
          <w14:textFill>
            <w14:solidFill>
              <w14:schemeClr w14:val="tx1"/>
            </w14:solidFill>
          </w14:textFill>
        </w:rPr>
        <w:t>人：</w:t>
      </w:r>
      <w:r>
        <w:rPr>
          <w:rFonts w:hint="eastAsia" w:ascii="宋体" w:hAnsi="宋体" w:cs="宋体"/>
          <w:color w:val="000000" w:themeColor="text1"/>
          <w:lang w:eastAsia="zh-CN"/>
          <w14:textFill>
            <w14:solidFill>
              <w14:schemeClr w14:val="tx1"/>
            </w14:solidFill>
          </w14:textFill>
        </w:rPr>
        <w:t>重庆市大足区人民政府</w:t>
      </w:r>
      <w:r>
        <w:rPr>
          <w:rFonts w:hint="eastAsia" w:ascii="宋体" w:hAnsi="宋体" w:cs="宋体"/>
          <w:color w:val="000000" w:themeColor="text1"/>
          <w:lang w:val="en-US" w:eastAsia="zh-CN"/>
          <w14:textFill>
            <w14:solidFill>
              <w14:schemeClr w14:val="tx1"/>
            </w14:solidFill>
          </w14:textFill>
        </w:rPr>
        <w:t>龙滩子街道办事处</w:t>
      </w:r>
    </w:p>
    <w:p>
      <w:pPr>
        <w:wordWrap w:val="0"/>
        <w:spacing w:line="360" w:lineRule="auto"/>
        <w:ind w:firstLine="48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系</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人：</w:t>
      </w:r>
      <w:r>
        <w:rPr>
          <w:rFonts w:hint="eastAsia" w:ascii="宋体" w:hAnsi="宋体" w:cs="宋体"/>
          <w:color w:val="000000" w:themeColor="text1"/>
          <w:lang w:val="en-US" w:eastAsia="zh-CN"/>
          <w14:textFill>
            <w14:solidFill>
              <w14:schemeClr w14:val="tx1"/>
            </w14:solidFill>
          </w14:textFill>
        </w:rPr>
        <w:t>叶老师</w:t>
      </w:r>
    </w:p>
    <w:p>
      <w:pPr>
        <w:wordWrap w:val="0"/>
        <w:spacing w:line="360" w:lineRule="auto"/>
        <w:ind w:firstLine="48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电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话：</w:t>
      </w:r>
      <w:r>
        <w:rPr>
          <w:rFonts w:hint="eastAsia" w:ascii="宋体" w:hAnsi="宋体" w:cs="宋体"/>
          <w:color w:val="000000" w:themeColor="text1"/>
          <w:lang w:val="en-US" w:eastAsia="zh-CN"/>
          <w14:textFill>
            <w14:solidFill>
              <w14:schemeClr w14:val="tx1"/>
            </w14:solidFill>
          </w14:textFill>
        </w:rPr>
        <w:t>023-43393625</w:t>
      </w:r>
    </w:p>
    <w:p>
      <w:pPr>
        <w:wordWrap w:val="0"/>
        <w:spacing w:line="360" w:lineRule="auto"/>
        <w:ind w:firstLine="48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地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址：</w:t>
      </w:r>
      <w:r>
        <w:rPr>
          <w:rFonts w:hint="eastAsia" w:ascii="宋体" w:hAnsi="宋体" w:cs="宋体"/>
          <w:color w:val="000000" w:themeColor="text1"/>
          <w:lang w:val="en-US" w:eastAsia="zh-CN"/>
          <w14:textFill>
            <w14:solidFill>
              <w14:schemeClr w14:val="tx1"/>
            </w14:solidFill>
          </w14:textFill>
        </w:rPr>
        <w:t>重庆市大足区双桥经开区巴岳大道8号</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420" w:firstLineChars="200"/>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代理机构：</w:t>
      </w:r>
      <w:r>
        <w:rPr>
          <w:rFonts w:hint="eastAsia" w:ascii="宋体" w:hAnsi="宋体" w:cs="宋体"/>
          <w:color w:val="000000" w:themeColor="text1"/>
          <w:lang w:eastAsia="zh-CN"/>
          <w14:textFill>
            <w14:solidFill>
              <w14:schemeClr w14:val="tx1"/>
            </w14:solidFill>
          </w14:textFill>
        </w:rPr>
        <w:t>优序建设集团有限公司</w:t>
      </w:r>
    </w:p>
    <w:p>
      <w:pPr>
        <w:spacing w:line="360" w:lineRule="auto"/>
        <w:ind w:firstLine="420" w:firstLineChars="200"/>
        <w:rPr>
          <w:rFonts w:hint="eastAsia" w:ascii="宋体" w:hAnsi="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 系 人</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 xml:space="preserve"> </w:t>
      </w:r>
    </w:p>
    <w:p>
      <w:pPr>
        <w:spacing w:line="360" w:lineRule="auto"/>
        <w:ind w:firstLine="420" w:firstLineChars="20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    话：</w:t>
      </w:r>
      <w:r>
        <w:rPr>
          <w:rFonts w:hint="eastAsia" w:ascii="宋体" w:hAnsi="宋体" w:cs="宋体"/>
          <w:color w:val="000000" w:themeColor="text1"/>
          <w:lang w:val="en-US" w:eastAsia="zh-CN"/>
          <w14:textFill>
            <w14:solidFill>
              <w14:schemeClr w14:val="tx1"/>
            </w14:solidFill>
          </w14:textFill>
        </w:rPr>
        <w:t xml:space="preserve"> </w:t>
      </w:r>
    </w:p>
    <w:p>
      <w:pPr>
        <w:spacing w:line="360" w:lineRule="auto"/>
        <w:ind w:firstLine="420" w:firstLineChars="200"/>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w:t>
      </w:r>
      <w:r>
        <w:rPr>
          <w:rFonts w:hint="eastAsia" w:ascii="宋体" w:hAnsi="宋体" w:cs="宋体"/>
          <w:color w:val="000000" w:themeColor="text1"/>
          <w:highlight w:val="none"/>
          <w:lang w:val="en-US" w:eastAsia="zh-CN"/>
          <w14:textFill>
            <w14:solidFill>
              <w14:schemeClr w14:val="tx1"/>
            </w14:solidFill>
          </w14:textFill>
        </w:rPr>
        <w:t xml:space="preserve"> </w:t>
      </w: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pStyle w:val="28"/>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spacing w:line="380" w:lineRule="exact"/>
        <w:rPr>
          <w:rFonts w:hint="eastAsia" w:ascii="宋体" w:hAnsi="宋体" w:eastAsia="宋体" w:cs="宋体"/>
          <w:b/>
          <w:bCs/>
          <w:color w:val="000000" w:themeColor="text1"/>
          <w:sz w:val="32"/>
          <w:szCs w:val="32"/>
          <w14:textFill>
            <w14:solidFill>
              <w14:schemeClr w14:val="tx1"/>
            </w14:solidFill>
          </w14:textFill>
        </w:rPr>
      </w:pPr>
    </w:p>
    <w:p>
      <w:pPr>
        <w:pStyle w:val="16"/>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32"/>
          <w:szCs w:val="32"/>
          <w14:textFill>
            <w14:solidFill>
              <w14:schemeClr w14:val="tx1"/>
            </w14:solidFill>
          </w14:textFill>
        </w:rPr>
      </w:pPr>
    </w:p>
    <w:p>
      <w:pPr>
        <w:pStyle w:val="16"/>
        <w:rPr>
          <w:rFonts w:hint="eastAsia" w:ascii="宋体" w:hAnsi="宋体" w:eastAsia="宋体" w:cs="宋体"/>
          <w:b/>
          <w:bCs/>
          <w:color w:val="000000" w:themeColor="text1"/>
          <w:sz w:val="32"/>
          <w:szCs w:val="32"/>
          <w14:textFill>
            <w14:solidFill>
              <w14:schemeClr w14:val="tx1"/>
            </w14:solidFill>
          </w14:textFill>
        </w:rPr>
      </w:pPr>
    </w:p>
    <w:p>
      <w:pPr>
        <w:rPr>
          <w:rFonts w:hint="eastAsia"/>
        </w:rPr>
      </w:pPr>
    </w:p>
    <w:p>
      <w:pPr>
        <w:rPr>
          <w:rFonts w:hint="eastAsia"/>
        </w:rPr>
      </w:pPr>
    </w:p>
    <w:p>
      <w:pPr>
        <w:pStyle w:val="2"/>
        <w:spacing w:before="0" w:after="240" w:afterLines="100" w:line="360" w:lineRule="auto"/>
        <w:jc w:val="center"/>
        <w:rPr>
          <w:rStyle w:val="57"/>
          <w:rFonts w:hint="eastAsia" w:ascii="宋体" w:hAnsi="宋体" w:eastAsia="宋体" w:cs="宋体"/>
          <w:color w:val="000000" w:themeColor="text1"/>
          <w:sz w:val="52"/>
          <w:szCs w:val="32"/>
          <w14:textFill>
            <w14:solidFill>
              <w14:schemeClr w14:val="tx1"/>
            </w14:solidFill>
          </w14:textFill>
        </w:rPr>
      </w:pPr>
      <w:bookmarkStart w:id="52" w:name="_Toc86934193"/>
      <w:bookmarkStart w:id="53" w:name="_Toc17345"/>
    </w:p>
    <w:p>
      <w:pPr>
        <w:pStyle w:val="2"/>
        <w:spacing w:before="0" w:after="240" w:afterLines="100" w:line="360" w:lineRule="auto"/>
        <w:jc w:val="center"/>
        <w:rPr>
          <w:rStyle w:val="57"/>
          <w:rFonts w:hint="eastAsia" w:ascii="宋体" w:hAnsi="宋体" w:eastAsia="宋体" w:cs="宋体"/>
          <w:color w:val="000000" w:themeColor="text1"/>
          <w:sz w:val="32"/>
          <w14:textFill>
            <w14:solidFill>
              <w14:schemeClr w14:val="tx1"/>
            </w14:solidFill>
          </w14:textFill>
        </w:rPr>
      </w:pPr>
      <w:r>
        <w:rPr>
          <w:rStyle w:val="57"/>
          <w:rFonts w:hint="eastAsia" w:ascii="宋体" w:hAnsi="宋体" w:eastAsia="宋体" w:cs="宋体"/>
          <w:color w:val="000000" w:themeColor="text1"/>
          <w:sz w:val="52"/>
          <w:szCs w:val="32"/>
          <w14:textFill>
            <w14:solidFill>
              <w14:schemeClr w14:val="tx1"/>
            </w14:solidFill>
          </w14:textFill>
        </w:rPr>
        <w:t>第二章 投标人须知</w:t>
      </w:r>
      <w:bookmarkEnd w:id="13"/>
      <w:bookmarkEnd w:id="14"/>
      <w:bookmarkEnd w:id="15"/>
      <w:bookmarkEnd w:id="16"/>
      <w:bookmarkEnd w:id="17"/>
      <w:bookmarkEnd w:id="18"/>
      <w:bookmarkEnd w:id="19"/>
      <w:bookmarkEnd w:id="20"/>
      <w:bookmarkEnd w:id="21"/>
      <w:bookmarkEnd w:id="52"/>
      <w:bookmarkEnd w:id="53"/>
    </w:p>
    <w:p>
      <w:pPr>
        <w:pStyle w:val="2"/>
        <w:spacing w:line="360" w:lineRule="auto"/>
        <w:rPr>
          <w:rFonts w:hint="eastAsia" w:ascii="宋体" w:hAnsi="宋体" w:eastAsia="宋体" w:cs="宋体"/>
          <w:color w:val="000000" w:themeColor="text1"/>
          <w:sz w:val="30"/>
          <w:szCs w:val="30"/>
          <w14:textFill>
            <w14:solidFill>
              <w14:schemeClr w14:val="tx1"/>
            </w14:solidFill>
          </w14:textFill>
        </w:rPr>
      </w:pPr>
      <w:bookmarkStart w:id="54" w:name="_Toc86934194"/>
      <w:bookmarkStart w:id="55" w:name="_Toc30955"/>
      <w:bookmarkStart w:id="56" w:name="_Toc419977261"/>
      <w:bookmarkStart w:id="57" w:name="_Toc430184671"/>
      <w:bookmarkStart w:id="58" w:name="_Toc419974477"/>
      <w:bookmarkStart w:id="59" w:name="_Toc428518720"/>
      <w:bookmarkStart w:id="60" w:name="_Toc430185955"/>
      <w:bookmarkStart w:id="61" w:name="_Toc428172724"/>
      <w:bookmarkStart w:id="62" w:name="_Toc338941630"/>
      <w:bookmarkStart w:id="63" w:name="_Toc419974235"/>
      <w:bookmarkStart w:id="64" w:name="_Toc370384624"/>
      <w:r>
        <w:rPr>
          <w:rFonts w:hint="eastAsia" w:ascii="宋体" w:hAnsi="宋体" w:eastAsia="宋体" w:cs="宋体"/>
          <w:color w:val="000000" w:themeColor="text1"/>
          <w:sz w:val="30"/>
          <w:szCs w:val="30"/>
          <w14:textFill>
            <w14:solidFill>
              <w14:schemeClr w14:val="tx1"/>
            </w14:solidFill>
          </w14:textFill>
        </w:rPr>
        <w:t>投标人须知前附表</w:t>
      </w:r>
      <w:bookmarkEnd w:id="54"/>
      <w:bookmarkEnd w:id="55"/>
      <w:bookmarkEnd w:id="56"/>
      <w:bookmarkEnd w:id="57"/>
      <w:bookmarkEnd w:id="58"/>
      <w:bookmarkEnd w:id="59"/>
      <w:bookmarkEnd w:id="60"/>
      <w:bookmarkEnd w:id="61"/>
      <w:bookmarkEnd w:id="62"/>
      <w:bookmarkEnd w:id="63"/>
      <w:bookmarkEnd w:id="64"/>
    </w:p>
    <w:tbl>
      <w:tblPr>
        <w:tblStyle w:val="43"/>
        <w:tblW w:w="5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997"/>
        <w:gridCol w:w="6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条款号</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条款名称</w:t>
            </w:r>
          </w:p>
        </w:tc>
        <w:tc>
          <w:tcPr>
            <w:tcW w:w="3457"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w:t>
            </w:r>
            <w:r>
              <w:rPr>
                <w:rFonts w:hint="eastAsia" w:ascii="宋体" w:hAnsi="宋体" w:cs="宋体"/>
                <w:color w:val="000000" w:themeColor="text1"/>
                <w:kern w:val="0"/>
                <w:szCs w:val="21"/>
                <w:lang w:val="en-US" w:eastAsia="zh-CN"/>
                <w14:textFill>
                  <w14:solidFill>
                    <w14:schemeClr w14:val="tx1"/>
                  </w14:solidFill>
                </w14:textFill>
              </w:rPr>
              <w:t>1</w:t>
            </w:r>
          </w:p>
        </w:tc>
        <w:tc>
          <w:tcPr>
            <w:tcW w:w="1001" w:type="pct"/>
            <w:vAlign w:val="center"/>
          </w:tcPr>
          <w:p>
            <w:pPr>
              <w:pStyle w:val="326"/>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w:t>
            </w:r>
          </w:p>
        </w:tc>
        <w:tc>
          <w:tcPr>
            <w:tcW w:w="3457" w:type="pct"/>
            <w:vAlign w:val="center"/>
          </w:tcPr>
          <w:p>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lang w:eastAsia="zh-CN"/>
                <w14:textFill>
                  <w14:solidFill>
                    <w14:schemeClr w14:val="tx1"/>
                  </w14:solidFill>
                </w14:textFill>
              </w:rPr>
              <w:t>人：</w:t>
            </w:r>
            <w:r>
              <w:rPr>
                <w:rFonts w:hint="eastAsia" w:ascii="宋体" w:hAnsi="宋体" w:cs="宋体"/>
                <w:color w:val="000000" w:themeColor="text1"/>
                <w:sz w:val="21"/>
                <w:szCs w:val="21"/>
                <w:lang w:eastAsia="zh-CN"/>
                <w14:textFill>
                  <w14:solidFill>
                    <w14:schemeClr w14:val="tx1"/>
                  </w14:solidFill>
                </w14:textFill>
              </w:rPr>
              <w:t>重庆市大足区人民政府</w:t>
            </w:r>
            <w:r>
              <w:rPr>
                <w:rFonts w:hint="eastAsia" w:ascii="宋体" w:hAnsi="宋体" w:cs="宋体"/>
                <w:color w:val="000000" w:themeColor="text1"/>
                <w:sz w:val="21"/>
                <w:szCs w:val="21"/>
                <w:lang w:val="en-US" w:eastAsia="zh-CN"/>
                <w14:textFill>
                  <w14:solidFill>
                    <w14:schemeClr w14:val="tx1"/>
                  </w14:solidFill>
                </w14:textFill>
              </w:rPr>
              <w:t>龙滩子街道办事处</w:t>
            </w:r>
          </w:p>
          <w:p>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ascii="宋体" w:hAnsi="宋体" w:cs="宋体"/>
                <w:color w:val="000000" w:themeColor="text1"/>
                <w:sz w:val="21"/>
                <w:szCs w:val="21"/>
                <w:lang w:val="en-US" w:eastAsia="zh-CN"/>
                <w14:textFill>
                  <w14:solidFill>
                    <w14:schemeClr w14:val="tx1"/>
                  </w14:solidFill>
                </w14:textFill>
              </w:rPr>
              <w:t>叶老师</w:t>
            </w:r>
          </w:p>
          <w:p>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电  话：</w:t>
            </w:r>
            <w:r>
              <w:rPr>
                <w:rFonts w:hint="eastAsia" w:ascii="宋体" w:hAnsi="宋体" w:eastAsia="宋体" w:cs="宋体"/>
                <w:color w:val="auto"/>
                <w:kern w:val="2"/>
                <w:sz w:val="24"/>
                <w:szCs w:val="24"/>
                <w:highlight w:val="none"/>
                <w:u w:val="none"/>
                <w:lang w:val="en-US" w:eastAsia="zh-CN" w:bidi="ar-SA"/>
              </w:rPr>
              <w:t>023-43393625</w:t>
            </w:r>
          </w:p>
          <w:p>
            <w:pPr>
              <w:pageBreakBefore w:val="0"/>
              <w:kinsoku/>
              <w:wordWrap/>
              <w:overflowPunct/>
              <w:topLinePunct w:val="0"/>
              <w:autoSpaceDE/>
              <w:autoSpaceDN/>
              <w:bidi w:val="0"/>
              <w:snapToGrid w:val="0"/>
              <w:spacing w:line="400" w:lineRule="exac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  址：</w:t>
            </w:r>
            <w:r>
              <w:rPr>
                <w:rFonts w:hint="eastAsia" w:ascii="宋体" w:hAnsi="宋体" w:eastAsia="宋体" w:cs="宋体"/>
                <w:color w:val="000000" w:themeColor="text1"/>
                <w:kern w:val="0"/>
                <w:sz w:val="21"/>
                <w:szCs w:val="21"/>
                <w:lang w:val="en-US" w:eastAsia="zh-CN" w:bidi="ar-SA"/>
                <w14:textFill>
                  <w14:solidFill>
                    <w14:schemeClr w14:val="tx1"/>
                  </w14:solidFill>
                </w14:textFill>
              </w:rPr>
              <w:t>重庆市大足区双桥经开区巴岳大道8号</w:t>
            </w:r>
          </w:p>
          <w:p>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ascii="宋体" w:hAnsi="宋体"/>
                <w:color w:val="000000" w:themeColor="text1"/>
                <w:kern w:val="0"/>
                <w:szCs w:val="21"/>
                <w14:textFill>
                  <w14:solidFill>
                    <w14:schemeClr w14:val="tx1"/>
                  </w14:solidFill>
                </w14:textFill>
              </w:rPr>
              <w:t>1.1.</w:t>
            </w:r>
            <w:r>
              <w:rPr>
                <w:rFonts w:hint="eastAsia" w:ascii="宋体" w:hAnsi="宋体"/>
                <w:color w:val="000000" w:themeColor="text1"/>
                <w:kern w:val="0"/>
                <w:szCs w:val="21"/>
                <w:lang w:val="en-US" w:eastAsia="zh-CN"/>
                <w14:textFill>
                  <w14:solidFill>
                    <w14:schemeClr w14:val="tx1"/>
                  </w14:solidFill>
                </w14:textFill>
              </w:rPr>
              <w:t>2</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招标代理机构</w:t>
            </w:r>
          </w:p>
        </w:tc>
        <w:tc>
          <w:tcPr>
            <w:tcW w:w="3457" w:type="pct"/>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lang w:eastAsia="zh-CN"/>
                <w14:textFill>
                  <w14:solidFill>
                    <w14:schemeClr w14:val="tx1"/>
                  </w14:solidFill>
                </w14:textFill>
              </w:rPr>
              <w:t>代理机构：</w:t>
            </w:r>
            <w:r>
              <w:rPr>
                <w:rFonts w:hint="eastAsia" w:ascii="宋体" w:hAnsi="宋体" w:cs="宋体"/>
                <w:color w:val="000000" w:themeColor="text1"/>
                <w:sz w:val="21"/>
                <w:szCs w:val="21"/>
                <w:lang w:val="en-US" w:eastAsia="zh-CN"/>
                <w14:textFill>
                  <w14:solidFill>
                    <w14:schemeClr w14:val="tx1"/>
                  </w14:solidFill>
                </w14:textFill>
              </w:rPr>
              <w:t>优序建设集团有限公司</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ascii="宋体" w:hAnsi="宋体" w:cs="宋体"/>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电  话：</w:t>
            </w:r>
            <w:r>
              <w:rPr>
                <w:rFonts w:hint="eastAsia" w:ascii="宋体" w:hAnsi="宋体" w:cs="宋体"/>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  址：</w:t>
            </w:r>
            <w:r>
              <w:rPr>
                <w:rFonts w:hint="eastAsia" w:ascii="宋体" w:hAnsi="宋体" w:cs="宋体"/>
                <w:color w:val="000000" w:themeColor="text1"/>
                <w:sz w:val="21"/>
                <w:szCs w:val="2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1.1.3</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项目名称</w:t>
            </w:r>
          </w:p>
        </w:tc>
        <w:tc>
          <w:tcPr>
            <w:tcW w:w="3457" w:type="pct"/>
            <w:vAlign w:val="center"/>
          </w:tcPr>
          <w:p>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龙滩子烟火集市建设项目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1.1.4</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建设地点</w:t>
            </w:r>
          </w:p>
        </w:tc>
        <w:tc>
          <w:tcPr>
            <w:tcW w:w="3457" w:type="pct"/>
            <w:vAlign w:val="center"/>
          </w:tcPr>
          <w:p>
            <w:pPr>
              <w:pStyle w:val="354"/>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重庆市大足区</w:t>
            </w:r>
            <w:r>
              <w:rPr>
                <w:rFonts w:hint="eastAsia" w:ascii="宋体" w:hAnsi="宋体" w:cs="宋体"/>
                <w:bCs/>
                <w:color w:val="000000" w:themeColor="text1"/>
                <w:szCs w:val="21"/>
                <w:lang w:val="en-US" w:eastAsia="zh-CN"/>
                <w14:textFill>
                  <w14:solidFill>
                    <w14:schemeClr w14:val="tx1"/>
                  </w14:solidFill>
                </w14:textFill>
              </w:rPr>
              <w:t>人民政府龙滩子街道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1.1.5</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建设规模</w:t>
            </w:r>
          </w:p>
        </w:tc>
        <w:tc>
          <w:tcPr>
            <w:tcW w:w="3457"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主要项目内容详见</w:t>
            </w:r>
            <w:r>
              <w:rPr>
                <w:rFonts w:hint="eastAsia" w:ascii="宋体" w:hAnsi="宋体" w:cs="宋体"/>
                <w:color w:val="000000" w:themeColor="text1"/>
                <w:lang w:val="en-US" w:eastAsia="zh-CN"/>
                <w14:textFill>
                  <w14:solidFill>
                    <w14:schemeClr w14:val="tx1"/>
                  </w14:solidFill>
                </w14:textFill>
              </w:rPr>
              <w:t>招标人提供的</w:t>
            </w:r>
            <w:r>
              <w:rPr>
                <w:rFonts w:hint="eastAsia" w:ascii="宋体" w:hAnsi="宋体" w:eastAsia="宋体" w:cs="宋体"/>
                <w:color w:val="000000" w:themeColor="text1"/>
                <w14:textFill>
                  <w14:solidFill>
                    <w14:schemeClr w14:val="tx1"/>
                  </w14:solidFill>
                </w14:textFill>
              </w:rPr>
              <w:t>相关资料</w:t>
            </w:r>
            <w:r>
              <w:rPr>
                <w:rFonts w:hint="eastAsia" w:ascii="宋体" w:hAnsi="宋体" w:cs="宋体"/>
                <w:color w:val="000000" w:themeColor="text1"/>
                <w:lang w:val="en-US" w:eastAsia="zh-CN"/>
                <w14:textFill>
                  <w14:solidFill>
                    <w14:schemeClr w14:val="tx1"/>
                  </w14:solidFill>
                </w14:textFill>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1.2.1</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资金来源</w:t>
            </w:r>
          </w:p>
        </w:tc>
        <w:tc>
          <w:tcPr>
            <w:tcW w:w="3457" w:type="pct"/>
            <w:vAlign w:val="center"/>
          </w:tcPr>
          <w:p>
            <w:pPr>
              <w:pStyle w:val="35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1.2.2</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出资比例</w:t>
            </w:r>
          </w:p>
        </w:tc>
        <w:tc>
          <w:tcPr>
            <w:tcW w:w="3457" w:type="pct"/>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1.2.3</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资金落实情况</w:t>
            </w:r>
          </w:p>
        </w:tc>
        <w:tc>
          <w:tcPr>
            <w:tcW w:w="3457" w:type="pct"/>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1.3.1</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比选范围</w:t>
            </w:r>
          </w:p>
        </w:tc>
        <w:tc>
          <w:tcPr>
            <w:tcW w:w="3457" w:type="pct"/>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比选文件及补答疑所包含的所有内容（具体详见工程量清单）。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1.3.2</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计划工期</w:t>
            </w:r>
          </w:p>
        </w:tc>
        <w:tc>
          <w:tcPr>
            <w:tcW w:w="3457" w:type="pct"/>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auto"/>
                <w:highlight w:val="none"/>
                <w:lang w:val="en-US" w:eastAsia="zh-CN"/>
              </w:rPr>
              <w:t>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1.3.3</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质量要求</w:t>
            </w:r>
          </w:p>
        </w:tc>
        <w:tc>
          <w:tcPr>
            <w:tcW w:w="3457" w:type="pct"/>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达到国家有关验收规范规定的标准，并一次性验收合格。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pPr>
              <w:keepLines w:val="0"/>
              <w:pageBreakBefore w:val="0"/>
              <w:kinsoku/>
              <w:wordWrap/>
              <w:overflowPunct/>
              <w:topLinePunct w:val="0"/>
              <w:bidi w:val="0"/>
              <w:snapToGrid w:val="0"/>
              <w:spacing w:line="400" w:lineRule="exact"/>
              <w:ind w:firstLine="210" w:firstLineChars="100"/>
              <w:jc w:val="both"/>
              <w:textAlignment w:val="auto"/>
              <w:rPr>
                <w:rFonts w:hint="eastAsia"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1.4.1</w:t>
            </w:r>
          </w:p>
        </w:tc>
        <w:tc>
          <w:tcPr>
            <w:tcW w:w="1001" w:type="pct"/>
            <w:vAlign w:val="center"/>
          </w:tcPr>
          <w:p>
            <w:pPr>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000000" w:themeColor="text1"/>
                <w:kern w:val="0"/>
                <w:szCs w:val="21"/>
                <w:highlight w:val="yellow"/>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w:t>
            </w:r>
            <w:r>
              <w:rPr>
                <w:rFonts w:hint="eastAsia" w:ascii="宋体" w:hAnsi="宋体" w:cs="宋体"/>
                <w:color w:val="000000" w:themeColor="text1"/>
                <w:kern w:val="0"/>
                <w:szCs w:val="21"/>
                <w:highlight w:val="none"/>
                <w:lang w:eastAsia="zh-CN"/>
                <w14:textFill>
                  <w14:solidFill>
                    <w14:schemeClr w14:val="tx1"/>
                  </w14:solidFill>
                </w14:textFill>
              </w:rPr>
              <w:t>资格要求</w:t>
            </w:r>
          </w:p>
        </w:tc>
        <w:tc>
          <w:tcPr>
            <w:tcW w:w="3457" w:type="pct"/>
            <w:vAlign w:val="center"/>
          </w:tcPr>
          <w:p>
            <w:pPr>
              <w:pStyle w:val="38"/>
              <w:pageBreakBefore w:val="0"/>
              <w:kinsoku/>
              <w:overflowPunct/>
              <w:autoSpaceDE/>
              <w:autoSpaceDN/>
              <w:bidi w:val="0"/>
              <w:spacing w:before="0" w:beforeAutospacing="0" w:after="0" w:afterAutospacing="0" w:line="348" w:lineRule="auto"/>
              <w:ind w:right="0" w:firstLine="420" w:firstLineChars="200"/>
              <w:jc w:val="both"/>
              <w:textAlignment w:val="auto"/>
              <w:rPr>
                <w:rFonts w:hint="eastAsia" w:ascii="宋体" w:hAnsi="宋体" w:eastAsia="宋体" w:cs="宋体"/>
                <w:color w:val="000000" w:themeColor="text1"/>
                <w:kern w:val="2"/>
                <w:sz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1本次比选要求投标人必须具备有效的营业执照。</w:t>
            </w:r>
          </w:p>
          <w:p>
            <w:pPr>
              <w:pStyle w:val="382"/>
              <w:pageBreakBefore w:val="0"/>
              <w:kinsoku/>
              <w:overflowPunct/>
              <w:autoSpaceDE/>
              <w:autoSpaceDN/>
              <w:bidi w:val="0"/>
              <w:spacing w:line="348" w:lineRule="auto"/>
              <w:ind w:right="0" w:firstLine="420" w:firstLineChars="200"/>
              <w:textAlignment w:val="auto"/>
              <w:rPr>
                <w:rFonts w:hint="eastAsia" w:ascii="宋体" w:hAnsi="宋体" w:eastAsia="宋体" w:cs="宋体"/>
                <w:color w:val="000000" w:themeColor="text1"/>
                <w:kern w:val="2"/>
                <w:sz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2 本次比选不接受联合体投标。</w:t>
            </w:r>
          </w:p>
          <w:p>
            <w:pPr>
              <w:keepLines w:val="0"/>
              <w:pageBreakBefore w:val="0"/>
              <w:widowControl w:val="0"/>
              <w:kinsoku/>
              <w:wordWrap/>
              <w:overflowPunct/>
              <w:topLinePunct w:val="0"/>
              <w:bidi w:val="0"/>
              <w:spacing w:line="400" w:lineRule="exact"/>
              <w:ind w:firstLine="422" w:firstLineChars="200"/>
              <w:jc w:val="center"/>
              <w:textAlignment w:val="auto"/>
              <w:rPr>
                <w:rFonts w:hint="eastAsia" w:ascii="宋体" w:hAnsi="宋体" w:eastAsia="宋体" w:cs="宋体"/>
                <w:b/>
                <w:color w:val="000000" w:themeColor="text1"/>
                <w:kern w:val="0"/>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1.4.2</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是否接受联合体投标</w:t>
            </w:r>
          </w:p>
        </w:tc>
        <w:tc>
          <w:tcPr>
            <w:tcW w:w="3457" w:type="pct"/>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1.9.1</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踏勘现场</w:t>
            </w:r>
          </w:p>
        </w:tc>
        <w:tc>
          <w:tcPr>
            <w:tcW w:w="3457" w:type="pct"/>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1.10.1</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投标预备会</w:t>
            </w:r>
          </w:p>
        </w:tc>
        <w:tc>
          <w:tcPr>
            <w:tcW w:w="3457" w:type="pct"/>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40"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1.11</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分包</w:t>
            </w:r>
          </w:p>
        </w:tc>
        <w:tc>
          <w:tcPr>
            <w:tcW w:w="3457" w:type="pct"/>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1.12</w:t>
            </w:r>
          </w:p>
        </w:tc>
        <w:tc>
          <w:tcPr>
            <w:tcW w:w="1001" w:type="pct"/>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允许投标文件偏离范围和幅度</w:t>
            </w:r>
          </w:p>
        </w:tc>
        <w:tc>
          <w:tcPr>
            <w:tcW w:w="3457" w:type="pct"/>
            <w:vAlign w:val="center"/>
          </w:tcPr>
          <w:p>
            <w:pPr>
              <w:pStyle w:val="32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40" w:type="pct"/>
            <w:vAlign w:val="center"/>
          </w:tcPr>
          <w:p>
            <w:pPr>
              <w:keepLines w:val="0"/>
              <w:pageBreakBefore w:val="0"/>
              <w:kinsoku/>
              <w:wordWrap/>
              <w:overflowPunct/>
              <w:topLinePunct w:val="0"/>
              <w:bidi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1001" w:type="pct"/>
            <w:vAlign w:val="center"/>
          </w:tcPr>
          <w:p>
            <w:pPr>
              <w:keepLines w:val="0"/>
              <w:pageBreakBefore w:val="0"/>
              <w:kinsoku/>
              <w:wordWrap/>
              <w:overflowPunct/>
              <w:topLinePunct w:val="0"/>
              <w:bidi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比选文件的组成</w:t>
            </w:r>
          </w:p>
        </w:tc>
        <w:tc>
          <w:tcPr>
            <w:tcW w:w="3457"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第一章 比选公告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第二章 投标人须知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第三章 评标办法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第四章 合同条款及格式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第五章 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4" w:hRule="atLeast"/>
        </w:trPr>
        <w:tc>
          <w:tcPr>
            <w:tcW w:w="540" w:type="pct"/>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1001" w:type="pct"/>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比选文件的澄清和修改</w:t>
            </w:r>
          </w:p>
        </w:tc>
        <w:tc>
          <w:tcPr>
            <w:tcW w:w="3457" w:type="pct"/>
            <w:vAlign w:val="center"/>
          </w:tcPr>
          <w:p>
            <w:pPr>
              <w:pStyle w:val="1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投标人在下载比选文件后，若对本比选文件有疑问需要进行澄清时，请书面通知招标人，截止时间202</w:t>
            </w:r>
            <w:r>
              <w:rPr>
                <w:rFonts w:hint="eastAsia" w:ascii="宋体" w:hAnsi="宋体" w:cs="宋体"/>
                <w:color w:val="000000" w:themeColor="text1"/>
                <w:sz w:val="21"/>
                <w:highlight w:val="none"/>
                <w:lang w:val="en-US" w:eastAsia="zh-CN"/>
                <w14:textFill>
                  <w14:solidFill>
                    <w14:schemeClr w14:val="tx1"/>
                  </w14:solidFill>
                </w14:textFill>
              </w:rPr>
              <w:t>5</w:t>
            </w:r>
            <w:r>
              <w:rPr>
                <w:rFonts w:hint="eastAsia" w:ascii="宋体" w:hAnsi="宋体" w:eastAsia="宋体" w:cs="宋体"/>
                <w:color w:val="000000" w:themeColor="text1"/>
                <w:sz w:val="21"/>
                <w:highlight w:val="none"/>
                <w14:textFill>
                  <w14:solidFill>
                    <w14:schemeClr w14:val="tx1"/>
                  </w14:solidFill>
                </w14:textFill>
              </w:rPr>
              <w:t>年</w:t>
            </w:r>
            <w:r>
              <w:rPr>
                <w:rFonts w:hint="eastAsia" w:ascii="宋体" w:hAnsi="宋体" w:cs="宋体"/>
                <w:color w:val="000000" w:themeColor="text1"/>
                <w:sz w:val="21"/>
                <w:highlight w:val="none"/>
                <w:lang w:val="en-US" w:eastAsia="zh-CN"/>
                <w14:textFill>
                  <w14:solidFill>
                    <w14:schemeClr w14:val="tx1"/>
                  </w14:solidFill>
                </w14:textFill>
              </w:rPr>
              <w:t>12</w:t>
            </w:r>
            <w:r>
              <w:rPr>
                <w:rFonts w:hint="eastAsia" w:ascii="宋体" w:hAnsi="宋体" w:eastAsia="宋体" w:cs="宋体"/>
                <w:color w:val="000000" w:themeColor="text1"/>
                <w:sz w:val="21"/>
                <w:highlight w:val="none"/>
                <w14:textFill>
                  <w14:solidFill>
                    <w14:schemeClr w14:val="tx1"/>
                  </w14:solidFill>
                </w14:textFill>
              </w:rPr>
              <w:t>月</w:t>
            </w:r>
            <w:r>
              <w:rPr>
                <w:rFonts w:hint="eastAsia" w:ascii="宋体" w:hAnsi="宋体" w:cs="宋体"/>
                <w:color w:val="000000" w:themeColor="text1"/>
                <w:sz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日</w:t>
            </w:r>
            <w:r>
              <w:rPr>
                <w:rFonts w:hint="eastAsia" w:ascii="宋体" w:hAnsi="宋体" w:cs="宋体"/>
                <w:color w:val="000000" w:themeColor="text1"/>
                <w:sz w:val="21"/>
                <w:highlight w:val="none"/>
                <w:lang w:val="en-US" w:eastAsia="zh-CN"/>
                <w14:textFill>
                  <w14:solidFill>
                    <w14:schemeClr w14:val="tx1"/>
                  </w14:solidFill>
                </w14:textFill>
              </w:rPr>
              <w:t>17</w:t>
            </w:r>
            <w:r>
              <w:rPr>
                <w:rFonts w:hint="eastAsia" w:ascii="宋体" w:hAnsi="宋体" w:eastAsia="宋体" w:cs="宋体"/>
                <w:color w:val="000000" w:themeColor="text1"/>
                <w:sz w:val="21"/>
                <w:highlight w:val="none"/>
                <w14:textFill>
                  <w14:solidFill>
                    <w14:schemeClr w14:val="tx1"/>
                  </w14:solidFill>
                </w14:textFill>
              </w:rPr>
              <w:t>时</w:t>
            </w:r>
            <w:r>
              <w:rPr>
                <w:rFonts w:hint="eastAsia" w:ascii="宋体" w:hAnsi="宋体" w:cs="宋体"/>
                <w:color w:val="000000" w:themeColor="text1"/>
                <w:sz w:val="21"/>
                <w:highlight w:val="none"/>
                <w:lang w:val="en-US" w:eastAsia="zh-CN"/>
                <w14:textFill>
                  <w14:solidFill>
                    <w14:schemeClr w14:val="tx1"/>
                  </w14:solidFill>
                </w14:textFill>
              </w:rPr>
              <w:t>00</w:t>
            </w:r>
            <w:r>
              <w:rPr>
                <w:rFonts w:hint="eastAsia" w:ascii="宋体" w:hAnsi="宋体" w:eastAsia="宋体" w:cs="宋体"/>
                <w:color w:val="000000" w:themeColor="text1"/>
                <w:sz w:val="21"/>
                <w:highlight w:val="none"/>
                <w14:textFill>
                  <w14:solidFill>
                    <w14:schemeClr w14:val="tx1"/>
                  </w14:solidFill>
                </w14:textFill>
              </w:rPr>
              <w:t>分前。招标人在认为有必要对投标人所提问题进行答复时或对比选文件进行补充时，应在行采家（https://www.gec123.com/）网上作出答复，并将答复内容和补充内容作为比选文件的补充部分，答疑截止时间202</w:t>
            </w:r>
            <w:r>
              <w:rPr>
                <w:rFonts w:hint="eastAsia" w:ascii="宋体" w:hAnsi="宋体" w:cs="宋体"/>
                <w:color w:val="000000" w:themeColor="text1"/>
                <w:sz w:val="21"/>
                <w:highlight w:val="none"/>
                <w:lang w:val="en-US" w:eastAsia="zh-CN"/>
                <w14:textFill>
                  <w14:solidFill>
                    <w14:schemeClr w14:val="tx1"/>
                  </w14:solidFill>
                </w14:textFill>
              </w:rPr>
              <w:t>5</w:t>
            </w:r>
            <w:r>
              <w:rPr>
                <w:rFonts w:hint="eastAsia" w:ascii="宋体" w:hAnsi="宋体" w:eastAsia="宋体" w:cs="宋体"/>
                <w:color w:val="000000" w:themeColor="text1"/>
                <w:sz w:val="21"/>
                <w:highlight w:val="none"/>
                <w14:textFill>
                  <w14:solidFill>
                    <w14:schemeClr w14:val="tx1"/>
                  </w14:solidFill>
                </w14:textFill>
              </w:rPr>
              <w:t>年</w:t>
            </w:r>
            <w:r>
              <w:rPr>
                <w:rFonts w:hint="eastAsia" w:ascii="宋体" w:hAnsi="宋体" w:cs="宋体"/>
                <w:color w:val="000000" w:themeColor="text1"/>
                <w:sz w:val="21"/>
                <w:highlight w:val="none"/>
                <w:lang w:val="en-US" w:eastAsia="zh-CN"/>
                <w14:textFill>
                  <w14:solidFill>
                    <w14:schemeClr w14:val="tx1"/>
                  </w14:solidFill>
                </w14:textFill>
              </w:rPr>
              <w:t>12</w:t>
            </w:r>
            <w:r>
              <w:rPr>
                <w:rFonts w:hint="eastAsia" w:ascii="宋体" w:hAnsi="宋体" w:eastAsia="宋体" w:cs="宋体"/>
                <w:color w:val="000000" w:themeColor="text1"/>
                <w:sz w:val="21"/>
                <w:highlight w:val="none"/>
                <w14:textFill>
                  <w14:solidFill>
                    <w14:schemeClr w14:val="tx1"/>
                  </w14:solidFill>
                </w14:textFill>
              </w:rPr>
              <w:t>月</w:t>
            </w:r>
            <w:r>
              <w:rPr>
                <w:rFonts w:hint="eastAsia" w:ascii="宋体" w:hAnsi="宋体" w:cs="宋体"/>
                <w:color w:val="000000" w:themeColor="text1"/>
                <w:sz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日</w:t>
            </w:r>
            <w:r>
              <w:rPr>
                <w:rFonts w:hint="eastAsia" w:ascii="宋体" w:hAnsi="宋体" w:cs="宋体"/>
                <w:color w:val="000000" w:themeColor="text1"/>
                <w:sz w:val="21"/>
                <w:highlight w:val="none"/>
                <w:lang w:val="en-US" w:eastAsia="zh-CN"/>
                <w14:textFill>
                  <w14:solidFill>
                    <w14:schemeClr w14:val="tx1"/>
                  </w14:solidFill>
                </w14:textFill>
              </w:rPr>
              <w:t>17</w:t>
            </w:r>
            <w:r>
              <w:rPr>
                <w:rFonts w:hint="eastAsia" w:ascii="宋体" w:hAnsi="宋体" w:eastAsia="宋体" w:cs="宋体"/>
                <w:color w:val="000000" w:themeColor="text1"/>
                <w:sz w:val="21"/>
                <w:highlight w:val="none"/>
                <w14:textFill>
                  <w14:solidFill>
                    <w14:schemeClr w14:val="tx1"/>
                  </w14:solidFill>
                </w14:textFill>
              </w:rPr>
              <w:t>时</w:t>
            </w:r>
            <w:r>
              <w:rPr>
                <w:rFonts w:hint="eastAsia" w:ascii="宋体" w:hAnsi="宋体" w:cs="宋体"/>
                <w:color w:val="000000" w:themeColor="text1"/>
                <w:sz w:val="21"/>
                <w:highlight w:val="none"/>
                <w:lang w:val="en-US" w:eastAsia="zh-CN"/>
                <w14:textFill>
                  <w14:solidFill>
                    <w14:schemeClr w14:val="tx1"/>
                  </w14:solidFill>
                </w14:textFill>
              </w:rPr>
              <w:t>00</w:t>
            </w:r>
            <w:r>
              <w:rPr>
                <w:rFonts w:hint="eastAsia" w:ascii="宋体" w:hAnsi="宋体" w:eastAsia="宋体" w:cs="宋体"/>
                <w:color w:val="000000" w:themeColor="text1"/>
                <w:sz w:val="21"/>
                <w:highlight w:val="none"/>
                <w14:textFill>
                  <w14:solidFill>
                    <w14:schemeClr w14:val="tx1"/>
                  </w14:solidFill>
                </w14:textFill>
              </w:rPr>
              <w:t>分前。无论投标人是否在行采家（https://www.gec123.com/）网上下载比选文件答疑内容和补充内容，招标人视为投标人收到比选文件全部答疑内容和补充内容，由此产生的一切后果均由投标人自负。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bookmarkStart w:id="65" w:name="_Hlt227984024"/>
            <w:bookmarkEnd w:id="65"/>
            <w:r>
              <w:rPr>
                <w:rFonts w:hint="eastAsia" w:ascii="宋体" w:hAnsi="宋体" w:eastAsia="宋体" w:cs="宋体"/>
                <w:color w:val="000000" w:themeColor="text1"/>
                <w:kern w:val="0"/>
                <w:szCs w:val="21"/>
                <w14:textFill>
                  <w14:solidFill>
                    <w14:schemeClr w14:val="tx1"/>
                  </w14:solidFill>
                </w14:textFill>
              </w:rPr>
              <w:t>3.1</w:t>
            </w:r>
            <w:bookmarkStart w:id="66" w:name="_Hlt227983924"/>
            <w:bookmarkEnd w:id="66"/>
            <w:bookmarkStart w:id="67" w:name="_Hlt227983889"/>
            <w:bookmarkEnd w:id="67"/>
          </w:p>
        </w:tc>
        <w:tc>
          <w:tcPr>
            <w:tcW w:w="1001" w:type="pct"/>
            <w:vAlign w:val="center"/>
          </w:tcPr>
          <w:p>
            <w:pPr>
              <w:keepNext w:val="0"/>
              <w:keepLines w:val="0"/>
              <w:pageBreakBefore w:val="0"/>
              <w:kinsoku/>
              <w:wordWrap/>
              <w:overflowPunct/>
              <w:topLinePunct w:val="0"/>
              <w:autoSpaceDE/>
              <w:autoSpaceDN/>
              <w:bidi w:val="0"/>
              <w:adjustRightInd/>
              <w:spacing w:before="73" w:line="400" w:lineRule="exact"/>
              <w:ind w:right="-20"/>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构成投标文件的其他材料</w:t>
            </w:r>
          </w:p>
        </w:tc>
        <w:tc>
          <w:tcPr>
            <w:tcW w:w="3457" w:type="pct"/>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比选文件规定的和投标人认为应该提供的所有材料。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3.2.1</w:t>
            </w:r>
          </w:p>
        </w:tc>
        <w:tc>
          <w:tcPr>
            <w:tcW w:w="1001" w:type="pct"/>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投标报价</w:t>
            </w:r>
          </w:p>
        </w:tc>
        <w:tc>
          <w:tcPr>
            <w:tcW w:w="3457" w:type="pct"/>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总价子目一般按照分期、完成合同价的百分比或完成进度计划的形象进度节点等方式予以分解支付。</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注：评标过程中，评标委员会对照招标文件否决投标情况一览表的规定，对确实不满足招标文件相关要求的，方可作否决投标处理。</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3.投标函中的总报价与已标价工程量清单总报价不一致，或工程量清单总报价与依据单价、工程数量、分部分项工程合价计算出的结果不一致，由评标委员会作否决投标处理。</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4.（1）在合同实施期间，单价和总价不调整。</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（2）增值税计税方法由招标人依据国家税法规定选择：</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☑一般计税法</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□简易计税法</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5.招标人在工程量清单中所列出的暂列金额、暂估价等暂定金额，投标人不得修改，否则由评标委员会作否决投标处理。</w:t>
            </w:r>
          </w:p>
          <w:p>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6.本工程招标将设置投标总报价最高限价，最高限价为：</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元（大写：），其中安全文明施工费为：</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元。投标人的投标总报价不得超过其最高限价，否则由评标委员会作否决投标处理。</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本工程招标将设置全部清单综合单价最高限价，投标人的每项清单综合单价报价不得超过每项清单综合单价最高限价，安全文明施工费为暂定金额</w:t>
            </w:r>
            <w:r>
              <w:rPr>
                <w:rFonts w:hint="eastAsia" w:ascii="宋体" w:hAnsi="宋体" w:cs="宋体"/>
                <w:color w:val="000000" w:themeColor="text1"/>
                <w:szCs w:val="21"/>
                <w:highlight w:val="none"/>
                <w:lang w:val="en-US" w:eastAsia="zh-CN"/>
                <w14:textFill>
                  <w14:solidFill>
                    <w14:schemeClr w14:val="tx1"/>
                  </w14:solidFill>
                </w14:textFill>
              </w:rPr>
              <w:t>需按照招标人给出的暂定金额填写，</w:t>
            </w:r>
            <w:r>
              <w:rPr>
                <w:rFonts w:hint="eastAsia" w:ascii="宋体" w:hAnsi="宋体" w:eastAsia="宋体" w:cs="宋体"/>
                <w:color w:val="000000" w:themeColor="text1"/>
                <w:szCs w:val="21"/>
                <w:highlight w:val="none"/>
                <w14:textFill>
                  <w14:solidFill>
                    <w14:schemeClr w14:val="tx1"/>
                  </w14:solidFill>
                </w14:textFill>
              </w:rPr>
              <w:t>否则由评标委员会作否决投标处理。</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7.安全文明施工费：</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7.1根据《重庆市建设工程安全文明施工费计取及使用管理规定（2024版）》（渝建管〔2024〕38号）规定，安全文明施工费由安全施工费、文明施工费、环境保护费及临时设施费组成。</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本工程安全文明施工费由招标人根据《建设工程工程量清单计价规范》（GB50500-2013）、《重庆市建设工程工程量清单计价规则》（CQJJGZ-2013）、《重庆市建设工程安全文明施工费计取及使用管理规定（2024版）》（渝建管〔2024〕38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9.本项目建筑安装材料价格风险按照《重庆市城乡建设委员会关于进一步加强建筑安装材料价格风险管控的指导意见》（渝建〔2018〕61号）执行。本项目主要材料及设备价格风险内容、范围及调整方法为： 不调整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3.3.1</w:t>
            </w:r>
          </w:p>
        </w:tc>
        <w:tc>
          <w:tcPr>
            <w:tcW w:w="1001" w:type="pct"/>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投标有效期</w:t>
            </w:r>
          </w:p>
        </w:tc>
        <w:tc>
          <w:tcPr>
            <w:tcW w:w="3457" w:type="pct"/>
            <w:vAlign w:val="center"/>
          </w:tcPr>
          <w:p>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投标截止日期后90天。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540" w:type="pct"/>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3.4.1</w:t>
            </w:r>
          </w:p>
        </w:tc>
        <w:tc>
          <w:tcPr>
            <w:tcW w:w="1001" w:type="pct"/>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w:t>
            </w:r>
          </w:p>
        </w:tc>
        <w:tc>
          <w:tcPr>
            <w:tcW w:w="3457" w:type="pct"/>
            <w:vAlign w:val="center"/>
          </w:tcPr>
          <w:p>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3.6</w:t>
            </w:r>
          </w:p>
        </w:tc>
        <w:tc>
          <w:tcPr>
            <w:tcW w:w="1001"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是否允许递交</w:t>
            </w:r>
          </w:p>
          <w:p>
            <w:pPr>
              <w:keepNext w:val="0"/>
              <w:keepLines w:val="0"/>
              <w:pageBreakBefore w:val="0"/>
              <w:kinsoku/>
              <w:wordWrap/>
              <w:overflowPunct/>
              <w:topLinePunct w:val="0"/>
              <w:autoSpaceDE/>
              <w:autoSpaceDN/>
              <w:bidi w:val="0"/>
              <w:adjustRightInd/>
              <w:snapToGrid w:val="0"/>
              <w:spacing w:after="72" w:afterLines="30"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备选投标方案</w:t>
            </w:r>
          </w:p>
        </w:tc>
        <w:tc>
          <w:tcPr>
            <w:tcW w:w="3457" w:type="pct"/>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不允许</w:t>
            </w:r>
            <w:r>
              <w:rPr>
                <w:rFonts w:hint="eastAsia" w:ascii="宋体" w:hAnsi="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3.7.1</w:t>
            </w:r>
          </w:p>
        </w:tc>
        <w:tc>
          <w:tcPr>
            <w:tcW w:w="1001" w:type="pct"/>
            <w:vAlign w:val="center"/>
          </w:tcPr>
          <w:p>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投标文件签字或盖章要求</w:t>
            </w:r>
          </w:p>
        </w:tc>
        <w:tc>
          <w:tcPr>
            <w:tcW w:w="3457" w:type="pct"/>
            <w:vAlign w:val="center"/>
          </w:tcPr>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1、投标文件的正本和副本应由投标人的法定代表人或经正式授权并对投标人有约束力的代表签字并盖章。由授权代表签字时，须在投标文件中提供“法定代表人授权书”，其格式应符合比选文件中的规定。</w:t>
            </w:r>
          </w:p>
          <w:p>
            <w:pPr>
              <w:pStyle w:val="32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除投标人对错漏之处做必要修改或补充外，投标文件中不得有随意的行间插字、涂改和增删。如确有错漏之处确需要手工修改或补充，投标文件的修改必须由投标人的法定代表人或其授权代表在修改或补充之处签字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3.7.2</w:t>
            </w:r>
          </w:p>
        </w:tc>
        <w:tc>
          <w:tcPr>
            <w:tcW w:w="1001" w:type="pct"/>
            <w:vAlign w:val="center"/>
          </w:tcPr>
          <w:p>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投标文件份数</w:t>
            </w:r>
          </w:p>
        </w:tc>
        <w:tc>
          <w:tcPr>
            <w:tcW w:w="3457" w:type="pct"/>
            <w:vAlign w:val="center"/>
          </w:tcPr>
          <w:p>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投标文件正本：1份</w:t>
            </w:r>
          </w:p>
          <w:p>
            <w:pPr>
              <w:keepNext w:val="0"/>
              <w:keepLines w:val="0"/>
              <w:pageBreakBefore w:val="0"/>
              <w:tabs>
                <w:tab w:val="left" w:pos="4050"/>
              </w:tabs>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投标文件副本：1份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3.7.3</w:t>
            </w:r>
          </w:p>
        </w:tc>
        <w:tc>
          <w:tcPr>
            <w:tcW w:w="1001" w:type="pct"/>
            <w:vAlign w:val="center"/>
          </w:tcPr>
          <w:p>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投标文件装订要求</w:t>
            </w:r>
          </w:p>
        </w:tc>
        <w:tc>
          <w:tcPr>
            <w:tcW w:w="3457" w:type="pct"/>
            <w:vAlign w:val="center"/>
          </w:tcPr>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1、投标文件的正本和副本均采用A4纸、使用不能轻易擦去且不易褪色的打印机打印，副本可以是正本的复印件。</w:t>
            </w:r>
          </w:p>
          <w:p>
            <w:pPr>
              <w:pStyle w:val="32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2、正本和副本都应装订成册，编制目录。投标文件禁止使用活页装订，否则视为无效投标。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4.1.1</w:t>
            </w:r>
          </w:p>
        </w:tc>
        <w:tc>
          <w:tcPr>
            <w:tcW w:w="1001"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投标文件的密封</w:t>
            </w:r>
            <w:r>
              <w:rPr>
                <w:rFonts w:hint="eastAsia" w:ascii="宋体" w:hAnsi="宋体" w:eastAsia="宋体" w:cs="宋体"/>
                <w:color w:val="000000" w:themeColor="text1"/>
                <w:szCs w:val="21"/>
                <w14:textFill>
                  <w14:solidFill>
                    <w14:schemeClr w14:val="tx1"/>
                  </w14:solidFill>
                </w14:textFill>
              </w:rPr>
              <w:t>和装袋</w:t>
            </w:r>
          </w:p>
        </w:tc>
        <w:tc>
          <w:tcPr>
            <w:tcW w:w="3457" w:type="pct"/>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投标人应将投标文件装入一个或多个外层包装(大口袋或包装箱)中，外层包装应密封并加盖投标人公章。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4.1.2</w:t>
            </w:r>
          </w:p>
        </w:tc>
        <w:tc>
          <w:tcPr>
            <w:tcW w:w="1001" w:type="pct"/>
            <w:vAlign w:val="center"/>
          </w:tcPr>
          <w:p>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投标文件外封套上写明</w:t>
            </w:r>
          </w:p>
        </w:tc>
        <w:tc>
          <w:tcPr>
            <w:tcW w:w="3457" w:type="pct"/>
            <w:vAlign w:val="center"/>
          </w:tcPr>
          <w:p>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w:t>
            </w:r>
            <w:r>
              <w:rPr>
                <w:rFonts w:hint="eastAsia" w:ascii="宋体" w:hAnsi="宋体" w:cs="宋体"/>
                <w:color w:val="000000" w:themeColor="text1"/>
                <w:sz w:val="21"/>
                <w:szCs w:val="21"/>
                <w:lang w:val="en-US" w:eastAsia="zh-CN"/>
                <w14:textFill>
                  <w14:solidFill>
                    <w14:schemeClr w14:val="tx1"/>
                  </w14:solidFill>
                </w14:textFill>
              </w:rPr>
              <w:t>:</w:t>
            </w:r>
          </w:p>
          <w:p>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投标人的地址</w:t>
            </w:r>
            <w:r>
              <w:rPr>
                <w:rFonts w:hint="eastAsia" w:ascii="宋体" w:hAnsi="宋体" w:cs="宋体"/>
                <w:color w:val="000000" w:themeColor="text1"/>
                <w:sz w:val="21"/>
                <w:szCs w:val="21"/>
                <w:lang w:val="en-US" w:eastAsia="zh-CN"/>
                <w14:textFill>
                  <w14:solidFill>
                    <w14:schemeClr w14:val="tx1"/>
                  </w14:solidFill>
                </w14:textFill>
              </w:rPr>
              <w:t>:</w:t>
            </w:r>
          </w:p>
          <w:p>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cs="宋体"/>
                <w:color w:val="000000" w:themeColor="text1"/>
                <w:sz w:val="21"/>
                <w:szCs w:val="21"/>
                <w:lang w:val="en-US" w:eastAsia="zh-CN"/>
                <w14:textFill>
                  <w14:solidFill>
                    <w14:schemeClr w14:val="tx1"/>
                  </w14:solidFill>
                </w14:textFill>
              </w:rPr>
              <w:t>:</w:t>
            </w:r>
          </w:p>
          <w:p>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投标文件在投标截止时间（年 月 日 时）前不得开启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4.2.1</w:t>
            </w:r>
          </w:p>
        </w:tc>
        <w:tc>
          <w:tcPr>
            <w:tcW w:w="1001" w:type="pct"/>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投标人投标及投标截止时间</w:t>
            </w:r>
          </w:p>
        </w:tc>
        <w:tc>
          <w:tcPr>
            <w:tcW w:w="3457" w:type="pct"/>
            <w:vAlign w:val="center"/>
          </w:tcPr>
          <w:p>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递交投标文件开始时间：202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00分</w:t>
            </w:r>
            <w:r>
              <w:rPr>
                <w:rFonts w:hint="eastAsia" w:ascii="宋体" w:hAnsi="宋体" w:eastAsia="宋体" w:cs="宋体"/>
                <w:color w:val="000000" w:themeColor="text1"/>
                <w:sz w:val="21"/>
                <w:szCs w:val="21"/>
                <w:highlight w:val="none"/>
                <w14:textFill>
                  <w14:solidFill>
                    <w14:schemeClr w14:val="tx1"/>
                  </w14:solidFill>
                </w14:textFill>
              </w:rPr>
              <w:t>（北京时间）</w:t>
            </w:r>
          </w:p>
          <w:p>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递交投标文件截止时间：202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30分</w:t>
            </w:r>
            <w:r>
              <w:rPr>
                <w:rFonts w:hint="eastAsia" w:ascii="宋体" w:hAnsi="宋体" w:eastAsia="宋体" w:cs="宋体"/>
                <w:color w:val="000000" w:themeColor="text1"/>
                <w:sz w:val="21"/>
                <w:szCs w:val="21"/>
                <w:highlight w:val="none"/>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rPr>
        <w:tc>
          <w:tcPr>
            <w:tcW w:w="540" w:type="pct"/>
            <w:vAlign w:val="center"/>
          </w:tcPr>
          <w:p>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4.2.2</w:t>
            </w:r>
          </w:p>
        </w:tc>
        <w:tc>
          <w:tcPr>
            <w:tcW w:w="1001" w:type="pct"/>
            <w:vAlign w:val="center"/>
          </w:tcPr>
          <w:p>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递交投标文件地点</w:t>
            </w:r>
          </w:p>
        </w:tc>
        <w:tc>
          <w:tcPr>
            <w:tcW w:w="3457" w:type="pct"/>
            <w:vAlign w:val="center"/>
          </w:tcPr>
          <w:p>
            <w:pPr>
              <w:pStyle w:val="354"/>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olor w:val="auto"/>
                <w:szCs w:val="21"/>
                <w:highlight w:val="none"/>
                <w:lang w:eastAsia="zh-CN"/>
              </w:rPr>
              <w:t>重庆市大足区</w:t>
            </w:r>
            <w:r>
              <w:rPr>
                <w:rFonts w:hint="eastAsia" w:ascii="宋体" w:hAnsi="宋体"/>
                <w:color w:val="auto"/>
                <w:szCs w:val="21"/>
                <w:highlight w:val="none"/>
                <w:lang w:val="en-US" w:eastAsia="zh-CN"/>
              </w:rPr>
              <w:t>人民政府龙滩子街道办事处</w:t>
            </w:r>
            <w:r>
              <w:rPr>
                <w:rFonts w:hint="eastAsia" w:ascii="宋体" w:hAnsi="宋体"/>
                <w:color w:val="auto"/>
                <w:szCs w:val="21"/>
                <w:highlight w:val="none"/>
                <w:lang w:eastAsia="zh-CN"/>
              </w:rPr>
              <w:t>社办公室</w:t>
            </w:r>
            <w:r>
              <w:rPr>
                <w:rFonts w:hint="eastAsia" w:ascii="宋体" w:hAnsi="宋体"/>
                <w:color w:val="auto"/>
                <w:szCs w:val="21"/>
                <w:highlight w:val="none"/>
                <w:lang w:val="en-US" w:eastAsia="zh-CN"/>
              </w:rPr>
              <w:t>3楼会议室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4.2.3</w:t>
            </w:r>
          </w:p>
        </w:tc>
        <w:tc>
          <w:tcPr>
            <w:tcW w:w="1001" w:type="pct"/>
            <w:vAlign w:val="center"/>
          </w:tcPr>
          <w:p>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是否退还投标文件</w:t>
            </w:r>
          </w:p>
        </w:tc>
        <w:tc>
          <w:tcPr>
            <w:tcW w:w="3457" w:type="pct"/>
            <w:vAlign w:val="center"/>
          </w:tcPr>
          <w:p>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不退还投标文件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5.1</w:t>
            </w:r>
          </w:p>
        </w:tc>
        <w:tc>
          <w:tcPr>
            <w:tcW w:w="1001"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开标时间和地点</w:t>
            </w:r>
          </w:p>
        </w:tc>
        <w:tc>
          <w:tcPr>
            <w:tcW w:w="3457" w:type="pct"/>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开标时间：</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30分</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开标地点：重庆市大足区</w:t>
            </w:r>
            <w:r>
              <w:rPr>
                <w:rFonts w:hint="eastAsia" w:ascii="宋体" w:hAnsi="宋体" w:cs="宋体"/>
                <w:color w:val="000000" w:themeColor="text1"/>
                <w:highlight w:val="none"/>
                <w:lang w:val="en-US" w:eastAsia="zh-CN"/>
                <w14:textFill>
                  <w14:solidFill>
                    <w14:schemeClr w14:val="tx1"/>
                  </w14:solidFill>
                </w14:textFill>
              </w:rPr>
              <w:t>人民政府龙滩子街道办事处办公室3楼会议室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6.1.</w:t>
            </w:r>
          </w:p>
        </w:tc>
        <w:tc>
          <w:tcPr>
            <w:tcW w:w="1001"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评标委员</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会的组建</w:t>
            </w:r>
          </w:p>
        </w:tc>
        <w:tc>
          <w:tcPr>
            <w:tcW w:w="3457" w:type="pct"/>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auto"/>
                <w:kern w:val="0"/>
                <w:szCs w:val="21"/>
                <w:lang w:val="en-US" w:eastAsia="zh-CN"/>
              </w:rPr>
              <w:t>招标人依法组建评标委员会，评标委员会构成：3人。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7.1</w:t>
            </w:r>
          </w:p>
        </w:tc>
        <w:tc>
          <w:tcPr>
            <w:tcW w:w="1001" w:type="pct"/>
            <w:vAlign w:val="center"/>
          </w:tcPr>
          <w:p>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是否授权评标委员会确定中标人</w:t>
            </w:r>
          </w:p>
        </w:tc>
        <w:tc>
          <w:tcPr>
            <w:tcW w:w="3457" w:type="pct"/>
            <w:vAlign w:val="center"/>
          </w:tcPr>
          <w:p>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评标委员会推荐中标候选人1-3名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8.1</w:t>
            </w:r>
          </w:p>
        </w:tc>
        <w:tc>
          <w:tcPr>
            <w:tcW w:w="1001" w:type="pct"/>
            <w:vAlign w:val="center"/>
          </w:tcPr>
          <w:p>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3457" w:type="pct"/>
            <w:vAlign w:val="center"/>
          </w:tcPr>
          <w:p>
            <w:pPr>
              <w:keepNext w:val="0"/>
              <w:keepLines w:val="0"/>
              <w:pageBreakBefore w:val="0"/>
              <w:widowControl/>
              <w:tabs>
                <w:tab w:val="left" w:pos="0"/>
              </w:tabs>
              <w:kinsoku/>
              <w:wordWrap/>
              <w:overflowPunct/>
              <w:topLinePunct w:val="0"/>
              <w:autoSpaceDE/>
              <w:autoSpaceDN/>
              <w:bidi w:val="0"/>
              <w:adjustRightInd/>
              <w:spacing w:line="4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发包人以转账汇款方式支付工程款（进度款）：</w:t>
            </w:r>
          </w:p>
          <w:p>
            <w:pPr>
              <w:keepNext w:val="0"/>
              <w:keepLines w:val="0"/>
              <w:pageBreakBefore w:val="0"/>
              <w:widowControl/>
              <w:tabs>
                <w:tab w:val="left" w:pos="0"/>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highlight w:val="green"/>
                <w14:textFill>
                  <w14:solidFill>
                    <w14:schemeClr w14:val="tx1"/>
                  </w14:solidFill>
                </w14:textFill>
              </w:rPr>
            </w:pPr>
            <w:r>
              <w:rPr>
                <w:rFonts w:hint="eastAsia" w:ascii="宋体" w:hAnsi="宋体" w:eastAsia="宋体" w:cs="宋体"/>
                <w:color w:val="auto"/>
                <w:kern w:val="0"/>
                <w:szCs w:val="21"/>
                <w:highlight w:val="none"/>
                <w:lang w:val="en-US" w:eastAsia="zh-CN"/>
              </w:rPr>
              <w:t>1）</w:t>
            </w:r>
            <w:r>
              <w:rPr>
                <w:rFonts w:hint="eastAsia" w:ascii="宋体" w:hAnsi="宋体" w:cs="宋体"/>
                <w:color w:val="auto"/>
                <w:kern w:val="0"/>
                <w:szCs w:val="21"/>
                <w:highlight w:val="none"/>
                <w:lang w:val="en-US" w:eastAsia="zh-CN"/>
              </w:rPr>
              <w:t>本工程不支持预付款，工程完工并验收合格、审计完成后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w:t>
            </w:r>
            <w:r>
              <w:rPr>
                <w:rFonts w:hint="eastAsia" w:ascii="宋体" w:hAnsi="宋体" w:cs="宋体"/>
                <w:color w:val="auto"/>
                <w:kern w:val="0"/>
                <w:szCs w:val="21"/>
                <w:highlight w:val="none"/>
                <w:lang w:val="en-US" w:eastAsia="zh-CN"/>
              </w:rPr>
              <w:t>（根据上级专项资金到位情况进行拨付）</w:t>
            </w:r>
            <w:r>
              <w:rPr>
                <w:rFonts w:hint="eastAsia" w:ascii="宋体" w:hAnsi="宋体" w:eastAsia="宋体" w:cs="宋体"/>
                <w:color w:val="auto"/>
                <w:kern w:val="0"/>
                <w:szCs w:val="21"/>
                <w:highlight w:val="none"/>
                <w:lang w:val="en-US" w:eastAsia="zh-CN"/>
              </w:rPr>
              <w:t>，剩余3%作为质量保证金，保修期满后</w:t>
            </w:r>
            <w:r>
              <w:rPr>
                <w:rFonts w:hint="eastAsia" w:ascii="宋体" w:hAnsi="宋体" w:cs="宋体"/>
                <w:color w:val="auto"/>
                <w:kern w:val="0"/>
                <w:szCs w:val="21"/>
                <w:highlight w:val="none"/>
                <w:lang w:val="en-US" w:eastAsia="zh-CN"/>
              </w:rPr>
              <w:t>一次性</w:t>
            </w:r>
            <w:r>
              <w:rPr>
                <w:rFonts w:hint="eastAsia" w:ascii="宋体" w:hAnsi="宋体" w:eastAsia="宋体" w:cs="宋体"/>
                <w:color w:val="auto"/>
                <w:kern w:val="0"/>
                <w:szCs w:val="21"/>
                <w:highlight w:val="none"/>
                <w:lang w:val="en-US" w:eastAsia="zh-CN"/>
              </w:rPr>
              <w:t>支付剩余的3%。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8.2</w:t>
            </w:r>
          </w:p>
        </w:tc>
        <w:tc>
          <w:tcPr>
            <w:tcW w:w="1001"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履约保证金</w:t>
            </w:r>
          </w:p>
        </w:tc>
        <w:tc>
          <w:tcPr>
            <w:tcW w:w="3457" w:type="pct"/>
            <w:vAlign w:val="center"/>
          </w:tcPr>
          <w:p>
            <w:pPr>
              <w:pStyle w:val="1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trike/>
                <w:color w:val="000000" w:themeColor="text1"/>
                <w:kern w:val="0"/>
                <w:szCs w:val="21"/>
                <w14:textFill>
                  <w14:solidFill>
                    <w14:schemeClr w14:val="tx1"/>
                  </w14:solidFill>
                </w14:textFill>
              </w:rPr>
            </w:pPr>
            <w:r>
              <w:rPr>
                <w:rFonts w:hint="eastAsia" w:ascii="宋体" w:hAnsi="宋体" w:eastAsia="宋体" w:cs="宋体"/>
                <w:color w:val="auto"/>
                <w:kern w:val="0"/>
                <w:sz w:val="21"/>
                <w:szCs w:val="21"/>
                <w:highlight w:val="none"/>
                <w:lang w:val="en-US" w:eastAsia="zh-CN" w:bidi="ar-SA"/>
              </w:rPr>
              <w:t>无</w:t>
            </w:r>
            <w:r>
              <w:rPr>
                <w:rFonts w:hint="eastAsia" w:ascii="宋体" w:hAnsi="宋体"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bookmarkStart w:id="68" w:name="_Toc419974478"/>
            <w:bookmarkStart w:id="69" w:name="_Toc419974236"/>
            <w:bookmarkStart w:id="70" w:name="_Toc428518721"/>
            <w:bookmarkStart w:id="71" w:name="_Toc430185956"/>
            <w:bookmarkStart w:id="72" w:name="_Toc430184672"/>
            <w:bookmarkStart w:id="73" w:name="_Toc338941631"/>
            <w:bookmarkStart w:id="74" w:name="_Toc370384625"/>
            <w:bookmarkStart w:id="75" w:name="_Toc428172725"/>
            <w:bookmarkStart w:id="76" w:name="_Toc419977262"/>
            <w:bookmarkStart w:id="77" w:name="_Toc200513126"/>
            <w:r>
              <w:rPr>
                <w:rFonts w:hint="eastAsia" w:ascii="宋体" w:hAnsi="宋体" w:eastAsia="宋体" w:cs="宋体"/>
                <w:color w:val="000000" w:themeColor="text1"/>
                <w:kern w:val="0"/>
                <w:szCs w:val="21"/>
                <w14:textFill>
                  <w14:solidFill>
                    <w14:schemeClr w14:val="tx1"/>
                  </w14:solidFill>
                </w14:textFill>
              </w:rPr>
              <w:t>8.3</w:t>
            </w:r>
          </w:p>
        </w:tc>
        <w:tc>
          <w:tcPr>
            <w:tcW w:w="1001"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代理服务费</w:t>
            </w:r>
          </w:p>
        </w:tc>
        <w:tc>
          <w:tcPr>
            <w:tcW w:w="3457" w:type="pct"/>
            <w:vAlign w:val="center"/>
          </w:tcPr>
          <w:p>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按</w:t>
            </w:r>
            <w:r>
              <w:rPr>
                <w:rFonts w:hint="eastAsia" w:ascii="宋体" w:hAnsi="宋体" w:cs="宋体"/>
                <w:color w:val="000000" w:themeColor="text1"/>
                <w:lang w:val="en-US" w:eastAsia="zh-CN"/>
                <w14:textFill>
                  <w14:solidFill>
                    <w14:schemeClr w14:val="tx1"/>
                  </w14:solidFill>
                </w14:textFill>
              </w:rPr>
              <w:t>招标代理合同执行。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9.1</w:t>
            </w:r>
          </w:p>
        </w:tc>
        <w:tc>
          <w:tcPr>
            <w:tcW w:w="1001" w:type="pc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投标程序</w:t>
            </w:r>
          </w:p>
        </w:tc>
        <w:tc>
          <w:tcPr>
            <w:tcW w:w="3457" w:type="pct"/>
            <w:vAlign w:val="center"/>
          </w:tcPr>
          <w:p>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（1）提交</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购买费</w:t>
            </w:r>
            <w:r>
              <w:rPr>
                <w:rFonts w:hint="eastAsia" w:ascii="宋体" w:hAnsi="宋体" w:cs="宋体"/>
                <w:color w:val="000000" w:themeColor="text1"/>
                <w:lang w:eastAsia="zh-CN"/>
                <w14:textFill>
                  <w14:solidFill>
                    <w14:schemeClr w14:val="tx1"/>
                  </w14:solidFill>
                </w14:textFill>
              </w:rPr>
              <w:t>交纳</w:t>
            </w:r>
            <w:r>
              <w:rPr>
                <w:rFonts w:hint="eastAsia" w:ascii="宋体" w:hAnsi="宋体" w:eastAsia="宋体" w:cs="宋体"/>
                <w:color w:val="000000" w:themeColor="text1"/>
                <w14:textFill>
                  <w14:solidFill>
                    <w14:schemeClr w14:val="tx1"/>
                  </w14:solidFill>
                </w14:textFill>
              </w:rPr>
              <w:t>凭据复印件，加盖供应商公章；</w:t>
            </w:r>
          </w:p>
          <w:p>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（2）递交</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发售登记表，加盖供应商公章；</w:t>
            </w:r>
          </w:p>
          <w:p>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）按规定递交投标文件。</w:t>
            </w:r>
          </w:p>
          <w:p>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说明：相关原件递交起止时间：如果</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要求必须提交的相关原件，其递交时间与投标文件递交时间一致（逾期不予受理）。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投标人须知前附表与投标人须知正文不一致的以投标人须知前附表内容为准。</w:t>
            </w:r>
          </w:p>
        </w:tc>
      </w:tr>
    </w:tbl>
    <w:p>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78" w:name="_Toc86934195"/>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79" w:name="_Toc11384"/>
      <w:r>
        <w:rPr>
          <w:rFonts w:hint="eastAsia" w:ascii="宋体" w:hAnsi="宋体" w:eastAsia="宋体" w:cs="宋体"/>
          <w:snapToGrid w:val="0"/>
          <w:color w:val="000000" w:themeColor="text1"/>
          <w:sz w:val="21"/>
          <w:szCs w:val="21"/>
          <w14:textFill>
            <w14:solidFill>
              <w14:schemeClr w14:val="tx1"/>
            </w14:solidFill>
          </w14:textFill>
        </w:rPr>
        <w:t>1.  总则</w:t>
      </w:r>
      <w:bookmarkEnd w:id="68"/>
      <w:bookmarkEnd w:id="69"/>
      <w:bookmarkEnd w:id="70"/>
      <w:bookmarkEnd w:id="71"/>
      <w:bookmarkEnd w:id="72"/>
      <w:bookmarkEnd w:id="73"/>
      <w:bookmarkEnd w:id="74"/>
      <w:bookmarkEnd w:id="75"/>
      <w:bookmarkEnd w:id="76"/>
      <w:bookmarkEnd w:id="77"/>
      <w:bookmarkEnd w:id="78"/>
      <w:bookmarkEnd w:id="79"/>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80" w:name="_Toc86934196"/>
      <w:bookmarkStart w:id="81" w:name="_Toc428172726"/>
      <w:bookmarkStart w:id="82" w:name="_Toc370384626"/>
      <w:bookmarkStart w:id="83" w:name="_Toc430185957"/>
      <w:bookmarkStart w:id="84" w:name="_Toc200513127"/>
      <w:bookmarkStart w:id="85" w:name="_Toc428518722"/>
      <w:bookmarkStart w:id="86" w:name="_Toc28637"/>
      <w:bookmarkStart w:id="87" w:name="_Toc419974237"/>
      <w:bookmarkStart w:id="88" w:name="_Toc338941632"/>
      <w:bookmarkStart w:id="89" w:name="_Toc419974479"/>
      <w:bookmarkStart w:id="90" w:name="_Toc430184673"/>
      <w:bookmarkStart w:id="91" w:name="_Toc419977263"/>
      <w:r>
        <w:rPr>
          <w:rFonts w:hint="eastAsia" w:ascii="宋体" w:hAnsi="宋体" w:eastAsia="宋体" w:cs="宋体"/>
          <w:snapToGrid w:val="0"/>
          <w:color w:val="000000" w:themeColor="text1"/>
          <w:sz w:val="21"/>
          <w:szCs w:val="21"/>
          <w14:textFill>
            <w14:solidFill>
              <w14:schemeClr w14:val="tx1"/>
            </w14:solidFill>
          </w14:textFill>
        </w:rPr>
        <w:t>1.1  项目概况</w:t>
      </w:r>
      <w:bookmarkEnd w:id="80"/>
      <w:bookmarkEnd w:id="81"/>
      <w:bookmarkEnd w:id="82"/>
      <w:bookmarkEnd w:id="83"/>
      <w:bookmarkEnd w:id="84"/>
      <w:bookmarkEnd w:id="85"/>
      <w:bookmarkEnd w:id="86"/>
      <w:bookmarkEnd w:id="87"/>
      <w:bookmarkEnd w:id="88"/>
      <w:bookmarkEnd w:id="89"/>
      <w:bookmarkEnd w:id="90"/>
      <w:bookmarkEnd w:id="91"/>
    </w:p>
    <w:p>
      <w:pPr>
        <w:pStyle w:val="38"/>
        <w:keepNext w:val="0"/>
        <w:keepLines w:val="0"/>
        <w:pageBreakBefore w:val="0"/>
        <w:kinsoku/>
        <w:wordWrap/>
        <w:overflowPunct/>
        <w:topLinePunct w:val="0"/>
        <w:bidi w:val="0"/>
        <w:spacing w:before="0" w:beforeAutospacing="0" w:after="0" w:afterAutospacing="0" w:line="400" w:lineRule="exact"/>
        <w:ind w:firstLine="420" w:firstLineChars="200"/>
        <w:jc w:val="both"/>
        <w:textAlignment w:val="auto"/>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1.1.1  根据《中华人民共和国招标投标法》等有关法律、法规和规章的规定，本比选项目已具备比选条件，现对本项目施工进行</w:t>
      </w:r>
      <w:r>
        <w:rPr>
          <w:rFonts w:hint="eastAsia" w:ascii="宋体" w:hAnsi="宋体" w:cs="宋体"/>
          <w:snapToGrid w:val="0"/>
          <w:color w:val="000000" w:themeColor="text1"/>
          <w:sz w:val="21"/>
          <w:szCs w:val="21"/>
          <w:lang w:eastAsia="zh-CN"/>
          <w14:textFill>
            <w14:solidFill>
              <w14:schemeClr w14:val="tx1"/>
            </w14:solidFill>
          </w14:textFill>
        </w:rPr>
        <w:t>竞争性</w:t>
      </w:r>
      <w:r>
        <w:rPr>
          <w:rFonts w:hint="eastAsia" w:ascii="宋体" w:hAnsi="宋体" w:eastAsia="宋体" w:cs="宋体"/>
          <w:snapToGrid w:val="0"/>
          <w:color w:val="000000" w:themeColor="text1"/>
          <w:sz w:val="21"/>
          <w:szCs w:val="21"/>
          <w14:textFill>
            <w14:solidFill>
              <w14:schemeClr w14:val="tx1"/>
            </w14:solidFill>
          </w14:textFill>
        </w:rPr>
        <w:t>比选。</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92" w:name="_Toc200513132"/>
      <w:bookmarkStart w:id="93" w:name="_Toc419974241"/>
      <w:bookmarkStart w:id="94" w:name="_Toc338941636"/>
      <w:bookmarkStart w:id="95" w:name="_Toc419977267"/>
      <w:bookmarkStart w:id="96" w:name="_Toc17915"/>
      <w:bookmarkStart w:id="97" w:name="_Toc430185961"/>
      <w:bookmarkStart w:id="98" w:name="_Toc430184677"/>
      <w:bookmarkStart w:id="99" w:name="_Toc428172730"/>
      <w:bookmarkStart w:id="100" w:name="_Toc86934197"/>
      <w:bookmarkStart w:id="101" w:name="_Toc428518726"/>
      <w:bookmarkStart w:id="102" w:name="_Toc370384630"/>
      <w:bookmarkStart w:id="103" w:name="_Toc419974483"/>
      <w:r>
        <w:rPr>
          <w:rFonts w:hint="eastAsia" w:ascii="宋体" w:hAnsi="宋体" w:eastAsia="宋体" w:cs="宋体"/>
          <w:snapToGrid w:val="0"/>
          <w:color w:val="000000" w:themeColor="text1"/>
          <w:sz w:val="21"/>
          <w:szCs w:val="21"/>
          <w14:textFill>
            <w14:solidFill>
              <w14:schemeClr w14:val="tx1"/>
            </w14:solidFill>
          </w14:textFill>
        </w:rPr>
        <w:t>1.5  费用承担</w:t>
      </w:r>
      <w:bookmarkEnd w:id="92"/>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snapToGrid w:val="0"/>
          <w:color w:val="000000" w:themeColor="text1"/>
          <w:sz w:val="21"/>
          <w:szCs w:val="21"/>
          <w14:textFill>
            <w14:solidFill>
              <w14:schemeClr w14:val="tx1"/>
            </w14:solidFill>
          </w14:textFill>
        </w:rPr>
        <w:tab/>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投标人准备和参加比选活动发生的费用自理。</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04" w:name="_Toc419977268"/>
      <w:bookmarkStart w:id="105" w:name="_Toc338941637"/>
      <w:bookmarkStart w:id="106" w:name="_Toc428518727"/>
      <w:bookmarkStart w:id="107" w:name="_Toc29549"/>
      <w:bookmarkStart w:id="108" w:name="_Toc86934198"/>
      <w:bookmarkStart w:id="109" w:name="_Toc526309961"/>
      <w:bookmarkStart w:id="110" w:name="_Toc419974484"/>
      <w:bookmarkStart w:id="111" w:name="_Toc200513133"/>
      <w:bookmarkStart w:id="112" w:name="_Toc419974242"/>
      <w:bookmarkStart w:id="113" w:name="_Toc370384631"/>
      <w:bookmarkStart w:id="114" w:name="_Toc430184678"/>
      <w:bookmarkStart w:id="115" w:name="_Toc428172731"/>
      <w:bookmarkStart w:id="116" w:name="_Toc430185962"/>
      <w:r>
        <w:rPr>
          <w:rFonts w:hint="eastAsia" w:ascii="宋体" w:hAnsi="宋体" w:eastAsia="宋体" w:cs="宋体"/>
          <w:snapToGrid w:val="0"/>
          <w:color w:val="000000" w:themeColor="text1"/>
          <w:sz w:val="21"/>
          <w:szCs w:val="21"/>
          <w14:textFill>
            <w14:solidFill>
              <w14:schemeClr w14:val="tx1"/>
            </w14:solidFill>
          </w14:textFill>
        </w:rPr>
        <w:t>1.6 保密</w:t>
      </w:r>
      <w:bookmarkEnd w:id="104"/>
      <w:bookmarkEnd w:id="105"/>
      <w:bookmarkEnd w:id="106"/>
      <w:bookmarkEnd w:id="107"/>
      <w:bookmarkEnd w:id="108"/>
      <w:bookmarkEnd w:id="109"/>
      <w:bookmarkEnd w:id="110"/>
      <w:bookmarkEnd w:id="111"/>
      <w:bookmarkEnd w:id="112"/>
      <w:bookmarkEnd w:id="113"/>
      <w:bookmarkEnd w:id="114"/>
      <w:bookmarkEnd w:id="115"/>
      <w:bookmarkEnd w:id="116"/>
    </w:p>
    <w:p>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参与比选活动的各方应对比选文件和投标文件中的商业和技术等秘密保密，违者应对由此造成的后果承担法律责任。</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17" w:name="_Toc419977269"/>
      <w:bookmarkStart w:id="118" w:name="_Toc428518728"/>
      <w:bookmarkStart w:id="119" w:name="_Toc370384632"/>
      <w:bookmarkStart w:id="120" w:name="_Toc430185963"/>
      <w:bookmarkStart w:id="121" w:name="_Toc86934199"/>
      <w:bookmarkStart w:id="122" w:name="_Toc430184679"/>
      <w:bookmarkStart w:id="123" w:name="_Toc428172732"/>
      <w:bookmarkStart w:id="124" w:name="_Toc419974243"/>
      <w:bookmarkStart w:id="125" w:name="_Toc200513134"/>
      <w:bookmarkStart w:id="126" w:name="_Toc27047"/>
      <w:bookmarkStart w:id="127" w:name="_Toc419974485"/>
      <w:bookmarkStart w:id="128" w:name="_Toc338941638"/>
      <w:bookmarkStart w:id="129" w:name="_Toc526309962"/>
      <w:r>
        <w:rPr>
          <w:rFonts w:hint="eastAsia" w:ascii="宋体" w:hAnsi="宋体" w:eastAsia="宋体" w:cs="宋体"/>
          <w:snapToGrid w:val="0"/>
          <w:color w:val="000000" w:themeColor="text1"/>
          <w:sz w:val="21"/>
          <w:szCs w:val="21"/>
          <w14:textFill>
            <w14:solidFill>
              <w14:schemeClr w14:val="tx1"/>
            </w14:solidFill>
          </w14:textFill>
        </w:rPr>
        <w:t>1.7 语言文字</w:t>
      </w:r>
      <w:bookmarkEnd w:id="117"/>
      <w:bookmarkEnd w:id="118"/>
      <w:bookmarkEnd w:id="119"/>
      <w:bookmarkEnd w:id="120"/>
      <w:bookmarkEnd w:id="121"/>
      <w:bookmarkEnd w:id="122"/>
      <w:bookmarkEnd w:id="123"/>
      <w:bookmarkEnd w:id="124"/>
      <w:bookmarkEnd w:id="125"/>
      <w:bookmarkEnd w:id="126"/>
      <w:bookmarkEnd w:id="127"/>
      <w:bookmarkEnd w:id="128"/>
      <w:bookmarkEnd w:id="129"/>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除专用术语外，与比选有关的语言均使用中文。必要时专用术语应附有中文注释。</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30" w:name="_Toc526309963"/>
      <w:bookmarkStart w:id="131" w:name="_Toc419977270"/>
      <w:bookmarkStart w:id="132" w:name="_Toc370384633"/>
      <w:bookmarkStart w:id="133" w:name="_Toc8569"/>
      <w:bookmarkStart w:id="134" w:name="_Toc200513135"/>
      <w:bookmarkStart w:id="135" w:name="_Toc419974486"/>
      <w:bookmarkStart w:id="136" w:name="_Toc428518729"/>
      <w:bookmarkStart w:id="137" w:name="_Toc428172733"/>
      <w:bookmarkStart w:id="138" w:name="_Toc338941639"/>
      <w:bookmarkStart w:id="139" w:name="_Toc419974244"/>
      <w:bookmarkStart w:id="140" w:name="_Toc430184680"/>
      <w:bookmarkStart w:id="141" w:name="_Toc430185964"/>
      <w:bookmarkStart w:id="142" w:name="_Toc86934200"/>
      <w:r>
        <w:rPr>
          <w:rFonts w:hint="eastAsia" w:ascii="宋体" w:hAnsi="宋体" w:eastAsia="宋体" w:cs="宋体"/>
          <w:snapToGrid w:val="0"/>
          <w:color w:val="000000" w:themeColor="text1"/>
          <w:sz w:val="21"/>
          <w:szCs w:val="21"/>
          <w14:textFill>
            <w14:solidFill>
              <w14:schemeClr w14:val="tx1"/>
            </w14:solidFill>
          </w14:textFill>
        </w:rPr>
        <w:t>1.8  计量单位</w:t>
      </w:r>
      <w:bookmarkEnd w:id="130"/>
      <w:bookmarkEnd w:id="131"/>
      <w:bookmarkEnd w:id="132"/>
      <w:bookmarkEnd w:id="133"/>
      <w:bookmarkEnd w:id="134"/>
      <w:bookmarkEnd w:id="135"/>
      <w:bookmarkEnd w:id="136"/>
      <w:bookmarkEnd w:id="137"/>
      <w:bookmarkEnd w:id="138"/>
      <w:bookmarkEnd w:id="139"/>
      <w:bookmarkEnd w:id="140"/>
      <w:bookmarkEnd w:id="141"/>
      <w:bookmarkEnd w:id="142"/>
    </w:p>
    <w:p>
      <w:pPr>
        <w:keepNext w:val="0"/>
        <w:keepLines w:val="0"/>
        <w:pageBreakBefore w:val="0"/>
        <w:kinsoku/>
        <w:wordWrap/>
        <w:overflowPunct/>
        <w:topLinePunct w:val="0"/>
        <w:autoSpaceDE w:val="0"/>
        <w:autoSpaceDN w:val="0"/>
        <w:bidi w:val="0"/>
        <w:adjustRightInd w:val="0"/>
        <w:snapToGrid w:val="0"/>
        <w:spacing w:line="400" w:lineRule="exact"/>
        <w:ind w:firstLine="424" w:firstLineChars="202"/>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所有计量均采用中华人民共和国法定计量单位。</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43" w:name="_Toc338941650"/>
      <w:bookmarkStart w:id="144" w:name="_Toc370384644"/>
      <w:bookmarkStart w:id="145" w:name="_Toc10224"/>
      <w:bookmarkStart w:id="146" w:name="_Toc419974255"/>
      <w:bookmarkStart w:id="147" w:name="_Toc86934201"/>
      <w:bookmarkStart w:id="148" w:name="_Toc430185975"/>
      <w:bookmarkStart w:id="149" w:name="_Toc428518740"/>
      <w:bookmarkStart w:id="150" w:name="_Toc430184691"/>
      <w:bookmarkStart w:id="151" w:name="_Toc419977281"/>
      <w:bookmarkStart w:id="152" w:name="_Toc419974497"/>
      <w:bookmarkStart w:id="153" w:name="_Toc428172744"/>
      <w:bookmarkStart w:id="154" w:name="_Toc200513148"/>
      <w:r>
        <w:rPr>
          <w:rFonts w:hint="eastAsia" w:ascii="宋体" w:hAnsi="宋体" w:eastAsia="宋体" w:cs="宋体"/>
          <w:snapToGrid w:val="0"/>
          <w:color w:val="000000" w:themeColor="text1"/>
          <w:sz w:val="21"/>
          <w:szCs w:val="21"/>
          <w14:textFill>
            <w14:solidFill>
              <w14:schemeClr w14:val="tx1"/>
            </w14:solidFill>
          </w14:textFill>
        </w:rPr>
        <w:t>3.3  投标有效期</w:t>
      </w:r>
      <w:bookmarkEnd w:id="143"/>
      <w:bookmarkEnd w:id="144"/>
      <w:bookmarkEnd w:id="145"/>
      <w:bookmarkEnd w:id="146"/>
      <w:bookmarkEnd w:id="147"/>
      <w:bookmarkEnd w:id="148"/>
      <w:bookmarkEnd w:id="149"/>
      <w:bookmarkEnd w:id="150"/>
      <w:bookmarkEnd w:id="151"/>
      <w:bookmarkEnd w:id="152"/>
      <w:bookmarkEnd w:id="153"/>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3.3.1  在投标人须知前附表规定的投标有效期内，投标人不得要求撤销或修改其投标文件。</w:t>
      </w:r>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3.3.2  出现特殊情况需要延长投标有效期的，招标人应以书面形式通知所有投标人延长投标有效期。投标人同意延长的，应相应延长其投标保证金的有效期，但不得要求或被允许修改或撤销其投标文件；投标人拒绝延长的，其投标失效，但投标人有权收回其投标保证金。</w:t>
      </w:r>
    </w:p>
    <w:bookmarkEnd w:id="154"/>
    <w:p>
      <w:pPr>
        <w:keepNext w:val="0"/>
        <w:keepLines w:val="0"/>
        <w:pageBreakBefore w:val="0"/>
        <w:kinsoku/>
        <w:wordWrap/>
        <w:overflowPunct/>
        <w:topLinePunct w:val="0"/>
        <w:bidi w:val="0"/>
        <w:snapToGrid w:val="0"/>
        <w:spacing w:line="400" w:lineRule="exact"/>
        <w:ind w:right="-109"/>
        <w:textAlignment w:val="auto"/>
        <w:rPr>
          <w:rFonts w:hint="eastAsia" w:ascii="宋体" w:hAnsi="宋体" w:eastAsia="宋体" w:cs="宋体"/>
          <w:snapToGrid w:val="0"/>
          <w:color w:val="000000" w:themeColor="text1"/>
          <w:szCs w:val="21"/>
          <w14:textFill>
            <w14:solidFill>
              <w14:schemeClr w14:val="tx1"/>
            </w14:solidFill>
          </w14:textFill>
        </w:rPr>
      </w:pPr>
      <w:bookmarkStart w:id="155" w:name="_Toc200513152"/>
      <w:bookmarkStart w:id="156" w:name="_Toc224103343"/>
      <w:bookmarkStart w:id="157" w:name="_Toc377562417"/>
      <w:bookmarkStart w:id="158" w:name="_Toc381195127"/>
      <w:bookmarkStart w:id="159" w:name="_Toc283211704"/>
      <w:bookmarkStart w:id="160" w:name="_Toc86934203"/>
      <w:bookmarkStart w:id="161" w:name="_Toc467163746"/>
      <w:bookmarkStart w:id="162" w:name="_Toc381112795"/>
      <w:bookmarkStart w:id="163" w:name="_Toc381113475"/>
      <w:r>
        <w:rPr>
          <w:rFonts w:hint="eastAsia" w:ascii="宋体" w:hAnsi="宋体" w:eastAsia="宋体" w:cs="宋体"/>
          <w:b/>
          <w:snapToGrid w:val="0"/>
          <w:color w:val="000000" w:themeColor="text1"/>
          <w:kern w:val="0"/>
          <w:szCs w:val="21"/>
          <w14:textFill>
            <w14:solidFill>
              <w14:schemeClr w14:val="tx1"/>
            </w14:solidFill>
          </w14:textFill>
        </w:rPr>
        <w:t>3.7  投标文件的编制</w:t>
      </w:r>
      <w:bookmarkEnd w:id="155"/>
      <w:bookmarkEnd w:id="156"/>
      <w:bookmarkEnd w:id="157"/>
      <w:bookmarkEnd w:id="158"/>
      <w:bookmarkEnd w:id="159"/>
      <w:bookmarkEnd w:id="160"/>
      <w:bookmarkEnd w:id="161"/>
      <w:bookmarkEnd w:id="162"/>
      <w:bookmarkEnd w:id="163"/>
    </w:p>
    <w:p>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3.7.1投标文件应按比选文件“投标文件格式”进行编写，如有必要，可以增加附页，作为投标文件的组成部分。</w:t>
      </w:r>
    </w:p>
    <w:p>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3.7.2 投标文件应当对招标文件有关工期、投标有效期、质量要求、技术标准和要求、招标范围等实质性内容作出响应。</w:t>
      </w:r>
    </w:p>
    <w:p>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3.7.3投标文件应用不褪色的材料书写或打印，并由投标人的法定代表人或其委托代理人签字或加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 </w:t>
      </w:r>
    </w:p>
    <w:p>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3.7.4 </w:t>
      </w:r>
      <w:r>
        <w:rPr>
          <w:rFonts w:hint="eastAsia" w:ascii="宋体" w:hAnsi="宋体" w:eastAsia="宋体" w:cs="宋体"/>
          <w:color w:val="000000" w:themeColor="text1"/>
          <w:szCs w:val="21"/>
          <w:highlight w:val="none"/>
          <w14:textFill>
            <w14:solidFill>
              <w14:schemeClr w14:val="tx1"/>
            </w14:solidFill>
          </w14:textFill>
        </w:rPr>
        <w:t>投标文件正本一份 , 副本一份，</w:t>
      </w:r>
      <w:r>
        <w:rPr>
          <w:rFonts w:hint="eastAsia" w:ascii="宋体" w:hAnsi="宋体" w:eastAsia="宋体" w:cs="宋体"/>
          <w:color w:val="000000" w:themeColor="text1"/>
          <w:szCs w:val="21"/>
          <w14:textFill>
            <w14:solidFill>
              <w14:schemeClr w14:val="tx1"/>
            </w14:solidFill>
          </w14:textFill>
        </w:rPr>
        <w:t xml:space="preserve">见投标人须知前附表。正本和副本的封面上应清楚地标记“正本”或“副本”的字样。当副本和正本不一致时，以正本为准。 </w:t>
      </w:r>
    </w:p>
    <w:p>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3.7.5 投标文件的正本与副本应分别装订成册，并编制目录，具体装订要求见投标人须知前附表规定。 </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64" w:name="_Toc200513153"/>
      <w:bookmarkStart w:id="165" w:name="_Toc86934204"/>
      <w:bookmarkStart w:id="166" w:name="_Toc419974258"/>
      <w:bookmarkStart w:id="167" w:name="_Toc419977284"/>
      <w:bookmarkStart w:id="168" w:name="_Toc428172747"/>
      <w:bookmarkStart w:id="169" w:name="_Toc21105"/>
      <w:bookmarkStart w:id="170" w:name="_Toc428518743"/>
      <w:bookmarkStart w:id="171" w:name="_Toc430185978"/>
      <w:bookmarkStart w:id="172" w:name="_Toc430184694"/>
      <w:bookmarkStart w:id="173" w:name="_Toc338941653"/>
      <w:bookmarkStart w:id="174" w:name="_Toc370384647"/>
      <w:bookmarkStart w:id="175" w:name="_Toc419974500"/>
      <w:r>
        <w:rPr>
          <w:rFonts w:hint="eastAsia" w:ascii="宋体" w:hAnsi="宋体" w:eastAsia="宋体" w:cs="宋体"/>
          <w:snapToGrid w:val="0"/>
          <w:color w:val="000000" w:themeColor="text1"/>
          <w:sz w:val="21"/>
          <w:szCs w:val="21"/>
          <w14:textFill>
            <w14:solidFill>
              <w14:schemeClr w14:val="tx1"/>
            </w14:solidFill>
          </w14:textFill>
        </w:rPr>
        <w:t xml:space="preserve">4.  </w:t>
      </w:r>
      <w:bookmarkEnd w:id="164"/>
      <w:r>
        <w:rPr>
          <w:rFonts w:hint="eastAsia" w:ascii="宋体" w:hAnsi="宋体" w:eastAsia="宋体" w:cs="宋体"/>
          <w:snapToGrid w:val="0"/>
          <w:color w:val="000000" w:themeColor="text1"/>
          <w:sz w:val="21"/>
          <w:szCs w:val="21"/>
          <w14:textFill>
            <w14:solidFill>
              <w14:schemeClr w14:val="tx1"/>
            </w14:solidFill>
          </w14:textFill>
        </w:rPr>
        <w:t>投标文件</w:t>
      </w:r>
      <w:bookmarkEnd w:id="165"/>
      <w:bookmarkEnd w:id="166"/>
      <w:bookmarkEnd w:id="167"/>
      <w:bookmarkEnd w:id="168"/>
      <w:bookmarkEnd w:id="169"/>
      <w:bookmarkEnd w:id="170"/>
      <w:bookmarkEnd w:id="171"/>
      <w:bookmarkEnd w:id="172"/>
      <w:bookmarkEnd w:id="173"/>
      <w:bookmarkEnd w:id="174"/>
      <w:bookmarkEnd w:id="175"/>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76" w:name="_Toc428172748"/>
      <w:bookmarkStart w:id="177" w:name="_Toc428518744"/>
      <w:bookmarkStart w:id="178" w:name="_Toc430184695"/>
      <w:bookmarkStart w:id="179" w:name="_Toc558"/>
      <w:bookmarkStart w:id="180" w:name="_Toc430185979"/>
      <w:bookmarkStart w:id="181" w:name="_Toc338941654"/>
      <w:bookmarkStart w:id="182" w:name="_Toc370384648"/>
      <w:bookmarkStart w:id="183" w:name="_Toc419974259"/>
      <w:bookmarkStart w:id="184" w:name="_Toc419977285"/>
      <w:bookmarkStart w:id="185" w:name="_Toc419974501"/>
      <w:bookmarkStart w:id="186" w:name="_Toc86934205"/>
      <w:bookmarkStart w:id="187" w:name="_Toc200513154"/>
      <w:r>
        <w:rPr>
          <w:rFonts w:hint="eastAsia" w:ascii="宋体" w:hAnsi="宋体" w:eastAsia="宋体" w:cs="宋体"/>
          <w:snapToGrid w:val="0"/>
          <w:color w:val="000000" w:themeColor="text1"/>
          <w:sz w:val="21"/>
          <w:szCs w:val="21"/>
          <w14:textFill>
            <w14:solidFill>
              <w14:schemeClr w14:val="tx1"/>
            </w14:solidFill>
          </w14:textFill>
        </w:rPr>
        <w:t>4.1  投标文件的密封和标记</w:t>
      </w:r>
      <w:bookmarkEnd w:id="176"/>
      <w:bookmarkEnd w:id="177"/>
      <w:bookmarkEnd w:id="178"/>
      <w:bookmarkEnd w:id="179"/>
      <w:bookmarkEnd w:id="180"/>
      <w:bookmarkEnd w:id="181"/>
      <w:bookmarkEnd w:id="182"/>
      <w:bookmarkEnd w:id="183"/>
      <w:bookmarkEnd w:id="184"/>
      <w:bookmarkEnd w:id="185"/>
      <w:bookmarkEnd w:id="186"/>
      <w:bookmarkEnd w:id="187"/>
    </w:p>
    <w:p>
      <w:pPr>
        <w:keepNext w:val="0"/>
        <w:keepLines w:val="0"/>
        <w:pageBreakBefore w:val="0"/>
        <w:kinsoku/>
        <w:wordWrap/>
        <w:overflowPunct/>
        <w:topLinePunct w:val="0"/>
        <w:autoSpaceDE w:val="0"/>
        <w:autoSpaceDN w:val="0"/>
        <w:bidi w:val="0"/>
        <w:adjustRightInd w:val="0"/>
        <w:snapToGrid w:val="0"/>
        <w:spacing w:line="400" w:lineRule="exact"/>
        <w:ind w:left="12" w:leftChars="6" w:firstLine="344" w:firstLineChars="164"/>
        <w:jc w:val="left"/>
        <w:textAlignment w:val="auto"/>
        <w:rPr>
          <w:rFonts w:hint="eastAsia" w:ascii="宋体" w:hAnsi="宋体" w:eastAsia="宋体" w:cs="宋体"/>
          <w:snapToGrid w:val="0"/>
          <w:color w:val="000000" w:themeColor="text1"/>
          <w:kern w:val="0"/>
          <w:szCs w:val="21"/>
          <w14:textFill>
            <w14:solidFill>
              <w14:schemeClr w14:val="tx1"/>
            </w14:solidFill>
          </w14:textFill>
        </w:rPr>
      </w:pPr>
      <w:bookmarkStart w:id="188" w:name="_Toc200513155"/>
      <w:r>
        <w:rPr>
          <w:rFonts w:hint="eastAsia" w:ascii="宋体" w:hAnsi="宋体" w:eastAsia="宋体" w:cs="宋体"/>
          <w:snapToGrid w:val="0"/>
          <w:color w:val="000000" w:themeColor="text1"/>
          <w:kern w:val="0"/>
          <w:szCs w:val="21"/>
          <w14:textFill>
            <w14:solidFill>
              <w14:schemeClr w14:val="tx1"/>
            </w14:solidFill>
          </w14:textFill>
        </w:rPr>
        <w:t>4.1.1  投标文件的正本与副本密封见投标人须知前附表。</w:t>
      </w:r>
    </w:p>
    <w:p>
      <w:pPr>
        <w:keepNext w:val="0"/>
        <w:keepLines w:val="0"/>
        <w:pageBreakBefore w:val="0"/>
        <w:kinsoku/>
        <w:wordWrap/>
        <w:overflowPunct/>
        <w:topLinePunct w:val="0"/>
        <w:autoSpaceDE w:val="0"/>
        <w:autoSpaceDN w:val="0"/>
        <w:bidi w:val="0"/>
        <w:adjustRightInd w:val="0"/>
        <w:snapToGrid w:val="0"/>
        <w:spacing w:line="400" w:lineRule="exact"/>
        <w:ind w:left="12" w:leftChars="6" w:firstLine="344" w:firstLineChars="164"/>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4.1.2  投标文件的封套上应写明的内容见投标人须知前附表。</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89" w:name="_Toc419974502"/>
      <w:bookmarkStart w:id="190" w:name="_Toc430185980"/>
      <w:bookmarkStart w:id="191" w:name="_Toc428172749"/>
      <w:bookmarkStart w:id="192" w:name="_Toc428518745"/>
      <w:bookmarkStart w:id="193" w:name="_Toc430184696"/>
      <w:bookmarkStart w:id="194" w:name="_Toc419974260"/>
      <w:bookmarkStart w:id="195" w:name="_Toc370384649"/>
      <w:bookmarkStart w:id="196" w:name="_Toc86934206"/>
      <w:bookmarkStart w:id="197" w:name="_Toc338941655"/>
      <w:bookmarkStart w:id="198" w:name="_Toc419977286"/>
      <w:bookmarkStart w:id="199" w:name="_Toc27240"/>
      <w:r>
        <w:rPr>
          <w:rFonts w:hint="eastAsia" w:ascii="宋体" w:hAnsi="宋体" w:eastAsia="宋体" w:cs="宋体"/>
          <w:snapToGrid w:val="0"/>
          <w:color w:val="000000" w:themeColor="text1"/>
          <w:sz w:val="21"/>
          <w:szCs w:val="21"/>
          <w14:textFill>
            <w14:solidFill>
              <w14:schemeClr w14:val="tx1"/>
            </w14:solidFill>
          </w14:textFill>
        </w:rPr>
        <w:t>4.2  投标文件的递交</w:t>
      </w:r>
      <w:bookmarkEnd w:id="188"/>
      <w:bookmarkEnd w:id="189"/>
      <w:bookmarkEnd w:id="190"/>
      <w:bookmarkEnd w:id="191"/>
      <w:bookmarkEnd w:id="192"/>
      <w:bookmarkEnd w:id="193"/>
      <w:bookmarkEnd w:id="194"/>
      <w:bookmarkEnd w:id="195"/>
      <w:bookmarkEnd w:id="196"/>
      <w:bookmarkEnd w:id="197"/>
      <w:bookmarkEnd w:id="198"/>
      <w:bookmarkEnd w:id="199"/>
    </w:p>
    <w:p>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4.2.1  投标人应在投标人须知前附表规定的投标截止时间前递交投标文件。</w:t>
      </w:r>
    </w:p>
    <w:p>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4.2.4  逾期送达的或者未送达指定地点的投标文件，招标人不予受理。</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00" w:name="_Toc287620715"/>
      <w:bookmarkStart w:id="201" w:name="_Toc430530465"/>
      <w:bookmarkStart w:id="202" w:name="_Toc277082582"/>
      <w:bookmarkStart w:id="203" w:name="_Toc86934207"/>
      <w:bookmarkStart w:id="204" w:name="_Toc509218740"/>
      <w:bookmarkStart w:id="205" w:name="_Toc33715781"/>
      <w:bookmarkStart w:id="206" w:name="_Toc224103347"/>
      <w:bookmarkStart w:id="207" w:name="_Toc31702"/>
      <w:bookmarkStart w:id="208" w:name="_Toc287607776"/>
      <w:bookmarkStart w:id="209" w:name="_Toc200513156"/>
      <w:r>
        <w:rPr>
          <w:rFonts w:hint="eastAsia" w:ascii="宋体" w:hAnsi="宋体" w:eastAsia="宋体" w:cs="宋体"/>
          <w:snapToGrid w:val="0"/>
          <w:color w:val="000000" w:themeColor="text1"/>
          <w:sz w:val="21"/>
          <w:szCs w:val="21"/>
          <w14:textFill>
            <w14:solidFill>
              <w14:schemeClr w14:val="tx1"/>
            </w14:solidFill>
          </w14:textFill>
        </w:rPr>
        <w:t>4.3  投标文件的修改与撤回</w:t>
      </w:r>
      <w:bookmarkEnd w:id="200"/>
      <w:bookmarkEnd w:id="201"/>
      <w:bookmarkEnd w:id="202"/>
      <w:bookmarkEnd w:id="203"/>
      <w:bookmarkEnd w:id="204"/>
      <w:bookmarkEnd w:id="205"/>
      <w:bookmarkEnd w:id="206"/>
      <w:bookmarkEnd w:id="207"/>
      <w:bookmarkEnd w:id="208"/>
      <w:bookmarkEnd w:id="209"/>
    </w:p>
    <w:p>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4.3.1  在投标人须知前附表规定的投标截止时间前，投标人可以修改或撤回已递交的投标文件，但应以书面形式通知招标人。</w:t>
      </w:r>
    </w:p>
    <w:p>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4.3.2  投标人修改或撤回已递交投标文件的书面通知应按照本章第3.7.3项的要求签字或盖章。招标人收到书面通知后，向投标人出具签收凭证。</w:t>
      </w:r>
    </w:p>
    <w:p>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4.3.3  修改的内容为投标文件的组成部分。修改的投标文件应按照本章规定进行编制、密封、标记和递交，并标明“修改”字样。</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10" w:name="_Toc200513157"/>
      <w:bookmarkStart w:id="211" w:name="_Toc338941656"/>
      <w:bookmarkStart w:id="212" w:name="_Toc370384650"/>
      <w:bookmarkStart w:id="213" w:name="_Toc419974503"/>
      <w:bookmarkStart w:id="214" w:name="_Toc419974261"/>
      <w:bookmarkStart w:id="215" w:name="_Toc428172750"/>
      <w:bookmarkStart w:id="216" w:name="_Toc430184697"/>
      <w:bookmarkStart w:id="217" w:name="_Toc86934208"/>
      <w:bookmarkStart w:id="218" w:name="_Toc430185981"/>
      <w:bookmarkStart w:id="219" w:name="_Toc419977287"/>
      <w:bookmarkStart w:id="220" w:name="_Toc6121"/>
      <w:bookmarkStart w:id="221" w:name="_Toc428518746"/>
      <w:r>
        <w:rPr>
          <w:rFonts w:hint="eastAsia" w:ascii="宋体" w:hAnsi="宋体" w:eastAsia="宋体" w:cs="宋体"/>
          <w:snapToGrid w:val="0"/>
          <w:color w:val="000000" w:themeColor="text1"/>
          <w:sz w:val="21"/>
          <w:szCs w:val="21"/>
          <w14:textFill>
            <w14:solidFill>
              <w14:schemeClr w14:val="tx1"/>
            </w14:solidFill>
          </w14:textFill>
        </w:rPr>
        <w:t xml:space="preserve">5.  </w:t>
      </w:r>
      <w:bookmarkEnd w:id="210"/>
      <w:bookmarkEnd w:id="211"/>
      <w:bookmarkEnd w:id="212"/>
      <w:bookmarkEnd w:id="213"/>
      <w:bookmarkEnd w:id="214"/>
      <w:r>
        <w:rPr>
          <w:rFonts w:hint="eastAsia" w:ascii="宋体" w:hAnsi="宋体" w:eastAsia="宋体" w:cs="宋体"/>
          <w:snapToGrid w:val="0"/>
          <w:color w:val="000000" w:themeColor="text1"/>
          <w:sz w:val="21"/>
          <w:szCs w:val="21"/>
          <w14:textFill>
            <w14:solidFill>
              <w14:schemeClr w14:val="tx1"/>
            </w14:solidFill>
          </w14:textFill>
        </w:rPr>
        <w:t>开标</w:t>
      </w:r>
      <w:bookmarkEnd w:id="215"/>
      <w:bookmarkEnd w:id="216"/>
      <w:bookmarkEnd w:id="217"/>
      <w:bookmarkEnd w:id="218"/>
      <w:bookmarkEnd w:id="219"/>
      <w:bookmarkEnd w:id="220"/>
      <w:bookmarkEnd w:id="221"/>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22" w:name="_Toc419974262"/>
      <w:bookmarkStart w:id="223" w:name="_Toc419974504"/>
      <w:bookmarkStart w:id="224" w:name="_Toc430184698"/>
      <w:bookmarkStart w:id="225" w:name="_Toc1674"/>
      <w:bookmarkStart w:id="226" w:name="_Toc428518747"/>
      <w:bookmarkStart w:id="227" w:name="_Toc86934209"/>
      <w:bookmarkStart w:id="228" w:name="_Toc419977288"/>
      <w:bookmarkStart w:id="229" w:name="_Toc430185982"/>
      <w:bookmarkStart w:id="230" w:name="_Toc200513158"/>
      <w:bookmarkStart w:id="231" w:name="_Toc370384651"/>
      <w:bookmarkStart w:id="232" w:name="_Toc428172751"/>
      <w:bookmarkStart w:id="233" w:name="_Toc338941657"/>
      <w:r>
        <w:rPr>
          <w:rFonts w:hint="eastAsia" w:ascii="宋体" w:hAnsi="宋体" w:eastAsia="宋体" w:cs="宋体"/>
          <w:snapToGrid w:val="0"/>
          <w:color w:val="000000" w:themeColor="text1"/>
          <w:sz w:val="21"/>
          <w:szCs w:val="21"/>
          <w14:textFill>
            <w14:solidFill>
              <w14:schemeClr w14:val="tx1"/>
            </w14:solidFill>
          </w14:textFill>
        </w:rPr>
        <w:t>5.1  开标时间和地点</w:t>
      </w:r>
      <w:bookmarkEnd w:id="222"/>
      <w:bookmarkEnd w:id="223"/>
      <w:bookmarkEnd w:id="224"/>
      <w:bookmarkEnd w:id="225"/>
      <w:bookmarkEnd w:id="226"/>
      <w:bookmarkEnd w:id="227"/>
      <w:bookmarkEnd w:id="228"/>
      <w:bookmarkEnd w:id="229"/>
      <w:bookmarkEnd w:id="230"/>
      <w:bookmarkEnd w:id="231"/>
      <w:bookmarkEnd w:id="232"/>
      <w:bookmarkEnd w:id="233"/>
    </w:p>
    <w:p>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招标人在本章规定的比选截止时间和投标人须知前附表规定的地点</w:t>
      </w:r>
      <w:r>
        <w:rPr>
          <w:rFonts w:hint="eastAsia" w:ascii="宋体" w:hAnsi="宋体" w:cs="宋体"/>
          <w:snapToGrid w:val="0"/>
          <w:color w:val="000000" w:themeColor="text1"/>
          <w:kern w:val="0"/>
          <w:szCs w:val="21"/>
          <w:lang w:eastAsia="zh-CN"/>
          <w14:textFill>
            <w14:solidFill>
              <w14:schemeClr w14:val="tx1"/>
            </w14:solidFill>
          </w14:textFill>
        </w:rPr>
        <w:t>竞争性</w:t>
      </w:r>
      <w:r>
        <w:rPr>
          <w:rFonts w:hint="eastAsia" w:ascii="宋体" w:hAnsi="宋体" w:eastAsia="宋体" w:cs="宋体"/>
          <w:snapToGrid w:val="0"/>
          <w:color w:val="000000" w:themeColor="text1"/>
          <w:kern w:val="0"/>
          <w:szCs w:val="21"/>
          <w14:textFill>
            <w14:solidFill>
              <w14:schemeClr w14:val="tx1"/>
            </w14:solidFill>
          </w14:textFill>
        </w:rPr>
        <w:t>比选，并邀请所有投标人的法定代表人或其委托代理人准时参加。</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34" w:name="_Toc200513160"/>
      <w:bookmarkStart w:id="235" w:name="_Toc86934210"/>
      <w:bookmarkStart w:id="236" w:name="_Toc430185984"/>
      <w:bookmarkStart w:id="237" w:name="_Toc370384653"/>
      <w:bookmarkStart w:id="238" w:name="_Toc5702"/>
      <w:bookmarkStart w:id="239" w:name="_Toc430184700"/>
      <w:bookmarkStart w:id="240" w:name="_Toc419974264"/>
      <w:bookmarkStart w:id="241" w:name="_Toc338941659"/>
      <w:bookmarkStart w:id="242" w:name="_Toc428518749"/>
      <w:bookmarkStart w:id="243" w:name="_Toc419974506"/>
      <w:bookmarkStart w:id="244" w:name="_Toc428172753"/>
      <w:bookmarkStart w:id="245" w:name="_Toc419977290"/>
      <w:r>
        <w:rPr>
          <w:rFonts w:hint="eastAsia" w:ascii="宋体" w:hAnsi="宋体" w:eastAsia="宋体" w:cs="宋体"/>
          <w:snapToGrid w:val="0"/>
          <w:color w:val="000000" w:themeColor="text1"/>
          <w:sz w:val="21"/>
          <w:szCs w:val="21"/>
          <w14:textFill>
            <w14:solidFill>
              <w14:schemeClr w14:val="tx1"/>
            </w14:solidFill>
          </w14:textFill>
        </w:rPr>
        <w:t>6.  评</w:t>
      </w:r>
      <w:bookmarkEnd w:id="234"/>
      <w:r>
        <w:rPr>
          <w:rFonts w:hint="eastAsia" w:ascii="宋体" w:hAnsi="宋体" w:eastAsia="宋体" w:cs="宋体"/>
          <w:snapToGrid w:val="0"/>
          <w:color w:val="000000" w:themeColor="text1"/>
          <w:sz w:val="21"/>
          <w:szCs w:val="21"/>
          <w14:textFill>
            <w14:solidFill>
              <w14:schemeClr w14:val="tx1"/>
            </w14:solidFill>
          </w14:textFill>
        </w:rPr>
        <w:t>审</w:t>
      </w:r>
      <w:bookmarkEnd w:id="235"/>
      <w:bookmarkEnd w:id="236"/>
      <w:bookmarkEnd w:id="237"/>
      <w:bookmarkEnd w:id="238"/>
      <w:bookmarkEnd w:id="239"/>
      <w:bookmarkEnd w:id="240"/>
      <w:bookmarkEnd w:id="241"/>
      <w:bookmarkEnd w:id="242"/>
      <w:bookmarkEnd w:id="243"/>
      <w:bookmarkEnd w:id="244"/>
      <w:bookmarkEnd w:id="245"/>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46" w:name="_Toc370384654"/>
      <w:bookmarkStart w:id="247" w:name="_Toc419974265"/>
      <w:bookmarkStart w:id="248" w:name="_Toc428172754"/>
      <w:bookmarkStart w:id="249" w:name="_Toc10152"/>
      <w:bookmarkStart w:id="250" w:name="_Toc430185985"/>
      <w:bookmarkStart w:id="251" w:name="_Toc419974507"/>
      <w:bookmarkStart w:id="252" w:name="_Toc86934211"/>
      <w:bookmarkStart w:id="253" w:name="_Toc430184701"/>
      <w:bookmarkStart w:id="254" w:name="_Toc200513161"/>
      <w:bookmarkStart w:id="255" w:name="_Toc419977291"/>
      <w:bookmarkStart w:id="256" w:name="_Toc428518750"/>
      <w:bookmarkStart w:id="257" w:name="_Toc338941660"/>
      <w:r>
        <w:rPr>
          <w:rFonts w:hint="eastAsia" w:ascii="宋体" w:hAnsi="宋体" w:eastAsia="宋体" w:cs="宋体"/>
          <w:snapToGrid w:val="0"/>
          <w:color w:val="000000" w:themeColor="text1"/>
          <w:sz w:val="21"/>
          <w:szCs w:val="21"/>
          <w14:textFill>
            <w14:solidFill>
              <w14:schemeClr w14:val="tx1"/>
            </w14:solidFill>
          </w14:textFill>
        </w:rPr>
        <w:t>6.1  评审委员会</w:t>
      </w:r>
      <w:bookmarkEnd w:id="246"/>
      <w:bookmarkEnd w:id="247"/>
      <w:bookmarkEnd w:id="248"/>
      <w:bookmarkEnd w:id="249"/>
      <w:bookmarkEnd w:id="250"/>
      <w:bookmarkEnd w:id="251"/>
      <w:bookmarkEnd w:id="252"/>
      <w:bookmarkEnd w:id="253"/>
      <w:bookmarkEnd w:id="254"/>
      <w:bookmarkEnd w:id="255"/>
      <w:bookmarkEnd w:id="256"/>
      <w:bookmarkEnd w:id="257"/>
    </w:p>
    <w:p>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snapToGrid w:val="0"/>
          <w:color w:val="000000" w:themeColor="text1"/>
          <w:kern w:val="0"/>
          <w:szCs w:val="21"/>
          <w14:textFill>
            <w14:solidFill>
              <w14:schemeClr w14:val="tx1"/>
            </w14:solidFill>
          </w14:textFill>
        </w:rPr>
      </w:pPr>
      <w:bookmarkStart w:id="258" w:name="_Toc200513162"/>
      <w:r>
        <w:rPr>
          <w:rFonts w:hint="eastAsia" w:ascii="宋体" w:hAnsi="宋体" w:eastAsia="宋体" w:cs="宋体"/>
          <w:snapToGrid w:val="0"/>
          <w:color w:val="000000" w:themeColor="text1"/>
          <w:kern w:val="0"/>
          <w:szCs w:val="21"/>
          <w14:textFill>
            <w14:solidFill>
              <w14:schemeClr w14:val="tx1"/>
            </w14:solidFill>
          </w14:textFill>
        </w:rPr>
        <w:t>6.1.1  评审由三名招标人组建评审委员会。</w:t>
      </w:r>
    </w:p>
    <w:p>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6.1.2  评审委员会成员有下列情形之一的，应当回避：</w:t>
      </w:r>
    </w:p>
    <w:p>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（1）投标人或投标人的主要负责人的近亲属；</w:t>
      </w:r>
    </w:p>
    <w:p>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（2）项目主管部门或者行政监督部门的人员；</w:t>
      </w:r>
    </w:p>
    <w:p>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（3）与投标人有利害关系，可能影响对投标公正评审的；</w:t>
      </w:r>
    </w:p>
    <w:p>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（4）曾因在招标、评标以及其他与招标投标有关活动中从事违法行为而受过行政处罚或刑事处罚的</w:t>
      </w:r>
      <w:r>
        <w:rPr>
          <w:rFonts w:hint="eastAsia" w:ascii="宋体" w:hAnsi="宋体" w:eastAsia="宋体" w:cs="宋体"/>
          <w:color w:val="000000" w:themeColor="text1"/>
          <w:kern w:val="0"/>
          <w:szCs w:val="21"/>
          <w14:textFill>
            <w14:solidFill>
              <w14:schemeClr w14:val="tx1"/>
            </w14:solidFill>
          </w14:textFill>
        </w:rPr>
        <w:t>。</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59" w:name="_Toc430185986"/>
      <w:bookmarkStart w:id="260" w:name="_Toc419974266"/>
      <w:bookmarkStart w:id="261" w:name="_Toc30577"/>
      <w:bookmarkStart w:id="262" w:name="_Toc428518751"/>
      <w:bookmarkStart w:id="263" w:name="_Toc370384655"/>
      <w:bookmarkStart w:id="264" w:name="_Toc419977292"/>
      <w:bookmarkStart w:id="265" w:name="_Toc419974508"/>
      <w:bookmarkStart w:id="266" w:name="_Toc428172755"/>
      <w:bookmarkStart w:id="267" w:name="_Toc430184702"/>
      <w:bookmarkStart w:id="268" w:name="_Toc338941661"/>
      <w:bookmarkStart w:id="269" w:name="_Toc86934212"/>
      <w:r>
        <w:rPr>
          <w:rFonts w:hint="eastAsia" w:ascii="宋体" w:hAnsi="宋体" w:eastAsia="宋体" w:cs="宋体"/>
          <w:snapToGrid w:val="0"/>
          <w:color w:val="000000" w:themeColor="text1"/>
          <w:sz w:val="21"/>
          <w:szCs w:val="21"/>
          <w14:textFill>
            <w14:solidFill>
              <w14:schemeClr w14:val="tx1"/>
            </w14:solidFill>
          </w14:textFill>
        </w:rPr>
        <w:t>6.2  评审原则</w:t>
      </w:r>
      <w:bookmarkEnd w:id="258"/>
      <w:bookmarkEnd w:id="259"/>
      <w:bookmarkEnd w:id="260"/>
      <w:bookmarkEnd w:id="261"/>
      <w:bookmarkEnd w:id="262"/>
      <w:bookmarkEnd w:id="263"/>
      <w:bookmarkEnd w:id="264"/>
      <w:bookmarkEnd w:id="265"/>
      <w:bookmarkEnd w:id="266"/>
      <w:bookmarkEnd w:id="267"/>
      <w:bookmarkEnd w:id="268"/>
      <w:bookmarkEnd w:id="269"/>
    </w:p>
    <w:p>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 xml:space="preserve">    评标活动遵循公平、公正、科学和择优的原则。</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70" w:name="_Toc200513163"/>
      <w:bookmarkStart w:id="271" w:name="_Toc27448"/>
      <w:bookmarkStart w:id="272" w:name="_Toc419974267"/>
      <w:bookmarkStart w:id="273" w:name="_Toc370384656"/>
      <w:bookmarkStart w:id="274" w:name="_Toc430185987"/>
      <w:bookmarkStart w:id="275" w:name="_Toc338941662"/>
      <w:bookmarkStart w:id="276" w:name="_Toc419974509"/>
      <w:bookmarkStart w:id="277" w:name="_Toc419977293"/>
      <w:bookmarkStart w:id="278" w:name="_Toc430184703"/>
      <w:bookmarkStart w:id="279" w:name="_Toc428518752"/>
      <w:bookmarkStart w:id="280" w:name="_Toc86934213"/>
      <w:bookmarkStart w:id="281" w:name="_Toc428172756"/>
      <w:r>
        <w:rPr>
          <w:rFonts w:hint="eastAsia" w:ascii="宋体" w:hAnsi="宋体" w:eastAsia="宋体" w:cs="宋体"/>
          <w:snapToGrid w:val="0"/>
          <w:color w:val="000000" w:themeColor="text1"/>
          <w:sz w:val="21"/>
          <w:szCs w:val="21"/>
          <w14:textFill>
            <w14:solidFill>
              <w14:schemeClr w14:val="tx1"/>
            </w14:solidFill>
          </w14:textFill>
        </w:rPr>
        <w:t>6.3  评</w:t>
      </w:r>
      <w:bookmarkEnd w:id="270"/>
      <w:r>
        <w:rPr>
          <w:rFonts w:hint="eastAsia" w:ascii="宋体" w:hAnsi="宋体" w:eastAsia="宋体" w:cs="宋体"/>
          <w:snapToGrid w:val="0"/>
          <w:color w:val="000000" w:themeColor="text1"/>
          <w:sz w:val="21"/>
          <w:szCs w:val="21"/>
          <w14:textFill>
            <w14:solidFill>
              <w14:schemeClr w14:val="tx1"/>
            </w14:solidFill>
          </w14:textFill>
        </w:rPr>
        <w:t>审</w:t>
      </w:r>
      <w:bookmarkEnd w:id="271"/>
      <w:bookmarkEnd w:id="272"/>
      <w:bookmarkEnd w:id="273"/>
      <w:bookmarkEnd w:id="274"/>
      <w:bookmarkEnd w:id="275"/>
      <w:bookmarkEnd w:id="276"/>
      <w:bookmarkEnd w:id="277"/>
      <w:bookmarkEnd w:id="278"/>
      <w:bookmarkEnd w:id="279"/>
      <w:bookmarkEnd w:id="280"/>
      <w:bookmarkEnd w:id="281"/>
    </w:p>
    <w:p>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评审委员会按照第三章“评标办法”规定的方法、评审因素、标准和程序对投标文件进行评审。第三章“评标办法”没有规定的方法、评审因素和标准，不作为评审依据。</w:t>
      </w:r>
      <w:bookmarkStart w:id="282" w:name="_Toc370384657"/>
      <w:bookmarkStart w:id="283" w:name="_Toc419977294"/>
      <w:bookmarkStart w:id="284" w:name="_Toc419974268"/>
      <w:bookmarkStart w:id="285" w:name="_Toc428172757"/>
      <w:bookmarkStart w:id="286" w:name="_Toc419974510"/>
      <w:bookmarkStart w:id="287" w:name="_Toc200513164"/>
      <w:bookmarkStart w:id="288" w:name="_Toc338941663"/>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89" w:name="_Toc86934214"/>
      <w:bookmarkStart w:id="290" w:name="_Toc428518753"/>
      <w:bookmarkStart w:id="291" w:name="_Toc22955"/>
      <w:bookmarkStart w:id="292" w:name="_Toc430184704"/>
      <w:bookmarkStart w:id="293" w:name="_Toc430185988"/>
      <w:r>
        <w:rPr>
          <w:rFonts w:hint="eastAsia" w:ascii="宋体" w:hAnsi="宋体" w:eastAsia="宋体" w:cs="宋体"/>
          <w:snapToGrid w:val="0"/>
          <w:color w:val="000000" w:themeColor="text1"/>
          <w:sz w:val="21"/>
          <w:szCs w:val="21"/>
          <w14:textFill>
            <w14:solidFill>
              <w14:schemeClr w14:val="tx1"/>
            </w14:solidFill>
          </w14:textFill>
        </w:rPr>
        <w:t>7.  合同授予</w:t>
      </w:r>
      <w:bookmarkEnd w:id="282"/>
      <w:bookmarkEnd w:id="283"/>
      <w:bookmarkEnd w:id="284"/>
      <w:bookmarkEnd w:id="285"/>
      <w:bookmarkEnd w:id="286"/>
      <w:bookmarkEnd w:id="287"/>
      <w:bookmarkEnd w:id="288"/>
      <w:bookmarkEnd w:id="289"/>
      <w:bookmarkEnd w:id="290"/>
      <w:bookmarkEnd w:id="291"/>
      <w:bookmarkEnd w:id="292"/>
      <w:bookmarkEnd w:id="293"/>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94" w:name="_Toc370384658"/>
      <w:bookmarkStart w:id="295" w:name="_Toc200513165"/>
      <w:bookmarkStart w:id="296" w:name="_Toc428518754"/>
      <w:bookmarkStart w:id="297" w:name="_Toc419974269"/>
      <w:bookmarkStart w:id="298" w:name="_Toc430184705"/>
      <w:bookmarkStart w:id="299" w:name="_Toc338941664"/>
      <w:bookmarkStart w:id="300" w:name="_Toc428172758"/>
      <w:bookmarkStart w:id="301" w:name="_Toc430185989"/>
      <w:bookmarkStart w:id="302" w:name="_Toc86934215"/>
      <w:bookmarkStart w:id="303" w:name="_Toc419974511"/>
      <w:bookmarkStart w:id="304" w:name="_Toc5998"/>
      <w:bookmarkStart w:id="305" w:name="_Toc419977295"/>
      <w:r>
        <w:rPr>
          <w:rFonts w:hint="eastAsia" w:ascii="宋体" w:hAnsi="宋体" w:eastAsia="宋体" w:cs="宋体"/>
          <w:snapToGrid w:val="0"/>
          <w:color w:val="000000" w:themeColor="text1"/>
          <w:sz w:val="21"/>
          <w:szCs w:val="21"/>
          <w14:textFill>
            <w14:solidFill>
              <w14:schemeClr w14:val="tx1"/>
            </w14:solidFill>
          </w14:textFill>
        </w:rPr>
        <w:t>7.1  定标方式</w:t>
      </w:r>
      <w:bookmarkEnd w:id="294"/>
      <w:bookmarkEnd w:id="295"/>
      <w:bookmarkEnd w:id="296"/>
      <w:bookmarkEnd w:id="297"/>
      <w:bookmarkEnd w:id="298"/>
      <w:bookmarkEnd w:id="299"/>
      <w:bookmarkEnd w:id="300"/>
      <w:bookmarkEnd w:id="301"/>
      <w:bookmarkEnd w:id="302"/>
      <w:bookmarkEnd w:id="303"/>
      <w:bookmarkEnd w:id="304"/>
      <w:bookmarkEnd w:id="305"/>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评标委员会推荐中标候选人的人数见投标人须知前附表。</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06" w:name="_Toc430184706"/>
      <w:bookmarkStart w:id="307" w:name="_Toc370384659"/>
      <w:bookmarkStart w:id="308" w:name="_Toc20355"/>
      <w:bookmarkStart w:id="309" w:name="_Toc419974512"/>
      <w:bookmarkStart w:id="310" w:name="_Toc428172759"/>
      <w:bookmarkStart w:id="311" w:name="_Toc430185990"/>
      <w:bookmarkStart w:id="312" w:name="_Toc428518755"/>
      <w:bookmarkStart w:id="313" w:name="_Toc200513166"/>
      <w:bookmarkStart w:id="314" w:name="_Toc338941665"/>
      <w:bookmarkStart w:id="315" w:name="_Toc86934216"/>
      <w:bookmarkStart w:id="316" w:name="_Toc419974270"/>
      <w:bookmarkStart w:id="317" w:name="_Toc419977296"/>
      <w:r>
        <w:rPr>
          <w:rFonts w:hint="eastAsia" w:ascii="宋体" w:hAnsi="宋体" w:eastAsia="宋体" w:cs="宋体"/>
          <w:snapToGrid w:val="0"/>
          <w:color w:val="000000" w:themeColor="text1"/>
          <w:sz w:val="21"/>
          <w:szCs w:val="21"/>
          <w14:textFill>
            <w14:solidFill>
              <w14:schemeClr w14:val="tx1"/>
            </w14:solidFill>
          </w14:textFill>
        </w:rPr>
        <w:t>7.2  中标通知</w:t>
      </w:r>
      <w:bookmarkEnd w:id="306"/>
      <w:bookmarkEnd w:id="307"/>
      <w:bookmarkEnd w:id="308"/>
      <w:bookmarkEnd w:id="309"/>
      <w:bookmarkEnd w:id="310"/>
      <w:bookmarkEnd w:id="311"/>
      <w:bookmarkEnd w:id="312"/>
      <w:bookmarkEnd w:id="313"/>
      <w:bookmarkEnd w:id="314"/>
      <w:bookmarkEnd w:id="315"/>
      <w:bookmarkEnd w:id="316"/>
      <w:bookmarkEnd w:id="317"/>
    </w:p>
    <w:p>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招标人以书面形式向中标人发出中标通知书，同时将中标结果通知未中标的投标人。</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18" w:name="_Toc430184708"/>
      <w:bookmarkStart w:id="319" w:name="_Toc86934217"/>
      <w:bookmarkStart w:id="320" w:name="_Toc419977298"/>
      <w:bookmarkStart w:id="321" w:name="_Toc419974514"/>
      <w:bookmarkStart w:id="322" w:name="_Toc370384661"/>
      <w:bookmarkStart w:id="323" w:name="_Toc428518757"/>
      <w:bookmarkStart w:id="324" w:name="_Toc27930"/>
      <w:bookmarkStart w:id="325" w:name="_Toc338941667"/>
      <w:bookmarkStart w:id="326" w:name="_Toc428172761"/>
      <w:bookmarkStart w:id="327" w:name="_Toc430185992"/>
      <w:bookmarkStart w:id="328" w:name="_Toc419974272"/>
      <w:bookmarkStart w:id="329" w:name="_Toc200513168"/>
      <w:r>
        <w:rPr>
          <w:rFonts w:hint="eastAsia" w:ascii="宋体" w:hAnsi="宋体" w:eastAsia="宋体" w:cs="宋体"/>
          <w:snapToGrid w:val="0"/>
          <w:color w:val="000000" w:themeColor="text1"/>
          <w:sz w:val="21"/>
          <w:szCs w:val="21"/>
          <w14:textFill>
            <w14:solidFill>
              <w14:schemeClr w14:val="tx1"/>
            </w14:solidFill>
          </w14:textFill>
        </w:rPr>
        <w:t>7.4  签订合同</w:t>
      </w:r>
      <w:bookmarkEnd w:id="318"/>
      <w:bookmarkEnd w:id="319"/>
      <w:bookmarkEnd w:id="320"/>
      <w:bookmarkEnd w:id="321"/>
      <w:bookmarkEnd w:id="322"/>
      <w:bookmarkEnd w:id="323"/>
      <w:bookmarkEnd w:id="324"/>
      <w:bookmarkEnd w:id="325"/>
      <w:bookmarkEnd w:id="326"/>
      <w:bookmarkEnd w:id="327"/>
      <w:bookmarkEnd w:id="328"/>
      <w:bookmarkEnd w:id="329"/>
    </w:p>
    <w:p>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7.4.1 招标人和中标人应当自中标通知书发出之日起5天内，根据比选文件和中标人的投标文件订立书面合同。中标人无正当理由拒签合同的，招标人取消其中标资格，其投标保证金不予退还；给招标人造成的损失超过投标保证金数额的，中标人还应当对超过部分予以赔偿。</w:t>
      </w:r>
    </w:p>
    <w:p>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7.4.2 发出中标通知书后，招标人无正当理由拒签合同的，招标人向中标人退还投标保证金；给中标人造成损失的，还应当赔偿损失。</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30" w:name="_Toc255759369"/>
      <w:bookmarkStart w:id="331" w:name="_Toc18266"/>
      <w:bookmarkStart w:id="332" w:name="_Toc10258"/>
      <w:bookmarkStart w:id="333" w:name="_Toc17406"/>
      <w:bookmarkStart w:id="334" w:name="_Toc5963"/>
      <w:bookmarkStart w:id="335" w:name="_Toc10650"/>
      <w:bookmarkStart w:id="336" w:name="_Toc13567"/>
      <w:bookmarkStart w:id="337" w:name="_Toc257799458"/>
      <w:bookmarkStart w:id="338" w:name="_Toc86934218"/>
      <w:bookmarkStart w:id="339" w:name="_Toc27165"/>
      <w:bookmarkStart w:id="340" w:name="_Toc10366"/>
      <w:bookmarkStart w:id="341" w:name="_Toc29212973"/>
      <w:bookmarkStart w:id="342" w:name="_Toc7360"/>
      <w:bookmarkStart w:id="343" w:name="_Toc13894"/>
      <w:bookmarkStart w:id="344" w:name="_Toc22970"/>
      <w:bookmarkStart w:id="345" w:name="_Toc14094206"/>
      <w:bookmarkStart w:id="346" w:name="_Toc21467"/>
      <w:bookmarkStart w:id="347" w:name="_Toc200513172"/>
      <w:r>
        <w:rPr>
          <w:rFonts w:hint="eastAsia" w:ascii="宋体" w:hAnsi="宋体" w:eastAsia="宋体" w:cs="宋体"/>
          <w:snapToGrid w:val="0"/>
          <w:color w:val="000000" w:themeColor="text1"/>
          <w:sz w:val="21"/>
          <w:szCs w:val="21"/>
          <w14:textFill>
            <w14:solidFill>
              <w14:schemeClr w14:val="tx1"/>
            </w14:solidFill>
          </w14:textFill>
        </w:rPr>
        <w:t>8. 重新招标和不再招标</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ascii="宋体" w:hAnsi="宋体" w:eastAsia="宋体" w:cs="宋体"/>
          <w:snapToGrid w:val="0"/>
          <w:color w:val="000000" w:themeColor="text1"/>
          <w:sz w:val="21"/>
          <w:szCs w:val="21"/>
          <w14:textFill>
            <w14:solidFill>
              <w14:schemeClr w14:val="tx1"/>
            </w14:solidFill>
          </w14:textFill>
        </w:rPr>
        <w:t xml:space="preserve"> </w:t>
      </w:r>
    </w:p>
    <w:p>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 重新招标</w:t>
      </w:r>
    </w:p>
    <w:p>
      <w:pPr>
        <w:keepNext w:val="0"/>
        <w:keepLines w:val="0"/>
        <w:pageBreakBefore w:val="0"/>
        <w:kinsoku/>
        <w:wordWrap/>
        <w:overflowPunct/>
        <w:topLinePunct w:val="0"/>
        <w:bidi w:val="0"/>
        <w:spacing w:line="400" w:lineRule="exact"/>
        <w:ind w:firstLine="210" w:firstLineChars="1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有下列情形之一的，招标人将重新招标：</w:t>
      </w:r>
    </w:p>
    <w:p>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（1）投标截止时间止，投标人少于3个的；</w:t>
      </w:r>
    </w:p>
    <w:p>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（2）合格投标人少于3个并且不具有竞争性；</w:t>
      </w:r>
    </w:p>
    <w:p>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（3）经评标委员会评审后否决所有投标的。</w:t>
      </w:r>
    </w:p>
    <w:p>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8.2 不再招标和继续评标</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重新招标后合格投标人仍少于 3个并且不具有竞争性或所有投标被否决的，属于必须审批或核准的工程建设项目，经原审批或核准部门批准后可以不再进行招标；重新招标后合格投标人仍少于 3个，经评委会认定具有竞争性的按正常程序继续进行评标定标。</w:t>
      </w:r>
    </w:p>
    <w:p>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348" w:name="_Toc2285"/>
      <w:bookmarkStart w:id="349" w:name="_Toc5989"/>
      <w:bookmarkStart w:id="350" w:name="_Toc16560"/>
      <w:bookmarkStart w:id="351" w:name="_Toc29942"/>
      <w:bookmarkStart w:id="352" w:name="_Toc14901"/>
      <w:bookmarkStart w:id="353" w:name="_Toc24261"/>
      <w:bookmarkStart w:id="354" w:name="_Toc25790"/>
      <w:bookmarkStart w:id="355" w:name="_Toc22256"/>
      <w:bookmarkStart w:id="356" w:name="_Toc86934219"/>
      <w:bookmarkStart w:id="357" w:name="_Toc16834"/>
      <w:bookmarkStart w:id="358" w:name="_Toc8547"/>
      <w:bookmarkStart w:id="359" w:name="_Toc14094207"/>
      <w:bookmarkStart w:id="360" w:name="_Toc29212974"/>
      <w:bookmarkStart w:id="361" w:name="_Toc7307"/>
      <w:bookmarkStart w:id="362" w:name="_Toc22447"/>
      <w:r>
        <w:rPr>
          <w:rFonts w:hint="eastAsia" w:ascii="宋体" w:hAnsi="宋体" w:eastAsia="宋体" w:cs="宋体"/>
          <w:snapToGrid w:val="0"/>
          <w:color w:val="000000" w:themeColor="text1"/>
          <w:sz w:val="21"/>
          <w:szCs w:val="21"/>
          <w14:textFill>
            <w14:solidFill>
              <w14:schemeClr w14:val="tx1"/>
            </w14:solidFill>
          </w14:textFill>
        </w:rPr>
        <w:t>9. 纪律和监督</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Pr>
          <w:rFonts w:hint="eastAsia" w:ascii="宋体" w:hAnsi="宋体" w:eastAsia="宋体" w:cs="宋体"/>
          <w:color w:val="000000" w:themeColor="text1"/>
          <w:sz w:val="21"/>
          <w:szCs w:val="21"/>
          <w14:textFill>
            <w14:solidFill>
              <w14:schemeClr w14:val="tx1"/>
            </w14:solidFill>
          </w14:textFill>
        </w:rPr>
        <w:t xml:space="preserve"> </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9.1 对招标人的纪律要求</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招标人不得泄</w:t>
      </w:r>
      <w:r>
        <w:rPr>
          <w:rFonts w:hint="eastAsia" w:ascii="宋体" w:hAnsi="宋体" w:cs="宋体"/>
          <w:color w:val="000000" w:themeColor="text1"/>
          <w:szCs w:val="21"/>
          <w:lang w:eastAsia="zh-CN"/>
          <w14:textFill>
            <w14:solidFill>
              <w14:schemeClr w14:val="tx1"/>
            </w14:solidFill>
          </w14:textFill>
        </w:rPr>
        <w:t>露</w:t>
      </w:r>
      <w:r>
        <w:rPr>
          <w:rFonts w:hint="eastAsia" w:ascii="宋体" w:hAnsi="宋体" w:eastAsia="宋体" w:cs="宋体"/>
          <w:color w:val="000000" w:themeColor="text1"/>
          <w:szCs w:val="21"/>
          <w14:textFill>
            <w14:solidFill>
              <w14:schemeClr w14:val="tx1"/>
            </w14:solidFill>
          </w14:textFill>
        </w:rPr>
        <w:t>招标投标活动中应当保密的情况和资料，不得与投标人串通损害国家利益、社会公共利益或者他人合法权益。</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 对投标人的纪律要求</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 对评标委员会成员的纪律要求</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评标委员会成员不得收受他人的财物或者其他好处，不得向他人透</w:t>
      </w:r>
      <w:r>
        <w:rPr>
          <w:rFonts w:hint="eastAsia" w:ascii="宋体" w:hAnsi="宋体" w:cs="宋体"/>
          <w:color w:val="000000" w:themeColor="text1"/>
          <w:szCs w:val="21"/>
          <w:lang w:eastAsia="zh-CN"/>
          <w14:textFill>
            <w14:solidFill>
              <w14:schemeClr w14:val="tx1"/>
            </w14:solidFill>
          </w14:textFill>
        </w:rPr>
        <w:t>露</w:t>
      </w:r>
      <w:r>
        <w:rPr>
          <w:rFonts w:hint="eastAsia" w:ascii="宋体" w:hAnsi="宋体" w:eastAsia="宋体" w:cs="宋体"/>
          <w:color w:val="000000" w:themeColor="text1"/>
          <w:szCs w:val="21"/>
          <w14:textFill>
            <w14:solidFill>
              <w14:schemeClr w14:val="tx1"/>
            </w14:solidFill>
          </w14:textFill>
        </w:rPr>
        <w:t xml:space="preserve">对投标文件的评审和比较、中标候选人的推荐情况以及评标有关的其他情况。在评标活动中，评标委员会成员不得擅离职守，影响评标程序正常进行，不得使用第三章“评标办法”没有规定的评审因素和标准进行评标。 </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9.4 对与评标活动有关的工作人员的纪律要求</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与评标活动有关的工作人员不得收受他人的财物或者其他好处，不得向他人透</w:t>
      </w:r>
      <w:r>
        <w:rPr>
          <w:rFonts w:hint="eastAsia" w:ascii="宋体" w:hAnsi="宋体" w:cs="宋体"/>
          <w:color w:val="000000" w:themeColor="text1"/>
          <w:szCs w:val="21"/>
          <w:lang w:eastAsia="zh-CN"/>
          <w14:textFill>
            <w14:solidFill>
              <w14:schemeClr w14:val="tx1"/>
            </w14:solidFill>
          </w14:textFill>
        </w:rPr>
        <w:t>露</w:t>
      </w:r>
      <w:r>
        <w:rPr>
          <w:rFonts w:hint="eastAsia" w:ascii="宋体" w:hAnsi="宋体" w:eastAsia="宋体" w:cs="宋体"/>
          <w:color w:val="000000" w:themeColor="text1"/>
          <w:szCs w:val="21"/>
          <w14:textFill>
            <w14:solidFill>
              <w14:schemeClr w14:val="tx1"/>
            </w14:solidFill>
          </w14:textFill>
        </w:rPr>
        <w:t xml:space="preserve">对投标文件的评审和比较、中标候选人的推荐情况以及评标有关的其他情况。在评标活动中，与评标活动有关的工作人员不得擅离职守，影响评标程序正常进行。 </w:t>
      </w:r>
    </w:p>
    <w:p>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 投诉</w:t>
      </w:r>
    </w:p>
    <w:p>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投标人和其他利害关系人认为本次招标活动违反法律、法规规定的，有权向有关行政监督部门投诉。 </w:t>
      </w:r>
    </w:p>
    <w:bookmarkEnd w:id="347"/>
    <w:p>
      <w:pPr>
        <w:spacing w:after="120" w:afterLines="50" w:line="360" w:lineRule="auto"/>
        <w:rPr>
          <w:rFonts w:hint="eastAsia" w:ascii="宋体" w:hAnsi="宋体" w:eastAsia="宋体" w:cs="宋体"/>
          <w:bCs/>
          <w:color w:val="000000" w:themeColor="text1"/>
          <w:sz w:val="32"/>
          <w:szCs w:val="32"/>
          <w14:textFill>
            <w14:solidFill>
              <w14:schemeClr w14:val="tx1"/>
            </w14:solidFill>
          </w14:textFill>
        </w:rPr>
      </w:pPr>
      <w:bookmarkStart w:id="363" w:name="_Toc419977305"/>
      <w:bookmarkStart w:id="364" w:name="_Toc338941674"/>
      <w:bookmarkStart w:id="365" w:name="_Toc430185999"/>
      <w:bookmarkStart w:id="366" w:name="_Toc370384668"/>
      <w:bookmarkStart w:id="367" w:name="_Toc428172768"/>
      <w:bookmarkStart w:id="368" w:name="_Toc419974279"/>
      <w:bookmarkStart w:id="369" w:name="_Toc428518764"/>
      <w:bookmarkStart w:id="370" w:name="_Toc430184715"/>
      <w:bookmarkStart w:id="371" w:name="_Toc419974521"/>
    </w:p>
    <w:p>
      <w:pPr>
        <w:pStyle w:val="2"/>
        <w:spacing w:after="120" w:afterLines="50" w:line="360" w:lineRule="auto"/>
        <w:jc w:val="both"/>
        <w:rPr>
          <w:rFonts w:hint="eastAsia" w:ascii="宋体" w:hAnsi="宋体" w:eastAsia="宋体" w:cs="宋体"/>
          <w:bCs/>
          <w:color w:val="000000" w:themeColor="text1"/>
          <w:sz w:val="32"/>
          <w:szCs w:val="32"/>
          <w14:textFill>
            <w14:solidFill>
              <w14:schemeClr w14:val="tx1"/>
            </w14:solidFill>
          </w14:textFill>
        </w:rPr>
      </w:pPr>
      <w:bookmarkStart w:id="372" w:name="_Toc86934220"/>
      <w:bookmarkStart w:id="373" w:name="_Toc17130"/>
    </w:p>
    <w:p>
      <w:pPr>
        <w:rPr>
          <w:rFonts w:hint="eastAsia" w:ascii="宋体" w:hAnsi="宋体" w:eastAsia="宋体" w:cs="宋体"/>
          <w:bCs/>
          <w:color w:val="000000" w:themeColor="text1"/>
          <w:sz w:val="32"/>
          <w:szCs w:val="32"/>
          <w14:textFill>
            <w14:solidFill>
              <w14:schemeClr w14:val="tx1"/>
            </w14:solidFill>
          </w14:textFill>
        </w:rPr>
      </w:pPr>
    </w:p>
    <w:p>
      <w:pPr>
        <w:pStyle w:val="2"/>
        <w:rPr>
          <w:rFonts w:hint="eastAsia" w:ascii="宋体" w:hAnsi="宋体" w:eastAsia="宋体" w:cs="宋体"/>
          <w:bCs/>
          <w:color w:val="000000" w:themeColor="text1"/>
          <w:sz w:val="32"/>
          <w:szCs w:val="32"/>
          <w14:textFill>
            <w14:solidFill>
              <w14:schemeClr w14:val="tx1"/>
            </w14:solidFill>
          </w14:textFill>
        </w:rPr>
      </w:pPr>
    </w:p>
    <w:p>
      <w:pPr>
        <w:rPr>
          <w:rFonts w:hint="eastAsia" w:ascii="宋体" w:hAnsi="宋体" w:eastAsia="宋体" w:cs="宋体"/>
          <w:bCs/>
          <w:color w:val="000000" w:themeColor="text1"/>
          <w:sz w:val="32"/>
          <w:szCs w:val="32"/>
          <w14:textFill>
            <w14:solidFill>
              <w14:schemeClr w14:val="tx1"/>
            </w14:solidFill>
          </w14:textFill>
        </w:rPr>
      </w:pPr>
    </w:p>
    <w:p>
      <w:pPr>
        <w:pStyle w:val="2"/>
        <w:rPr>
          <w:rFonts w:hint="eastAsia" w:ascii="宋体" w:hAnsi="宋体" w:eastAsia="宋体" w:cs="宋体"/>
          <w:bCs/>
          <w:color w:val="000000" w:themeColor="text1"/>
          <w:sz w:val="32"/>
          <w:szCs w:val="32"/>
          <w14:textFill>
            <w14:solidFill>
              <w14:schemeClr w14:val="tx1"/>
            </w14:solidFill>
          </w14:textFill>
        </w:rPr>
      </w:pPr>
    </w:p>
    <w:p>
      <w:pPr>
        <w:rPr>
          <w:rFonts w:hint="eastAsia" w:ascii="宋体" w:hAnsi="宋体" w:eastAsia="宋体" w:cs="宋体"/>
          <w:bCs/>
          <w:color w:val="000000" w:themeColor="text1"/>
          <w:sz w:val="32"/>
          <w:szCs w:val="32"/>
          <w14:textFill>
            <w14:solidFill>
              <w14:schemeClr w14:val="tx1"/>
            </w14:solidFill>
          </w14:textFill>
        </w:rPr>
      </w:pPr>
    </w:p>
    <w:p>
      <w:pPr>
        <w:pStyle w:val="2"/>
        <w:rPr>
          <w:rFonts w:hint="eastAsia" w:ascii="宋体" w:hAnsi="宋体" w:eastAsia="宋体" w:cs="宋体"/>
          <w:bCs/>
          <w:color w:val="000000" w:themeColor="text1"/>
          <w:sz w:val="32"/>
          <w:szCs w:val="32"/>
          <w14:textFill>
            <w14:solidFill>
              <w14:schemeClr w14:val="tx1"/>
            </w14:solidFill>
          </w14:textFill>
        </w:rPr>
      </w:pPr>
    </w:p>
    <w:p>
      <w:pPr>
        <w:rPr>
          <w:rFonts w:hint="eastAsia" w:ascii="宋体" w:hAnsi="宋体" w:eastAsia="宋体" w:cs="宋体"/>
          <w:bCs/>
          <w:color w:val="000000" w:themeColor="text1"/>
          <w:sz w:val="32"/>
          <w:szCs w:val="32"/>
          <w14:textFill>
            <w14:solidFill>
              <w14:schemeClr w14:val="tx1"/>
            </w14:solidFill>
          </w14:textFill>
        </w:rPr>
      </w:pPr>
    </w:p>
    <w:p>
      <w:pPr>
        <w:pStyle w:val="2"/>
        <w:rPr>
          <w:rFonts w:hint="eastAsia" w:ascii="宋体" w:hAnsi="宋体" w:eastAsia="宋体" w:cs="宋体"/>
          <w:bCs/>
          <w:color w:val="000000" w:themeColor="text1"/>
          <w:sz w:val="32"/>
          <w:szCs w:val="32"/>
          <w14:textFill>
            <w14:solidFill>
              <w14:schemeClr w14:val="tx1"/>
            </w14:solidFill>
          </w14:textFill>
        </w:rPr>
      </w:pPr>
    </w:p>
    <w:p>
      <w:pPr>
        <w:rPr>
          <w:rFonts w:hint="eastAsia" w:ascii="宋体" w:hAnsi="宋体" w:eastAsia="宋体" w:cs="宋体"/>
          <w:bCs/>
          <w:color w:val="000000" w:themeColor="text1"/>
          <w:sz w:val="32"/>
          <w:szCs w:val="32"/>
          <w14:textFill>
            <w14:solidFill>
              <w14:schemeClr w14:val="tx1"/>
            </w14:solidFill>
          </w14:textFill>
        </w:rPr>
      </w:pPr>
    </w:p>
    <w:p>
      <w:pPr>
        <w:pStyle w:val="2"/>
        <w:rPr>
          <w:rFonts w:hint="eastAsia" w:ascii="宋体" w:hAnsi="宋体" w:eastAsia="宋体" w:cs="宋体"/>
          <w:bCs/>
          <w:color w:val="000000" w:themeColor="text1"/>
          <w:sz w:val="32"/>
          <w:szCs w:val="32"/>
          <w14:textFill>
            <w14:solidFill>
              <w14:schemeClr w14:val="tx1"/>
            </w14:solidFill>
          </w14:textFill>
        </w:rPr>
      </w:pPr>
    </w:p>
    <w:p>
      <w:pPr>
        <w:rPr>
          <w:rFonts w:hint="eastAsia" w:ascii="宋体" w:hAnsi="宋体" w:eastAsia="宋体" w:cs="宋体"/>
          <w:bCs/>
          <w:color w:val="000000" w:themeColor="text1"/>
          <w:sz w:val="32"/>
          <w:szCs w:val="32"/>
          <w14:textFill>
            <w14:solidFill>
              <w14:schemeClr w14:val="tx1"/>
            </w14:solidFill>
          </w14:textFill>
        </w:rPr>
      </w:pPr>
    </w:p>
    <w:p>
      <w:pPr>
        <w:pStyle w:val="2"/>
        <w:rPr>
          <w:rFonts w:hint="eastAsia" w:ascii="宋体" w:hAnsi="宋体" w:eastAsia="宋体" w:cs="宋体"/>
          <w:bCs/>
          <w:color w:val="000000" w:themeColor="text1"/>
          <w:sz w:val="32"/>
          <w:szCs w:val="32"/>
          <w14:textFill>
            <w14:solidFill>
              <w14:schemeClr w14:val="tx1"/>
            </w14:solidFill>
          </w14:textFill>
        </w:rPr>
      </w:pPr>
    </w:p>
    <w:p>
      <w:pPr>
        <w:rPr>
          <w:rFonts w:hint="eastAsia" w:ascii="宋体" w:hAnsi="宋体" w:eastAsia="宋体" w:cs="宋体"/>
          <w:bCs/>
          <w:color w:val="000000" w:themeColor="text1"/>
          <w:sz w:val="32"/>
          <w:szCs w:val="32"/>
          <w14:textFill>
            <w14:solidFill>
              <w14:schemeClr w14:val="tx1"/>
            </w14:solidFill>
          </w14:textFill>
        </w:rPr>
      </w:pPr>
    </w:p>
    <w:p>
      <w:pPr>
        <w:pStyle w:val="2"/>
        <w:rPr>
          <w:rFonts w:hint="eastAsia"/>
        </w:rPr>
      </w:pPr>
    </w:p>
    <w:p>
      <w:pPr>
        <w:rPr>
          <w:rFonts w:hint="eastAsia" w:ascii="宋体" w:hAnsi="宋体" w:eastAsia="宋体" w:cs="宋体"/>
          <w:bCs/>
          <w:color w:val="000000" w:themeColor="text1"/>
          <w:sz w:val="32"/>
          <w:szCs w:val="32"/>
          <w14:textFill>
            <w14:solidFill>
              <w14:schemeClr w14:val="tx1"/>
            </w14:solidFill>
          </w14:textFill>
        </w:rPr>
      </w:pPr>
    </w:p>
    <w:p>
      <w:pPr>
        <w:pStyle w:val="2"/>
        <w:rPr>
          <w:rFonts w:hint="eastAsia"/>
        </w:rPr>
      </w:pPr>
    </w:p>
    <w:p>
      <w:pPr>
        <w:pStyle w:val="2"/>
        <w:spacing w:after="120" w:afterLines="5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kern w:val="2"/>
          <w:sz w:val="52"/>
          <w:szCs w:val="52"/>
          <w:lang w:val="en-US" w:eastAsia="zh-CN" w:bidi="ar-SA"/>
          <w14:textFill>
            <w14:solidFill>
              <w14:schemeClr w14:val="tx1"/>
            </w14:solidFill>
          </w14:textFill>
        </w:rPr>
        <w:t>第三章 评标办法</w:t>
      </w:r>
      <w:bookmarkEnd w:id="363"/>
      <w:bookmarkEnd w:id="364"/>
      <w:bookmarkEnd w:id="365"/>
      <w:bookmarkEnd w:id="366"/>
      <w:bookmarkEnd w:id="367"/>
      <w:bookmarkEnd w:id="368"/>
      <w:bookmarkEnd w:id="369"/>
      <w:bookmarkEnd w:id="370"/>
      <w:bookmarkEnd w:id="371"/>
      <w:bookmarkEnd w:id="372"/>
      <w:bookmarkEnd w:id="373"/>
      <w:bookmarkStart w:id="374" w:name="_Toc430184716"/>
      <w:bookmarkStart w:id="375" w:name="_Toc428518765"/>
      <w:bookmarkStart w:id="376" w:name="_Toc419977306"/>
      <w:bookmarkStart w:id="377" w:name="_Toc430186000"/>
      <w:bookmarkStart w:id="378" w:name="_Toc428172769"/>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379" w:name="_Toc10079"/>
      <w:bookmarkStart w:id="380" w:name="_Toc86934221"/>
      <w:bookmarkStart w:id="381" w:name="_Toc5832"/>
      <w:bookmarkStart w:id="382" w:name="_Toc3524"/>
      <w:bookmarkStart w:id="383" w:name="_Toc5623"/>
      <w:bookmarkStart w:id="384" w:name="_Toc5405"/>
      <w:bookmarkStart w:id="385" w:name="_Toc8106"/>
      <w:bookmarkStart w:id="386" w:name="_Toc28563"/>
      <w:bookmarkStart w:id="387" w:name="_Toc7374"/>
      <w:bookmarkStart w:id="388" w:name="_Toc18231882"/>
      <w:bookmarkStart w:id="389" w:name="_Toc13457"/>
      <w:bookmarkStart w:id="390" w:name="_Toc18604"/>
      <w:bookmarkStart w:id="391" w:name="_Toc255759373"/>
      <w:bookmarkStart w:id="392" w:name="_Toc257799462"/>
      <w:bookmarkStart w:id="393" w:name="_Toc297283398"/>
      <w:bookmarkStart w:id="394" w:name="_Toc14094211"/>
      <w:bookmarkStart w:id="395" w:name="_Toc297197555"/>
      <w:r>
        <w:rPr>
          <w:rFonts w:hint="eastAsia" w:ascii="宋体" w:hAnsi="宋体" w:eastAsia="宋体" w:cs="宋体"/>
          <w:color w:val="000000" w:themeColor="text1"/>
          <w:szCs w:val="24"/>
          <w14:textFill>
            <w14:solidFill>
              <w14:schemeClr w14:val="tx1"/>
            </w14:solidFill>
          </w14:textFill>
        </w:rPr>
        <w:t>1、评标原则</w:t>
      </w:r>
      <w:bookmarkEnd w:id="379"/>
      <w:bookmarkEnd w:id="380"/>
      <w:bookmarkEnd w:id="381"/>
      <w:bookmarkEnd w:id="382"/>
      <w:bookmarkEnd w:id="383"/>
      <w:bookmarkEnd w:id="384"/>
      <w:bookmarkEnd w:id="385"/>
      <w:bookmarkEnd w:id="386"/>
      <w:bookmarkEnd w:id="387"/>
      <w:bookmarkEnd w:id="388"/>
      <w:bookmarkEnd w:id="389"/>
      <w:bookmarkEnd w:id="390"/>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 本次评标采用综合评分法。</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1.1.1本次评标办法采用“综合评分法”，总分100 分，分值保留小数点后两位，第三位四舍五入，中间用插入法。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1.1.2本项目评标由评标专家根据本评标办法各自打分、分项计分。以服务、商务和价格得分之和为各投标人的最终得分（综合得分）。评标专家对各投标人最终得分（综合得分）按照从高到低进行排序，最高者为第一名，依次类推确定得分排名顺序。最终得分（综合得分）相同的投标人，报价低者排名在前；最终得分（综合得分）及投标报价都相同的，则由评标专家投票表决，得票数高者为中标候选人。评标专家依据得分高低排名顺序推荐三名中标候选人给招标人。由招标人确定排名第一的中标候选人为中标人。若出现得分第一名投标人放弃中标，不能按招标文件规定签订合同等原因取消中标资格，则按得分排名顺序依次确定得分第二名投标人为中标人；若得分第二名投标人放弃中标，不能按招标文件规定签订合同等原因取消中标资格，则得分排名顺序第三名投标人为中标人。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1.1.3评标委员会认为分项报价明显低于市场价项的，将要求投标人现场进行澄清、说明。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1.1.4违反本评标办法的打分无效。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 本次评标按初步评审、详细评审、评标委员会编写评标报告推荐中标候选人程序进行。初步评审包括投标文件的形式评审、资格评审和响应性评审。详细评审包括服务评价、商务评价和价格评价。</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396" w:name="_Toc14814"/>
      <w:bookmarkStart w:id="397" w:name="_Toc18856"/>
      <w:bookmarkStart w:id="398" w:name="_Toc18231883"/>
      <w:bookmarkStart w:id="399" w:name="_Toc29738"/>
      <w:bookmarkStart w:id="400" w:name="_Toc23168"/>
      <w:bookmarkStart w:id="401" w:name="_Toc30374"/>
      <w:bookmarkStart w:id="402" w:name="_Toc11871"/>
      <w:bookmarkStart w:id="403" w:name="_Toc16575"/>
      <w:bookmarkStart w:id="404" w:name="_Toc8777"/>
      <w:bookmarkStart w:id="405" w:name="_Toc86934222"/>
      <w:bookmarkStart w:id="406" w:name="_Toc16704"/>
      <w:bookmarkStart w:id="407" w:name="_Toc31120"/>
      <w:r>
        <w:rPr>
          <w:rFonts w:hint="eastAsia" w:ascii="宋体" w:hAnsi="宋体" w:eastAsia="宋体" w:cs="宋体"/>
          <w:color w:val="000000" w:themeColor="text1"/>
          <w:szCs w:val="24"/>
          <w14:textFill>
            <w14:solidFill>
              <w14:schemeClr w14:val="tx1"/>
            </w14:solidFill>
          </w14:textFill>
        </w:rPr>
        <w:t>2、初步评审</w:t>
      </w:r>
      <w:bookmarkEnd w:id="396"/>
      <w:bookmarkEnd w:id="397"/>
      <w:bookmarkEnd w:id="398"/>
      <w:bookmarkEnd w:id="399"/>
      <w:bookmarkEnd w:id="400"/>
      <w:bookmarkEnd w:id="401"/>
      <w:bookmarkEnd w:id="402"/>
      <w:bookmarkEnd w:id="403"/>
      <w:bookmarkEnd w:id="404"/>
      <w:bookmarkEnd w:id="405"/>
      <w:bookmarkEnd w:id="406"/>
      <w:bookmarkEnd w:id="407"/>
      <w:r>
        <w:rPr>
          <w:rFonts w:hint="eastAsia" w:ascii="宋体" w:hAnsi="宋体" w:eastAsia="宋体" w:cs="宋体"/>
          <w:color w:val="000000" w:themeColor="text1"/>
          <w:szCs w:val="24"/>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 投标文件的澄清</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为了有助于对投标文件的检查和评审，评标委员会可以单独要求投标人澄清其投标文件。投标人的答复均应采用书面形式。但投标人的澄清不得修改投标报价或投标文件中的其它实质性内容。经澄清的内容需由投标人签字确认后作为投标文件的组成部分。评标委员会不接受投标人主动提出的澄清、说明或补正。评标委员会对投标人提交的澄清、说明或补正有疑问的，可以要求投标人进一步澄清、说明或补正，直至满足评标委员会的要求。</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 投标文件的形式评审</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1812"/>
        <w:gridCol w:w="6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blHeader/>
          <w:jc w:val="center"/>
        </w:trPr>
        <w:tc>
          <w:tcPr>
            <w:tcW w:w="1612"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形式评审标准</w:t>
            </w:r>
          </w:p>
        </w:tc>
        <w:tc>
          <w:tcPr>
            <w:tcW w:w="18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评审因素</w:t>
            </w:r>
          </w:p>
        </w:tc>
        <w:tc>
          <w:tcPr>
            <w:tcW w:w="61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投标人名称</w:t>
            </w:r>
          </w:p>
        </w:tc>
        <w:tc>
          <w:tcPr>
            <w:tcW w:w="6167"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与营业执照一致（若投标人在更名期间，需提供投标人当地行政部门出具的相关证明文件）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投标文件签字盖章</w:t>
            </w:r>
          </w:p>
        </w:tc>
        <w:tc>
          <w:tcPr>
            <w:tcW w:w="6167"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投标文件的签字盖章符合第二章投标人须知前附表第3.7.3项的规定；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投标文件的编制</w:t>
            </w:r>
          </w:p>
        </w:tc>
        <w:tc>
          <w:tcPr>
            <w:tcW w:w="6167"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投标文件的编制符合第二章投标人须知前附表第3.7.1、3.7.2、3.7.3项的规定；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报价唯一</w:t>
            </w:r>
          </w:p>
        </w:tc>
        <w:tc>
          <w:tcPr>
            <w:tcW w:w="6167"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只能有一个有效报价，在招标文件没有规定的情况下，不得提交选择性报价。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0" w:hRule="atLeast"/>
          <w:tblHeader/>
          <w:jc w:val="center"/>
        </w:trPr>
        <w:tc>
          <w:tcPr>
            <w:tcW w:w="161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备选投标方案</w:t>
            </w:r>
          </w:p>
        </w:tc>
        <w:tc>
          <w:tcPr>
            <w:tcW w:w="6167"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不允许有备选投标方案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委托代理人</w:t>
            </w:r>
          </w:p>
        </w:tc>
        <w:tc>
          <w:tcPr>
            <w:tcW w:w="6167"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投标人法定代表人的委托代理人有法定代表人签署的授权委托书，且其授权委托书符合招标文件规定的格式。</w:t>
            </w:r>
          </w:p>
        </w:tc>
      </w:tr>
    </w:tbl>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2.3 资格评审 </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2.3.1 评标委员会依据招标文件的规定，对投标人的资格证明资料进行审查，以确定投标人是否具备招标文件规定的投标资格；未满足招标文件的资格规定的投标将被否决投标。（具体投标人资格要求见招标文件第二章“投标人须知前附表”第1.4.1项规定）</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 响应性评审</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2.4.1 评标委员会依据招标文件的规定，从投标文件对招标文件的响应程度进行审查，以确定投标人是否对招标文件的实质性要求作出响应，具体审查内容见下表。开标后，不允许投标人对其未实质上响应招标文件要求或存在重大偏差或保留的投标文件内容进行修改。</w:t>
      </w:r>
      <w:bookmarkEnd w:id="391"/>
      <w:bookmarkEnd w:id="392"/>
      <w:bookmarkEnd w:id="393"/>
      <w:bookmarkEnd w:id="394"/>
      <w:bookmarkEnd w:id="395"/>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408" w:name="_Toc7011"/>
      <w:bookmarkStart w:id="409" w:name="_Toc18871"/>
      <w:bookmarkStart w:id="410" w:name="_Toc4566"/>
      <w:bookmarkStart w:id="411" w:name="_Toc86934223"/>
      <w:bookmarkStart w:id="412" w:name="_Toc255759375"/>
      <w:bookmarkStart w:id="413" w:name="_Toc14094213"/>
      <w:bookmarkStart w:id="414" w:name="_Toc26695"/>
      <w:bookmarkStart w:id="415" w:name="_Toc12153"/>
      <w:bookmarkStart w:id="416" w:name="_Toc6019"/>
      <w:bookmarkStart w:id="417" w:name="_Toc20489"/>
      <w:bookmarkStart w:id="418" w:name="_Toc31988"/>
      <w:bookmarkStart w:id="419" w:name="_Toc297283400"/>
      <w:bookmarkStart w:id="420" w:name="_Toc19867"/>
      <w:bookmarkStart w:id="421" w:name="_Toc297197557"/>
      <w:bookmarkStart w:id="422" w:name="_Toc257799464"/>
      <w:bookmarkStart w:id="423" w:name="_Toc20204"/>
      <w:r>
        <w:rPr>
          <w:rFonts w:hint="eastAsia" w:ascii="宋体" w:hAnsi="宋体" w:eastAsia="宋体" w:cs="宋体"/>
          <w:color w:val="000000" w:themeColor="text1"/>
          <w:szCs w:val="24"/>
          <w14:textFill>
            <w14:solidFill>
              <w14:schemeClr w14:val="tx1"/>
            </w14:solidFill>
          </w14:textFill>
        </w:rPr>
        <w:t>3、详细评审</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 评标委员会只对通过了初步评审的投标人进行详细评审。</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 评标委员会如果发现投标报价存在计算或表述上的错误要进行修正，并以修正后的评标价作为价格评价的依据。评标价仅供评标用，不能作为中标签约的合同价。</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 投标报价存在计算或表述上的错误按下列原则进行修正：</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（1）如果用数字表示的金额与用文字表示的金额不一致，将以文字表示的金额为准。</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（2）当单价与数量的乘积与合价不符时，以合价为准修正单价；当单价有明显的小数点错位的，应以纠正后的单价为准,并修改合价。</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（3）分项合价之和与总价不符时，以总价为准修正分项合价。</w:t>
      </w:r>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 评标委员会按上述修正方法得到投标人的评标价后应要求投标人进行确认。如果投标人不接受修正后的评标价，则其投标将被拒绝。</w:t>
      </w:r>
      <w:bookmarkStart w:id="424" w:name="_Toc86934224"/>
    </w:p>
    <w:p>
      <w:pPr>
        <w:pStyle w:val="2"/>
        <w:keepNext w:val="0"/>
        <w:keepLines w:val="0"/>
        <w:pageBreakBefore w:val="0"/>
        <w:widowControl w:val="0"/>
        <w:numPr>
          <w:ilvl w:val="0"/>
          <w:numId w:val="1"/>
        </w:numPr>
        <w:kinsoku/>
        <w:overflowPunct/>
        <w:topLinePunct w:val="0"/>
        <w:bidi w:val="0"/>
        <w:spacing w:line="400" w:lineRule="exact"/>
        <w:textAlignment w:val="auto"/>
        <w:rPr>
          <w:rFonts w:hint="eastAsia" w:ascii="宋体" w:hAnsi="宋体" w:eastAsia="宋体" w:cs="宋体"/>
          <w:color w:val="000000" w:themeColor="text1"/>
          <w14:textFill>
            <w14:solidFill>
              <w14:schemeClr w14:val="tx1"/>
            </w14:solidFill>
          </w14:textFill>
        </w:rPr>
      </w:pPr>
      <w:bookmarkStart w:id="425" w:name="_Toc1657"/>
      <w:r>
        <w:rPr>
          <w:rFonts w:hint="eastAsia" w:ascii="宋体" w:hAnsi="宋体" w:eastAsia="宋体" w:cs="宋体"/>
          <w:color w:val="000000" w:themeColor="text1"/>
          <w:szCs w:val="24"/>
          <w14:textFill>
            <w14:solidFill>
              <w14:schemeClr w14:val="tx1"/>
            </w14:solidFill>
          </w14:textFill>
        </w:rPr>
        <w:t>评审评分标准</w:t>
      </w:r>
      <w:bookmarkEnd w:id="424"/>
      <w:bookmarkEnd w:id="425"/>
    </w:p>
    <w:tbl>
      <w:tblPr>
        <w:tblStyle w:val="43"/>
        <w:tblpPr w:leftFromText="180" w:rightFromText="180" w:vertAnchor="text" w:tblpXSpec="center" w:tblpY="1"/>
        <w:tblOverlap w:val="never"/>
        <w:tblW w:w="10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32"/>
        <w:gridCol w:w="869"/>
        <w:gridCol w:w="4735"/>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41" w:type="dxa"/>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332" w:type="dxa"/>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评分因素</w:t>
            </w:r>
          </w:p>
        </w:tc>
        <w:tc>
          <w:tcPr>
            <w:tcW w:w="869" w:type="dxa"/>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分值</w:t>
            </w:r>
          </w:p>
        </w:tc>
        <w:tc>
          <w:tcPr>
            <w:tcW w:w="4735" w:type="dxa"/>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评分标准</w:t>
            </w:r>
          </w:p>
        </w:tc>
        <w:tc>
          <w:tcPr>
            <w:tcW w:w="2675" w:type="dxa"/>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332" w:type="dxa"/>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投标报价</w:t>
            </w:r>
          </w:p>
        </w:tc>
        <w:tc>
          <w:tcPr>
            <w:tcW w:w="869" w:type="dxa"/>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50</w:t>
            </w:r>
          </w:p>
        </w:tc>
        <w:tc>
          <w:tcPr>
            <w:tcW w:w="4735" w:type="dxa"/>
            <w:vAlign w:val="center"/>
          </w:tcPr>
          <w:p>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初步评审合格投标人的投标总报价均先得基本分50分；所有初审合格的报价取算术平均值做基准价，在此基础上，投标总报价与评标</w:t>
            </w:r>
            <w:r>
              <w:rPr>
                <w:rFonts w:hint="eastAsia" w:ascii="宋体" w:hAnsi="宋体" w:cs="宋体"/>
                <w:color w:val="auto"/>
                <w:szCs w:val="21"/>
                <w:lang w:eastAsia="zh-CN"/>
              </w:rPr>
              <w:t>基准</w:t>
            </w:r>
            <w:r>
              <w:rPr>
                <w:rFonts w:hint="eastAsia" w:ascii="宋体" w:hAnsi="宋体" w:eastAsia="宋体" w:cs="宋体"/>
                <w:color w:val="auto"/>
                <w:szCs w:val="21"/>
              </w:rPr>
              <w:t>价相比，每增加1%扣0.2分，每减少1%扣0.1分，扣完为止。</w:t>
            </w:r>
          </w:p>
          <w:p>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按插入法计算得分，以上计算结果取小数点后两位，第三位四舍五入。</w:t>
            </w:r>
          </w:p>
        </w:tc>
        <w:tc>
          <w:tcPr>
            <w:tcW w:w="26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rPr>
            </w:pPr>
            <w:r>
              <w:rPr>
                <w:rFonts w:hint="eastAsia" w:ascii="宋体" w:hAnsi="宋体" w:eastAsia="宋体" w:cs="宋体"/>
                <w:color w:val="auto"/>
                <w:kern w:val="0"/>
              </w:rPr>
              <w:t>投标总报价的偏差率计算公式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rPr>
            </w:pPr>
            <w:r>
              <w:rPr>
                <w:rFonts w:hint="eastAsia" w:ascii="宋体" w:hAnsi="宋体" w:eastAsia="宋体" w:cs="宋体"/>
                <w:color w:val="auto"/>
                <w:kern w:val="0"/>
              </w:rPr>
              <w:t>偏差率</w:t>
            </w:r>
            <w:r>
              <w:rPr>
                <w:rFonts w:hint="eastAsia" w:ascii="宋体" w:hAnsi="宋体" w:eastAsia="宋体" w:cs="宋体"/>
                <w:color w:val="auto"/>
                <w:kern w:val="0"/>
                <w:sz w:val="28"/>
                <w:szCs w:val="28"/>
              </w:rPr>
              <w:t>=</w:t>
            </w:r>
            <w:r>
              <w:rPr>
                <w:rFonts w:hint="eastAsia" w:ascii="宋体" w:hAnsi="宋体" w:eastAsia="宋体" w:cs="宋体"/>
                <w:color w:val="auto"/>
                <w:kern w:val="0"/>
              </w:rPr>
              <w:t>100％×（投标人报价一评标基准价）</w:t>
            </w:r>
            <w:r>
              <w:rPr>
                <w:rFonts w:hint="eastAsia" w:ascii="宋体" w:hAnsi="宋体" w:cs="宋体"/>
                <w:color w:val="auto"/>
                <w:kern w:val="0"/>
                <w:lang w:val="en-US" w:eastAsia="zh-CN"/>
              </w:rPr>
              <w:t>/</w:t>
            </w:r>
            <w:r>
              <w:rPr>
                <w:rFonts w:hint="eastAsia" w:ascii="宋体" w:hAnsi="宋体" w:eastAsia="宋体" w:cs="宋体"/>
                <w:color w:val="auto"/>
                <w:kern w:val="0"/>
              </w:rPr>
              <w:t>评标基准价</w:t>
            </w:r>
          </w:p>
          <w:p>
            <w:pPr>
              <w:pStyle w:val="372"/>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color w:val="auto"/>
                <w:sz w:val="21"/>
                <w:szCs w:val="21"/>
              </w:rPr>
            </w:pPr>
            <w:r>
              <w:rPr>
                <w:rFonts w:hint="eastAsia" w:ascii="宋体" w:hAnsi="宋体" w:eastAsia="宋体" w:cs="宋体"/>
                <w:b w:val="0"/>
                <w:color w:val="auto"/>
                <w:kern w:val="0"/>
                <w:sz w:val="21"/>
                <w:lang w:val="en-US" w:eastAsia="zh-CN" w:bidi="ar-SA"/>
              </w:rPr>
              <w:t>偏差率计算的最终结果取小数点后两位，小数点后第三位“四舍五入”。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restart"/>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1332" w:type="dxa"/>
            <w:vMerge w:val="restart"/>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技术部分</w:t>
            </w:r>
          </w:p>
        </w:tc>
        <w:tc>
          <w:tcPr>
            <w:tcW w:w="869" w:type="dxa"/>
            <w:vMerge w:val="restart"/>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50</w:t>
            </w:r>
          </w:p>
        </w:tc>
        <w:tc>
          <w:tcPr>
            <w:tcW w:w="4735" w:type="dxa"/>
            <w:vAlign w:val="center"/>
          </w:tcPr>
          <w:p>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1.施工方案与技术措施1</w:t>
            </w:r>
            <w:r>
              <w:rPr>
                <w:rFonts w:hint="eastAsia" w:ascii="宋体" w:hAnsi="宋体" w:cs="宋体"/>
                <w:color w:val="auto"/>
                <w:szCs w:val="21"/>
                <w:lang w:val="en-US" w:eastAsia="zh-CN"/>
              </w:rPr>
              <w:t>5</w:t>
            </w:r>
            <w:r>
              <w:rPr>
                <w:rFonts w:hint="eastAsia" w:ascii="宋体" w:hAnsi="宋体" w:eastAsia="宋体" w:cs="宋体"/>
                <w:color w:val="auto"/>
                <w:szCs w:val="21"/>
              </w:rPr>
              <w:t>分（优</w:t>
            </w:r>
            <w:r>
              <w:rPr>
                <w:rFonts w:hint="eastAsia" w:ascii="宋体" w:hAnsi="宋体" w:cs="宋体"/>
                <w:color w:val="auto"/>
                <w:szCs w:val="21"/>
                <w:lang w:val="en-US" w:eastAsia="zh-CN"/>
              </w:rPr>
              <w:t>10</w:t>
            </w:r>
            <w:r>
              <w:rPr>
                <w:rFonts w:hint="eastAsia" w:ascii="宋体" w:hAnsi="宋体" w:eastAsia="宋体" w:cs="宋体"/>
                <w:color w:val="auto"/>
                <w:szCs w:val="21"/>
              </w:rPr>
              <w:t>-</w:t>
            </w:r>
            <w:r>
              <w:rPr>
                <w:rFonts w:hint="eastAsia" w:ascii="宋体" w:hAnsi="宋体" w:cs="宋体"/>
                <w:color w:val="auto"/>
                <w:szCs w:val="21"/>
                <w:lang w:val="en-US" w:eastAsia="zh-CN"/>
              </w:rPr>
              <w:t>15</w:t>
            </w:r>
            <w:r>
              <w:rPr>
                <w:rFonts w:hint="eastAsia" w:ascii="宋体" w:hAnsi="宋体" w:eastAsia="宋体" w:cs="宋体"/>
                <w:color w:val="auto"/>
                <w:szCs w:val="21"/>
              </w:rPr>
              <w:t>分，良</w:t>
            </w:r>
            <w:r>
              <w:rPr>
                <w:rFonts w:hint="eastAsia" w:ascii="宋体" w:hAnsi="宋体" w:cs="宋体"/>
                <w:color w:val="auto"/>
                <w:szCs w:val="21"/>
                <w:lang w:val="en-US" w:eastAsia="zh-CN"/>
              </w:rPr>
              <w:t>7-10</w:t>
            </w:r>
            <w:r>
              <w:rPr>
                <w:rFonts w:hint="eastAsia" w:ascii="宋体" w:hAnsi="宋体" w:eastAsia="宋体" w:cs="宋体"/>
                <w:color w:val="auto"/>
                <w:szCs w:val="21"/>
              </w:rPr>
              <w:t>分，差</w:t>
            </w:r>
            <w:r>
              <w:rPr>
                <w:rFonts w:hint="eastAsia" w:ascii="宋体" w:hAnsi="宋体" w:cs="宋体"/>
                <w:color w:val="auto"/>
                <w:szCs w:val="21"/>
                <w:lang w:val="en-US" w:eastAsia="zh-CN"/>
              </w:rPr>
              <w:t>0-7</w:t>
            </w:r>
            <w:r>
              <w:rPr>
                <w:rFonts w:hint="eastAsia" w:ascii="宋体" w:hAnsi="宋体" w:eastAsia="宋体" w:cs="宋体"/>
                <w:color w:val="auto"/>
                <w:szCs w:val="21"/>
              </w:rPr>
              <w:t>分）；</w:t>
            </w:r>
          </w:p>
        </w:tc>
        <w:tc>
          <w:tcPr>
            <w:tcW w:w="2675" w:type="dxa"/>
            <w:vMerge w:val="restart"/>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提供方案（格式自拟）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continue"/>
            <w:vAlign w:val="center"/>
          </w:tcPr>
          <w:p>
            <w:pPr>
              <w:keepNext w:val="0"/>
              <w:keepLines w:val="0"/>
              <w:pageBreakBefore w:val="0"/>
              <w:widowControl w:val="0"/>
              <w:kinsoku/>
              <w:overflowPunct/>
              <w:topLinePunct w:val="0"/>
              <w:autoSpaceDE/>
              <w:autoSpaceDN/>
              <w:bidi w:val="0"/>
              <w:adjustRightInd/>
              <w:spacing w:line="400" w:lineRule="exact"/>
              <w:jc w:val="left"/>
              <w:textAlignment w:val="auto"/>
            </w:pPr>
          </w:p>
        </w:tc>
        <w:tc>
          <w:tcPr>
            <w:tcW w:w="1332" w:type="dxa"/>
            <w:vMerge w:val="continue"/>
            <w:vAlign w:val="center"/>
          </w:tcPr>
          <w:p>
            <w:pPr>
              <w:keepNext w:val="0"/>
              <w:keepLines w:val="0"/>
              <w:pageBreakBefore w:val="0"/>
              <w:widowControl w:val="0"/>
              <w:kinsoku/>
              <w:overflowPunct/>
              <w:topLinePunct w:val="0"/>
              <w:autoSpaceDE/>
              <w:autoSpaceDN/>
              <w:bidi w:val="0"/>
              <w:adjustRightInd/>
              <w:spacing w:line="400" w:lineRule="exact"/>
              <w:jc w:val="left"/>
              <w:textAlignment w:val="auto"/>
            </w:pPr>
          </w:p>
        </w:tc>
        <w:tc>
          <w:tcPr>
            <w:tcW w:w="869" w:type="dxa"/>
            <w:vMerge w:val="continue"/>
            <w:vAlign w:val="center"/>
          </w:tcPr>
          <w:p>
            <w:pPr>
              <w:keepNext w:val="0"/>
              <w:keepLines w:val="0"/>
              <w:pageBreakBefore w:val="0"/>
              <w:widowControl w:val="0"/>
              <w:kinsoku/>
              <w:overflowPunct/>
              <w:topLinePunct w:val="0"/>
              <w:autoSpaceDE/>
              <w:autoSpaceDN/>
              <w:bidi w:val="0"/>
              <w:adjustRightInd/>
              <w:spacing w:line="400" w:lineRule="exact"/>
              <w:jc w:val="left"/>
              <w:textAlignment w:val="auto"/>
            </w:pPr>
          </w:p>
        </w:tc>
        <w:tc>
          <w:tcPr>
            <w:tcW w:w="4735" w:type="dxa"/>
            <w:vAlign w:val="center"/>
          </w:tcPr>
          <w:p>
            <w:pPr>
              <w:keepNext w:val="0"/>
              <w:keepLines w:val="0"/>
              <w:pageBreakBefore w:val="0"/>
              <w:widowControl w:val="0"/>
              <w:kinsoku/>
              <w:overflowPunct/>
              <w:topLinePunct w:val="0"/>
              <w:autoSpaceDE/>
              <w:autoSpaceDN/>
              <w:bidi w:val="0"/>
              <w:adjustRightInd/>
              <w:spacing w:line="40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2.质量管理体系与措施15分（优10-15分，良7-10分，差0-7分）；</w:t>
            </w:r>
          </w:p>
        </w:tc>
        <w:tc>
          <w:tcPr>
            <w:tcW w:w="2675" w:type="dxa"/>
            <w:vMerge w:val="continue"/>
            <w:vAlign w:val="center"/>
          </w:tcPr>
          <w:p>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continue"/>
            <w:vAlign w:val="center"/>
          </w:tcPr>
          <w:p>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1332" w:type="dxa"/>
            <w:vMerge w:val="continue"/>
            <w:vAlign w:val="center"/>
          </w:tcPr>
          <w:p>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869" w:type="dxa"/>
            <w:vMerge w:val="continue"/>
            <w:vAlign w:val="center"/>
          </w:tcPr>
          <w:p>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4735" w:type="dxa"/>
            <w:vAlign w:val="center"/>
          </w:tcPr>
          <w:p>
            <w:pPr>
              <w:keepNext w:val="0"/>
              <w:keepLines w:val="0"/>
              <w:pageBreakBefore w:val="0"/>
              <w:widowControl w:val="0"/>
              <w:kinsoku/>
              <w:overflowPunct/>
              <w:topLinePunct w:val="0"/>
              <w:autoSpaceDE/>
              <w:autoSpaceDN/>
              <w:bidi w:val="0"/>
              <w:adjustRightInd/>
              <w:spacing w:line="40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3.安全管理体系与措施10分（优7-10分，良4-7分，差0-4分）；</w:t>
            </w:r>
          </w:p>
        </w:tc>
        <w:tc>
          <w:tcPr>
            <w:tcW w:w="2675" w:type="dxa"/>
            <w:vMerge w:val="continue"/>
            <w:vAlign w:val="center"/>
          </w:tcPr>
          <w:p>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41" w:type="dxa"/>
            <w:vMerge w:val="continue"/>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1332" w:type="dxa"/>
            <w:vMerge w:val="continue"/>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869" w:type="dxa"/>
            <w:vMerge w:val="continue"/>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473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Cs w:val="21"/>
              </w:rPr>
              <w:t>针对本项目提供完整的售后服务方案(10分）：</w:t>
            </w:r>
          </w:p>
          <w:p>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根据投标人提供完整的售后服务方案包括响应时间、质保期内服务方式、质保期外服务方式等，根据方案实际性、可行性、科学性、合理性进行评审。</w:t>
            </w:r>
          </w:p>
          <w:p>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lang w:val="zh-CN"/>
              </w:rPr>
              <w:t>优秀得</w:t>
            </w:r>
            <w:r>
              <w:rPr>
                <w:rFonts w:hint="eastAsia" w:ascii="宋体" w:hAnsi="宋体" w:eastAsia="宋体" w:cs="宋体"/>
                <w:color w:val="auto"/>
                <w:szCs w:val="21"/>
              </w:rPr>
              <w:t>7-10</w:t>
            </w:r>
            <w:r>
              <w:rPr>
                <w:rFonts w:hint="eastAsia" w:ascii="宋体" w:hAnsi="宋体" w:eastAsia="宋体" w:cs="宋体"/>
                <w:color w:val="auto"/>
                <w:szCs w:val="21"/>
                <w:lang w:val="zh-CN"/>
              </w:rPr>
              <w:t>分</w:t>
            </w:r>
            <w:r>
              <w:rPr>
                <w:rFonts w:hint="eastAsia" w:ascii="宋体" w:hAnsi="宋体" w:eastAsia="宋体" w:cs="宋体"/>
                <w:color w:val="auto"/>
                <w:szCs w:val="21"/>
              </w:rPr>
              <w:t>；</w:t>
            </w:r>
            <w:r>
              <w:rPr>
                <w:rFonts w:hint="eastAsia" w:ascii="宋体" w:hAnsi="宋体" w:eastAsia="宋体" w:cs="宋体"/>
                <w:color w:val="auto"/>
                <w:szCs w:val="21"/>
                <w:lang w:val="zh-CN"/>
              </w:rPr>
              <w:t>良好得</w:t>
            </w:r>
            <w:r>
              <w:rPr>
                <w:rFonts w:hint="eastAsia" w:ascii="宋体" w:hAnsi="宋体" w:eastAsia="宋体" w:cs="宋体"/>
                <w:color w:val="auto"/>
                <w:szCs w:val="21"/>
              </w:rPr>
              <w:t>4-7</w:t>
            </w:r>
            <w:r>
              <w:rPr>
                <w:rFonts w:hint="eastAsia" w:ascii="宋体" w:hAnsi="宋体" w:eastAsia="宋体" w:cs="宋体"/>
                <w:color w:val="auto"/>
                <w:szCs w:val="21"/>
                <w:lang w:val="zh-CN"/>
              </w:rPr>
              <w:t>分</w:t>
            </w:r>
            <w:r>
              <w:rPr>
                <w:rFonts w:hint="eastAsia" w:ascii="宋体" w:hAnsi="宋体" w:eastAsia="宋体" w:cs="宋体"/>
                <w:color w:val="auto"/>
                <w:szCs w:val="21"/>
              </w:rPr>
              <w:t>；</w:t>
            </w:r>
            <w:r>
              <w:rPr>
                <w:rFonts w:hint="eastAsia" w:ascii="宋体" w:hAnsi="宋体" w:eastAsia="宋体" w:cs="宋体"/>
                <w:color w:val="auto"/>
                <w:szCs w:val="21"/>
                <w:lang w:val="zh-CN"/>
              </w:rPr>
              <w:t>差得</w:t>
            </w:r>
            <w:r>
              <w:rPr>
                <w:rFonts w:hint="eastAsia" w:ascii="宋体" w:hAnsi="宋体" w:eastAsia="宋体" w:cs="宋体"/>
                <w:color w:val="auto"/>
                <w:szCs w:val="21"/>
              </w:rPr>
              <w:t>0-4</w:t>
            </w:r>
            <w:r>
              <w:rPr>
                <w:rFonts w:hint="eastAsia" w:ascii="宋体" w:hAnsi="宋体" w:eastAsia="宋体" w:cs="宋体"/>
                <w:color w:val="auto"/>
                <w:szCs w:val="21"/>
                <w:lang w:val="zh-CN"/>
              </w:rPr>
              <w:t>分</w:t>
            </w:r>
            <w:r>
              <w:rPr>
                <w:rFonts w:hint="eastAsia" w:ascii="宋体" w:hAnsi="宋体" w:cs="宋体"/>
                <w:color w:val="auto"/>
                <w:szCs w:val="21"/>
                <w:lang w:val="zh-CN"/>
              </w:rPr>
              <w:t>。</w:t>
            </w:r>
          </w:p>
        </w:tc>
        <w:tc>
          <w:tcPr>
            <w:tcW w:w="2675" w:type="dxa"/>
            <w:vMerge w:val="continue"/>
            <w:vAlign w:val="center"/>
          </w:tcPr>
          <w:p>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r>
      <w:bookmarkEnd w:id="374"/>
      <w:bookmarkEnd w:id="375"/>
      <w:bookmarkEnd w:id="376"/>
      <w:bookmarkEnd w:id="377"/>
      <w:bookmarkEnd w:id="378"/>
    </w:tbl>
    <w:p>
      <w:pPr>
        <w:pStyle w:val="2"/>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color w:val="000000" w:themeColor="text1"/>
          <w14:textFill>
            <w14:solidFill>
              <w14:schemeClr w14:val="tx1"/>
            </w14:solidFill>
          </w14:textFill>
        </w:rPr>
      </w:pPr>
      <w:bookmarkStart w:id="426" w:name="_Toc18797"/>
      <w:bookmarkStart w:id="427" w:name="_Toc30959"/>
      <w:bookmarkStart w:id="428" w:name="_Toc12863"/>
      <w:bookmarkStart w:id="429" w:name="_Toc297283412"/>
      <w:bookmarkStart w:id="430" w:name="_Toc7961"/>
      <w:bookmarkStart w:id="431" w:name="_Toc255759377"/>
      <w:bookmarkStart w:id="432" w:name="_Toc257799466"/>
      <w:bookmarkStart w:id="433" w:name="_Toc10512"/>
      <w:bookmarkStart w:id="434" w:name="_Toc6266"/>
      <w:bookmarkStart w:id="435" w:name="_Toc31611"/>
      <w:bookmarkStart w:id="436" w:name="_Toc14094215"/>
      <w:bookmarkStart w:id="437" w:name="_Toc297197559"/>
      <w:bookmarkStart w:id="438" w:name="_Toc21543"/>
      <w:bookmarkStart w:id="439" w:name="_Toc86934225"/>
      <w:bookmarkStart w:id="440" w:name="_Toc3501"/>
      <w:bookmarkStart w:id="441" w:name="_Toc3737"/>
      <w:r>
        <w:rPr>
          <w:rFonts w:hint="eastAsia" w:ascii="宋体" w:hAnsi="宋体" w:eastAsia="宋体" w:cs="宋体"/>
          <w:b/>
          <w:color w:val="000000" w:themeColor="text1"/>
          <w:kern w:val="0"/>
          <w:sz w:val="24"/>
          <w:lang w:val="en-US" w:eastAsia="zh-CN" w:bidi="ar-SA"/>
          <w14:textFill>
            <w14:solidFill>
              <w14:schemeClr w14:val="tx1"/>
            </w14:solidFill>
          </w14:textFill>
        </w:rPr>
        <w:t>5、</w:t>
      </w:r>
      <w:r>
        <w:rPr>
          <w:rFonts w:hint="eastAsia" w:ascii="宋体" w:hAnsi="宋体" w:eastAsia="宋体" w:cs="宋体"/>
          <w:color w:val="000000" w:themeColor="text1"/>
          <w:szCs w:val="24"/>
          <w14:textFill>
            <w14:solidFill>
              <w14:schemeClr w14:val="tx1"/>
            </w14:solidFill>
          </w14:textFill>
        </w:rPr>
        <w:t>评标报告</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完成评标后,应当向招标人提出书面评标报告。评标报告由评标委员会全体成员签字。对评标结论持有异议的评标委员可以书面方式阐述其不同意见和理由。评标委员会成员拒绝在评标报告上签字且不陈述其不同意见和理由的，视为同意评标结论。评标委员会应当对此作出书面说明并记录在案。评标委员会推荐的中标候选人应当限定在一至三人，并标明排列顺序。</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442" w:name="_Toc18284"/>
      <w:bookmarkStart w:id="443" w:name="_Toc9441"/>
      <w:bookmarkStart w:id="444" w:name="_Toc8417"/>
      <w:bookmarkStart w:id="445" w:name="_Toc297197560"/>
      <w:bookmarkStart w:id="446" w:name="_Toc9549"/>
      <w:bookmarkStart w:id="447" w:name="_Toc9432"/>
      <w:bookmarkStart w:id="448" w:name="_Toc23296"/>
      <w:bookmarkStart w:id="449" w:name="_Toc14094216"/>
      <w:bookmarkStart w:id="450" w:name="_Toc28014"/>
      <w:bookmarkStart w:id="451" w:name="_Toc86934226"/>
      <w:bookmarkStart w:id="452" w:name="_Toc14442"/>
      <w:bookmarkStart w:id="453" w:name="_Toc17655"/>
      <w:bookmarkStart w:id="454" w:name="_Toc297283413"/>
      <w:bookmarkStart w:id="455" w:name="_Toc22478"/>
      <w:r>
        <w:rPr>
          <w:rFonts w:hint="eastAsia" w:ascii="宋体" w:hAnsi="宋体" w:eastAsia="宋体" w:cs="宋体"/>
          <w:color w:val="000000" w:themeColor="text1"/>
          <w:szCs w:val="24"/>
          <w14:textFill>
            <w14:solidFill>
              <w14:schemeClr w14:val="tx1"/>
            </w14:solidFill>
          </w14:textFill>
        </w:rPr>
        <w:t>6、评标保密</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开标后，直至授予中标人合同为止，凡属于对投标文件的审查、澄清、评价、比较有关的资料和中标候选人的推荐情况，以及与评标有关的其他任何情况均严格保密。</w:t>
      </w: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numPr>
          <w:ilvl w:val="0"/>
          <w:numId w:val="2"/>
        </w:numPr>
        <w:spacing w:after="120" w:afterLines="50" w:line="360" w:lineRule="auto"/>
        <w:jc w:val="center"/>
        <w:rPr>
          <w:rFonts w:hint="eastAsia" w:ascii="宋体" w:hAnsi="宋体" w:eastAsia="宋体" w:cs="宋体"/>
          <w:b w:val="0"/>
          <w:bCs/>
          <w:color w:val="000000" w:themeColor="text1"/>
          <w:sz w:val="32"/>
          <w:szCs w:val="32"/>
          <w14:textFill>
            <w14:solidFill>
              <w14:schemeClr w14:val="tx1"/>
            </w14:solidFill>
          </w14:textFill>
        </w:rPr>
        <w:sectPr>
          <w:footerReference r:id="rId3" w:type="default"/>
          <w:pgSz w:w="11907" w:h="16840"/>
          <w:pgMar w:top="1134" w:right="1191" w:bottom="1134" w:left="1304" w:header="851" w:footer="992" w:gutter="0"/>
          <w:pgNumType w:fmt="decimal" w:start="1"/>
          <w:cols w:space="720" w:num="1"/>
          <w:docGrid w:linePitch="380" w:charSpace="-5735"/>
        </w:sectPr>
      </w:pPr>
      <w:bookmarkStart w:id="456" w:name="招标文件04章合同条款及格式"/>
      <w:bookmarkEnd w:id="456"/>
      <w:bookmarkStart w:id="457" w:name="招标文件03章02评标办法综合评估法02附件02"/>
      <w:bookmarkEnd w:id="457"/>
      <w:bookmarkStart w:id="458" w:name="_Toc419974526"/>
      <w:bookmarkStart w:id="459" w:name="_Toc428172774"/>
      <w:bookmarkStart w:id="460" w:name="_Toc430186004"/>
      <w:bookmarkStart w:id="461" w:name="_Toc430184720"/>
      <w:bookmarkStart w:id="462" w:name="_Toc419977311"/>
      <w:bookmarkStart w:id="463" w:name="_Toc428518770"/>
      <w:bookmarkStart w:id="464" w:name="_Toc370384673"/>
      <w:bookmarkStart w:id="465" w:name="_Toc419974284"/>
      <w:bookmarkStart w:id="466" w:name="_Toc338941679"/>
    </w:p>
    <w:p>
      <w:pPr>
        <w:pStyle w:val="2"/>
        <w:numPr>
          <w:ilvl w:val="0"/>
          <w:numId w:val="0"/>
        </w:numPr>
        <w:spacing w:line="360" w:lineRule="auto"/>
        <w:jc w:val="center"/>
        <w:rPr>
          <w:rFonts w:hint="eastAsia" w:ascii="宋体" w:hAnsi="宋体" w:eastAsia="宋体" w:cs="宋体"/>
          <w:color w:val="000000" w:themeColor="text1"/>
          <w:kern w:val="2"/>
          <w:sz w:val="32"/>
          <w:szCs w:val="32"/>
          <w14:textFill>
            <w14:solidFill>
              <w14:schemeClr w14:val="tx1"/>
            </w14:solidFill>
          </w14:textFill>
        </w:rPr>
      </w:pPr>
      <w:bookmarkStart w:id="467" w:name="_Toc14076"/>
      <w:bookmarkStart w:id="468" w:name="_Toc351203494"/>
      <w:bookmarkStart w:id="469" w:name="_Toc12845"/>
      <w:bookmarkStart w:id="470" w:name="_Toc57905907"/>
      <w:bookmarkStart w:id="471" w:name="_Toc509218786"/>
      <w:bookmarkStart w:id="472" w:name="_Toc534185765"/>
      <w:r>
        <w:rPr>
          <w:rFonts w:hint="eastAsia" w:ascii="宋体" w:hAnsi="宋体" w:eastAsia="宋体" w:cs="宋体"/>
          <w:b/>
          <w:color w:val="000000" w:themeColor="text1"/>
          <w:kern w:val="2"/>
          <w:sz w:val="52"/>
          <w:szCs w:val="52"/>
          <w:lang w:val="en-US" w:eastAsia="zh-CN" w:bidi="ar-SA"/>
          <w14:textFill>
            <w14:solidFill>
              <w14:schemeClr w14:val="tx1"/>
            </w14:solidFill>
          </w14:textFill>
        </w:rPr>
        <w:t xml:space="preserve">第四章 </w:t>
      </w:r>
      <w:r>
        <w:rPr>
          <w:rFonts w:hint="eastAsia" w:ascii="宋体" w:hAnsi="宋体" w:eastAsia="宋体" w:cs="宋体"/>
          <w:color w:val="000000" w:themeColor="text1"/>
          <w:kern w:val="2"/>
          <w:sz w:val="52"/>
          <w:szCs w:val="52"/>
          <w14:textFill>
            <w14:solidFill>
              <w14:schemeClr w14:val="tx1"/>
            </w14:solidFill>
          </w14:textFill>
        </w:rPr>
        <w:t>合同条款及格式</w:t>
      </w:r>
      <w:bookmarkEnd w:id="467"/>
    </w:p>
    <w:bookmarkEnd w:id="468"/>
    <w:bookmarkEnd w:id="469"/>
    <w:bookmarkEnd w:id="470"/>
    <w:bookmarkEnd w:id="471"/>
    <w:bookmarkEnd w:id="472"/>
    <w:p>
      <w:pPr>
        <w:pageBreakBefore w:val="0"/>
        <w:kinsoku/>
        <w:wordWrap/>
        <w:overflowPunct/>
        <w:topLinePunct w:val="0"/>
        <w:bidi w:val="0"/>
        <w:spacing w:line="400" w:lineRule="exact"/>
        <w:ind w:right="105" w:rightChars="50"/>
        <w:jc w:val="center"/>
        <w:rPr>
          <w:rFonts w:hint="eastAsia" w:ascii="宋体" w:hAnsi="宋体" w:eastAsia="宋体" w:cs="宋体"/>
          <w:bCs/>
          <w:color w:val="000000" w:themeColor="text1"/>
          <w:sz w:val="32"/>
          <w:szCs w:val="32"/>
          <w14:textFill>
            <w14:solidFill>
              <w14:schemeClr w14:val="tx1"/>
            </w14:solidFill>
          </w14:textFill>
        </w:rPr>
      </w:pPr>
      <w:bookmarkStart w:id="473" w:name="_Toc351203652"/>
      <w:r>
        <w:rPr>
          <w:rFonts w:hint="eastAsia" w:ascii="宋体" w:hAnsi="宋体" w:cs="宋体"/>
          <w:color w:val="000000" w:themeColor="text1"/>
          <w:szCs w:val="21"/>
          <w:lang w:val="en-US" w:eastAsia="zh-CN"/>
          <w14:textFill>
            <w14:solidFill>
              <w14:schemeClr w14:val="tx1"/>
            </w14:solidFill>
          </w14:textFill>
        </w:rPr>
        <w:t>合同格式由招标人自行拟定。</w:t>
      </w:r>
      <w:bookmarkEnd w:id="458"/>
      <w:bookmarkEnd w:id="459"/>
      <w:bookmarkEnd w:id="460"/>
      <w:bookmarkEnd w:id="461"/>
      <w:bookmarkEnd w:id="462"/>
      <w:bookmarkEnd w:id="463"/>
      <w:bookmarkEnd w:id="464"/>
      <w:bookmarkEnd w:id="465"/>
      <w:bookmarkEnd w:id="466"/>
      <w:bookmarkEnd w:id="473"/>
      <w:bookmarkStart w:id="474" w:name="_Toc2569"/>
      <w:bookmarkEnd w:id="474"/>
      <w:bookmarkStart w:id="475" w:name="_Toc419974286"/>
      <w:bookmarkStart w:id="476" w:name="_Toc419974528"/>
      <w:bookmarkStart w:id="477" w:name="_Toc338941681"/>
      <w:bookmarkStart w:id="478" w:name="_Toc428518773"/>
      <w:bookmarkStart w:id="479" w:name="_Toc370384675"/>
      <w:bookmarkStart w:id="480" w:name="_Toc430186005"/>
      <w:bookmarkStart w:id="481" w:name="_Toc86934238"/>
      <w:bookmarkStart w:id="482" w:name="_Toc419977313"/>
      <w:bookmarkStart w:id="483" w:name="_Toc430184721"/>
      <w:bookmarkStart w:id="484" w:name="_Toc428172776"/>
    </w:p>
    <w:p>
      <w:pPr>
        <w:pStyle w:val="2"/>
        <w:spacing w:line="360" w:lineRule="auto"/>
        <w:jc w:val="center"/>
        <w:rPr>
          <w:rFonts w:hint="eastAsia" w:ascii="宋体" w:hAnsi="宋体" w:eastAsia="宋体" w:cs="宋体"/>
          <w:bCs/>
          <w:color w:val="000000" w:themeColor="text1"/>
          <w:sz w:val="32"/>
          <w:szCs w:val="32"/>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p>
    <w:p>
      <w:pPr>
        <w:pStyle w:val="2"/>
        <w:spacing w:line="360" w:lineRule="auto"/>
        <w:jc w:val="center"/>
        <w:rPr>
          <w:rFonts w:hint="eastAsia" w:ascii="宋体" w:hAnsi="宋体" w:eastAsia="宋体" w:cs="宋体"/>
          <w:color w:val="000000" w:themeColor="text1"/>
          <w:sz w:val="32"/>
          <w:szCs w:val="32"/>
          <w14:textFill>
            <w14:solidFill>
              <w14:schemeClr w14:val="tx1"/>
            </w14:solidFill>
          </w14:textFill>
        </w:rPr>
      </w:pPr>
      <w:bookmarkStart w:id="485" w:name="_Toc4589"/>
      <w:r>
        <w:rPr>
          <w:rFonts w:hint="eastAsia" w:ascii="宋体" w:hAnsi="宋体" w:eastAsia="宋体" w:cs="宋体"/>
          <w:bCs/>
          <w:color w:val="000000" w:themeColor="text1"/>
          <w:sz w:val="52"/>
          <w:szCs w:val="52"/>
          <w14:textFill>
            <w14:solidFill>
              <w14:schemeClr w14:val="tx1"/>
            </w14:solidFill>
          </w14:textFill>
        </w:rPr>
        <w:t>第</w:t>
      </w:r>
      <w:r>
        <w:rPr>
          <w:rFonts w:hint="eastAsia" w:ascii="宋体" w:hAnsi="宋体" w:eastAsia="宋体" w:cs="宋体"/>
          <w:bCs/>
          <w:color w:val="000000" w:themeColor="text1"/>
          <w:sz w:val="52"/>
          <w:szCs w:val="52"/>
          <w:lang w:val="en-US" w:eastAsia="zh-CN"/>
          <w14:textFill>
            <w14:solidFill>
              <w14:schemeClr w14:val="tx1"/>
            </w14:solidFill>
          </w14:textFill>
        </w:rPr>
        <w:t>五</w:t>
      </w:r>
      <w:r>
        <w:rPr>
          <w:rFonts w:hint="eastAsia" w:ascii="宋体" w:hAnsi="宋体" w:eastAsia="宋体" w:cs="宋体"/>
          <w:bCs/>
          <w:color w:val="000000" w:themeColor="text1"/>
          <w:sz w:val="52"/>
          <w:szCs w:val="52"/>
          <w14:textFill>
            <w14:solidFill>
              <w14:schemeClr w14:val="tx1"/>
            </w14:solidFill>
          </w14:textFill>
        </w:rPr>
        <w:t xml:space="preserve">章 </w:t>
      </w:r>
      <w:r>
        <w:rPr>
          <w:rFonts w:hint="eastAsia" w:ascii="宋体" w:hAnsi="宋体" w:eastAsia="宋体" w:cs="宋体"/>
          <w:color w:val="000000" w:themeColor="text1"/>
          <w:sz w:val="52"/>
          <w:szCs w:val="52"/>
          <w14:textFill>
            <w14:solidFill>
              <w14:schemeClr w14:val="tx1"/>
            </w14:solidFill>
          </w14:textFill>
        </w:rPr>
        <w:t>投标文件格式</w:t>
      </w:r>
      <w:bookmarkEnd w:id="475"/>
      <w:bookmarkEnd w:id="476"/>
      <w:bookmarkEnd w:id="477"/>
      <w:bookmarkEnd w:id="478"/>
      <w:bookmarkEnd w:id="479"/>
      <w:bookmarkEnd w:id="480"/>
      <w:bookmarkEnd w:id="481"/>
      <w:bookmarkEnd w:id="482"/>
      <w:bookmarkEnd w:id="483"/>
      <w:bookmarkEnd w:id="484"/>
      <w:bookmarkEnd w:id="485"/>
      <w:bookmarkStart w:id="486" w:name="_Toc370384676"/>
      <w:bookmarkStart w:id="487" w:name="_Toc338941682"/>
    </w:p>
    <w:p>
      <w:pPr>
        <w:pStyle w:val="16"/>
        <w:rPr>
          <w:rFonts w:hint="eastAsia" w:ascii="宋体" w:hAnsi="宋体" w:eastAsia="宋体" w:cs="宋体"/>
          <w:b/>
          <w:color w:val="000000" w:themeColor="text1"/>
          <w:kern w:val="0"/>
          <w:sz w:val="44"/>
          <w:szCs w:val="44"/>
          <w14:textFill>
            <w14:solidFill>
              <w14:schemeClr w14:val="tx1"/>
            </w14:solidFill>
          </w14:textFill>
        </w:rPr>
      </w:pPr>
    </w:p>
    <w:p>
      <w:pPr>
        <w:pStyle w:val="16"/>
        <w:rPr>
          <w:rFonts w:hint="eastAsia" w:ascii="宋体" w:hAnsi="宋体" w:eastAsia="宋体" w:cs="宋体"/>
          <w:b/>
          <w:color w:val="000000" w:themeColor="text1"/>
          <w:kern w:val="0"/>
          <w:sz w:val="44"/>
          <w:szCs w:val="44"/>
          <w14:textFill>
            <w14:solidFill>
              <w14:schemeClr w14:val="tx1"/>
            </w14:solidFill>
          </w14:textFill>
        </w:rPr>
      </w:pPr>
    </w:p>
    <w:p>
      <w:pPr>
        <w:pStyle w:val="16"/>
        <w:rPr>
          <w:rFonts w:hint="eastAsia" w:ascii="宋体" w:hAnsi="宋体" w:eastAsia="宋体" w:cs="宋体"/>
          <w:b/>
          <w:color w:val="000000" w:themeColor="text1"/>
          <w:kern w:val="0"/>
          <w:sz w:val="44"/>
          <w:szCs w:val="44"/>
          <w14:textFill>
            <w14:solidFill>
              <w14:schemeClr w14:val="tx1"/>
            </w14:solidFill>
          </w14:textFill>
        </w:rPr>
      </w:pPr>
    </w:p>
    <w:p>
      <w:pPr>
        <w:pStyle w:val="16"/>
        <w:rPr>
          <w:rFonts w:hint="eastAsia" w:ascii="宋体" w:hAnsi="宋体" w:eastAsia="宋体" w:cs="宋体"/>
          <w:b/>
          <w:color w:val="000000" w:themeColor="text1"/>
          <w:kern w:val="0"/>
          <w:sz w:val="44"/>
          <w:szCs w:val="44"/>
          <w14:textFill>
            <w14:solidFill>
              <w14:schemeClr w14:val="tx1"/>
            </w14:solidFill>
          </w14:textFill>
        </w:rPr>
      </w:pPr>
    </w:p>
    <w:p>
      <w:pPr>
        <w:pStyle w:val="16"/>
        <w:rPr>
          <w:rFonts w:hint="eastAsia" w:ascii="宋体" w:hAnsi="宋体" w:eastAsia="宋体" w:cs="宋体"/>
          <w:b/>
          <w:color w:val="000000" w:themeColor="text1"/>
          <w:kern w:val="0"/>
          <w:sz w:val="44"/>
          <w:szCs w:val="44"/>
          <w14:textFill>
            <w14:solidFill>
              <w14:schemeClr w14:val="tx1"/>
            </w14:solidFill>
          </w14:textFill>
        </w:rPr>
      </w:pPr>
    </w:p>
    <w:p>
      <w:pPr>
        <w:pStyle w:val="16"/>
        <w:rPr>
          <w:rFonts w:hint="eastAsia" w:ascii="宋体" w:hAnsi="宋体" w:eastAsia="宋体" w:cs="宋体"/>
          <w:b/>
          <w:color w:val="000000" w:themeColor="text1"/>
          <w:kern w:val="0"/>
          <w:sz w:val="44"/>
          <w:szCs w:val="44"/>
          <w14:textFill>
            <w14:solidFill>
              <w14:schemeClr w14:val="tx1"/>
            </w14:solidFill>
          </w14:textFill>
        </w:rPr>
      </w:pPr>
    </w:p>
    <w:p>
      <w:pPr>
        <w:pStyle w:val="16"/>
        <w:rPr>
          <w:rFonts w:hint="eastAsia" w:ascii="宋体" w:hAnsi="宋体" w:eastAsia="宋体" w:cs="宋体"/>
          <w:b/>
          <w:color w:val="000000" w:themeColor="text1"/>
          <w:kern w:val="0"/>
          <w:sz w:val="44"/>
          <w:szCs w:val="44"/>
          <w14:textFill>
            <w14:solidFill>
              <w14:schemeClr w14:val="tx1"/>
            </w14:solidFill>
          </w14:textFill>
        </w:rPr>
      </w:pPr>
    </w:p>
    <w:p>
      <w:pPr>
        <w:pStyle w:val="16"/>
        <w:rPr>
          <w:rFonts w:hint="eastAsia" w:ascii="宋体" w:hAnsi="宋体" w:eastAsia="宋体" w:cs="宋体"/>
          <w:b/>
          <w:color w:val="000000" w:themeColor="text1"/>
          <w:kern w:val="0"/>
          <w:sz w:val="44"/>
          <w:szCs w:val="44"/>
          <w14:textFill>
            <w14:solidFill>
              <w14:schemeClr w14:val="tx1"/>
            </w14:solidFill>
          </w14:textFill>
        </w:rPr>
      </w:pPr>
    </w:p>
    <w:p>
      <w:pPr>
        <w:pStyle w:val="16"/>
        <w:rPr>
          <w:rFonts w:hint="eastAsia" w:ascii="宋体" w:hAnsi="宋体" w:eastAsia="宋体" w:cs="宋体"/>
          <w:b/>
          <w:color w:val="000000" w:themeColor="text1"/>
          <w:kern w:val="0"/>
          <w:sz w:val="44"/>
          <w:szCs w:val="44"/>
          <w14:textFill>
            <w14:solidFill>
              <w14:schemeClr w14:val="tx1"/>
            </w14:solidFill>
          </w14:textFill>
        </w:rPr>
      </w:pPr>
    </w:p>
    <w:p>
      <w:pPr>
        <w:pStyle w:val="16"/>
        <w:rPr>
          <w:rFonts w:hint="eastAsia" w:ascii="宋体" w:hAnsi="宋体" w:eastAsia="宋体" w:cs="宋体"/>
          <w:b/>
          <w:color w:val="000000" w:themeColor="text1"/>
          <w:kern w:val="0"/>
          <w:sz w:val="44"/>
          <w:szCs w:val="44"/>
          <w14:textFill>
            <w14:solidFill>
              <w14:schemeClr w14:val="tx1"/>
            </w14:solidFill>
          </w14:textFill>
        </w:rPr>
      </w:pPr>
    </w:p>
    <w:p>
      <w:pPr>
        <w:pStyle w:val="16"/>
        <w:rPr>
          <w:rFonts w:hint="eastAsia" w:ascii="宋体" w:hAnsi="宋体" w:eastAsia="宋体" w:cs="宋体"/>
          <w:b/>
          <w:color w:val="000000" w:themeColor="text1"/>
          <w:kern w:val="0"/>
          <w:sz w:val="44"/>
          <w:szCs w:val="44"/>
          <w14:textFill>
            <w14:solidFill>
              <w14:schemeClr w14:val="tx1"/>
            </w14:solidFill>
          </w14:textFill>
        </w:rPr>
      </w:pPr>
    </w:p>
    <w:p>
      <w:pPr>
        <w:rPr>
          <w:rFonts w:hint="eastAsia" w:ascii="宋体" w:hAnsi="宋体" w:eastAsia="宋体" w:cs="宋体"/>
          <w:b/>
          <w:color w:val="000000" w:themeColor="text1"/>
          <w:kern w:val="0"/>
          <w:sz w:val="44"/>
          <w:szCs w:val="44"/>
          <w14:textFill>
            <w14:solidFill>
              <w14:schemeClr w14:val="tx1"/>
            </w14:solidFill>
          </w14:textFill>
        </w:rPr>
      </w:pPr>
    </w:p>
    <w:p>
      <w:pPr>
        <w:rPr>
          <w:rFonts w:hint="eastAsia" w:ascii="宋体" w:hAnsi="宋体" w:eastAsia="宋体" w:cs="宋体"/>
          <w:b/>
          <w:color w:val="000000" w:themeColor="text1"/>
          <w:kern w:val="0"/>
          <w:sz w:val="44"/>
          <w:szCs w:val="44"/>
          <w14:textFill>
            <w14:solidFill>
              <w14:schemeClr w14:val="tx1"/>
            </w14:solidFill>
          </w14:textFill>
        </w:rPr>
      </w:pPr>
    </w:p>
    <w:p>
      <w:pPr>
        <w:rPr>
          <w:rFonts w:hint="eastAsia" w:ascii="宋体" w:hAnsi="宋体" w:eastAsia="宋体" w:cs="宋体"/>
          <w:b/>
          <w:color w:val="000000" w:themeColor="text1"/>
          <w:kern w:val="0"/>
          <w:sz w:val="44"/>
          <w:szCs w:val="44"/>
          <w14:textFill>
            <w14:solidFill>
              <w14:schemeClr w14:val="tx1"/>
            </w14:solidFill>
          </w14:textFill>
        </w:rPr>
      </w:pPr>
    </w:p>
    <w:p>
      <w:pPr>
        <w:rPr>
          <w:rFonts w:hint="eastAsia" w:ascii="宋体" w:hAnsi="宋体" w:eastAsia="宋体" w:cs="宋体"/>
          <w:b/>
          <w:color w:val="000000" w:themeColor="text1"/>
          <w:kern w:val="0"/>
          <w:sz w:val="44"/>
          <w:szCs w:val="44"/>
          <w14:textFill>
            <w14:solidFill>
              <w14:schemeClr w14:val="tx1"/>
            </w14:solidFill>
          </w14:textFill>
        </w:rPr>
      </w:pPr>
    </w:p>
    <w:p>
      <w:pPr>
        <w:rPr>
          <w:rFonts w:hint="eastAsia" w:ascii="宋体" w:hAnsi="宋体" w:eastAsia="宋体" w:cs="宋体"/>
          <w:b/>
          <w:color w:val="000000" w:themeColor="text1"/>
          <w:kern w:val="0"/>
          <w:sz w:val="44"/>
          <w:szCs w:val="44"/>
          <w14:textFill>
            <w14:solidFill>
              <w14:schemeClr w14:val="tx1"/>
            </w14:solidFill>
          </w14:textFill>
        </w:rPr>
      </w:pPr>
    </w:p>
    <w:p>
      <w:pPr>
        <w:rPr>
          <w:rFonts w:hint="eastAsia" w:ascii="宋体" w:hAnsi="宋体" w:eastAsia="宋体" w:cs="宋体"/>
          <w:b/>
          <w:color w:val="000000" w:themeColor="text1"/>
          <w:kern w:val="0"/>
          <w:sz w:val="44"/>
          <w:szCs w:val="44"/>
          <w14:textFill>
            <w14:solidFill>
              <w14:schemeClr w14:val="tx1"/>
            </w14:solidFill>
          </w14:textFill>
        </w:rPr>
      </w:pPr>
    </w:p>
    <w:p>
      <w:pPr>
        <w:rPr>
          <w:rFonts w:hint="eastAsia" w:ascii="宋体" w:hAnsi="宋体" w:eastAsia="宋体" w:cs="宋体"/>
          <w:b/>
          <w:color w:val="000000" w:themeColor="text1"/>
          <w:kern w:val="0"/>
          <w:sz w:val="44"/>
          <w:szCs w:val="44"/>
          <w14:textFill>
            <w14:solidFill>
              <w14:schemeClr w14:val="tx1"/>
            </w14:solidFill>
          </w14:textFill>
        </w:rPr>
      </w:pPr>
    </w:p>
    <w:p>
      <w:pPr>
        <w:rPr>
          <w:rFonts w:hint="eastAsia" w:ascii="宋体" w:hAnsi="宋体" w:eastAsia="宋体" w:cs="宋体"/>
          <w:b/>
          <w:color w:val="000000" w:themeColor="text1"/>
          <w:kern w:val="0"/>
          <w:sz w:val="44"/>
          <w:szCs w:val="44"/>
          <w14:textFill>
            <w14:solidFill>
              <w14:schemeClr w14:val="tx1"/>
            </w14:solidFill>
          </w14:textFill>
        </w:rPr>
      </w:pPr>
    </w:p>
    <w:p>
      <w:pPr>
        <w:rPr>
          <w:rFonts w:hint="eastAsia" w:ascii="宋体" w:hAnsi="宋体" w:eastAsia="宋体" w:cs="宋体"/>
          <w:b/>
          <w:color w:val="000000" w:themeColor="text1"/>
          <w:kern w:val="0"/>
          <w:sz w:val="44"/>
          <w:szCs w:val="44"/>
          <w14:textFill>
            <w14:solidFill>
              <w14:schemeClr w14:val="tx1"/>
            </w14:solidFill>
          </w14:textFill>
        </w:rPr>
      </w:pPr>
    </w:p>
    <w:p>
      <w:pPr>
        <w:rPr>
          <w:rFonts w:hint="eastAsia" w:ascii="宋体" w:hAnsi="宋体" w:eastAsia="宋体" w:cs="宋体"/>
          <w:b/>
          <w:color w:val="000000" w:themeColor="text1"/>
          <w:kern w:val="0"/>
          <w:sz w:val="44"/>
          <w:szCs w:val="44"/>
          <w14:textFill>
            <w14:solidFill>
              <w14:schemeClr w14:val="tx1"/>
            </w14:solidFill>
          </w14:textFill>
        </w:rPr>
      </w:pPr>
    </w:p>
    <w:p>
      <w:pPr>
        <w:rPr>
          <w:rFonts w:hint="eastAsia" w:ascii="宋体" w:hAnsi="宋体" w:eastAsia="宋体" w:cs="宋体"/>
          <w:b/>
          <w:color w:val="000000" w:themeColor="text1"/>
          <w:kern w:val="0"/>
          <w:sz w:val="44"/>
          <w:szCs w:val="44"/>
          <w14:textFill>
            <w14:solidFill>
              <w14:schemeClr w14:val="tx1"/>
            </w14:solidFill>
          </w14:textFill>
        </w:rPr>
      </w:pPr>
    </w:p>
    <w:p>
      <w:pPr>
        <w:pStyle w:val="16"/>
        <w:rPr>
          <w:rFonts w:hint="eastAsia" w:ascii="宋体" w:hAnsi="宋体" w:eastAsia="宋体" w:cs="宋体"/>
          <w:b/>
          <w:color w:val="000000" w:themeColor="text1"/>
          <w:kern w:val="0"/>
          <w:sz w:val="44"/>
          <w:szCs w:val="44"/>
          <w14:textFill>
            <w14:solidFill>
              <w14:schemeClr w14:val="tx1"/>
            </w14:solidFill>
          </w14:textFill>
        </w:rPr>
      </w:pPr>
    </w:p>
    <w:p>
      <w:pPr>
        <w:pStyle w:val="16"/>
        <w:rPr>
          <w:rFonts w:hint="eastAsia" w:ascii="宋体" w:hAnsi="宋体" w:eastAsia="宋体" w:cs="宋体"/>
          <w:b/>
          <w:color w:val="000000" w:themeColor="text1"/>
          <w:kern w:val="0"/>
          <w:sz w:val="44"/>
          <w:szCs w:val="44"/>
          <w14:textFill>
            <w14:solidFill>
              <w14:schemeClr w14:val="tx1"/>
            </w14:solidFill>
          </w14:textFill>
        </w:rPr>
      </w:pPr>
      <w:r>
        <w:rPr>
          <w:rFonts w:hint="eastAsia" w:ascii="宋体" w:hAnsi="宋体" w:eastAsia="宋体" w:cs="宋体"/>
          <w:b/>
          <w:color w:val="000000" w:themeColor="text1"/>
          <w:kern w:val="0"/>
          <w:sz w:val="44"/>
          <w:szCs w:val="44"/>
          <w14:textFill>
            <w14:solidFill>
              <w14:schemeClr w14:val="tx1"/>
            </w14:solidFill>
          </w14:textFill>
        </w:rPr>
        <w:t>封面格式：</w:t>
      </w:r>
    </w:p>
    <w:p>
      <w:pPr>
        <w:tabs>
          <w:tab w:val="left" w:pos="3600"/>
          <w:tab w:val="left" w:pos="4480"/>
          <w:tab w:val="left" w:pos="5360"/>
        </w:tabs>
        <w:autoSpaceDE w:val="0"/>
        <w:autoSpaceDN w:val="0"/>
        <w:adjustRightInd w:val="0"/>
        <w:snapToGrid w:val="0"/>
        <w:jc w:val="center"/>
        <w:rPr>
          <w:rFonts w:hint="eastAsia" w:ascii="宋体" w:hAnsi="宋体" w:eastAsia="宋体" w:cs="宋体"/>
          <w:color w:val="000000" w:themeColor="text1"/>
          <w:spacing w:val="80"/>
          <w:sz w:val="112"/>
          <w:szCs w:val="112"/>
          <w14:textFill>
            <w14:solidFill>
              <w14:schemeClr w14:val="tx1"/>
            </w14:solidFill>
          </w14:textFill>
        </w:rPr>
      </w:pPr>
      <w:bookmarkStart w:id="488" w:name="_Toc31918"/>
      <w:bookmarkStart w:id="489" w:name="_Toc2072"/>
      <w:bookmarkStart w:id="490" w:name="_Toc4214"/>
      <w:bookmarkStart w:id="491" w:name="_Toc12063"/>
      <w:bookmarkStart w:id="492" w:name="_Toc8708"/>
      <w:bookmarkStart w:id="493" w:name="_Toc8290"/>
      <w:bookmarkStart w:id="494" w:name="_Toc10956"/>
    </w:p>
    <w:p>
      <w:pPr>
        <w:tabs>
          <w:tab w:val="left" w:pos="3600"/>
          <w:tab w:val="left" w:pos="4480"/>
          <w:tab w:val="left" w:pos="5360"/>
        </w:tabs>
        <w:autoSpaceDE w:val="0"/>
        <w:autoSpaceDN w:val="0"/>
        <w:adjustRightInd w:val="0"/>
        <w:snapToGrid w:val="0"/>
        <w:jc w:val="center"/>
        <w:rPr>
          <w:rFonts w:hint="eastAsia" w:ascii="宋体" w:hAnsi="宋体" w:eastAsia="宋体" w:cs="宋体"/>
          <w:color w:val="000000" w:themeColor="text1"/>
          <w:spacing w:val="80"/>
          <w:sz w:val="72"/>
          <w:szCs w:val="72"/>
          <w14:textFill>
            <w14:solidFill>
              <w14:schemeClr w14:val="tx1"/>
            </w14:solidFill>
          </w14:textFill>
        </w:rPr>
      </w:pPr>
    </w:p>
    <w:p>
      <w:pPr>
        <w:spacing w:after="240" w:afterLines="100" w:line="360" w:lineRule="auto"/>
        <w:jc w:val="center"/>
        <w:rPr>
          <w:rStyle w:val="57"/>
          <w:rFonts w:hint="eastAsia" w:ascii="宋体" w:hAnsi="宋体" w:eastAsia="宋体" w:cs="宋体"/>
          <w:color w:val="000000" w:themeColor="text1"/>
          <w:sz w:val="84"/>
          <w:szCs w:val="84"/>
          <w14:textFill>
            <w14:solidFill>
              <w14:schemeClr w14:val="tx1"/>
            </w14:solidFill>
          </w14:textFill>
        </w:rPr>
      </w:pPr>
      <w:bookmarkStart w:id="495" w:name="_Toc86934239"/>
      <w:bookmarkStart w:id="496" w:name="_Toc26376"/>
      <w:bookmarkStart w:id="497" w:name="_Toc28938"/>
      <w:bookmarkStart w:id="498" w:name="_Toc4927"/>
      <w:r>
        <w:rPr>
          <w:rStyle w:val="57"/>
          <w:rFonts w:hint="eastAsia" w:ascii="宋体" w:hAnsi="宋体" w:eastAsia="宋体" w:cs="宋体"/>
          <w:color w:val="000000" w:themeColor="text1"/>
          <w:sz w:val="84"/>
          <w:szCs w:val="84"/>
          <w14:textFill>
            <w14:solidFill>
              <w14:schemeClr w14:val="tx1"/>
            </w14:solidFill>
          </w14:textFill>
        </w:rPr>
        <w:t>竞争性比选响应文件</w:t>
      </w:r>
      <w:bookmarkEnd w:id="488"/>
      <w:bookmarkEnd w:id="489"/>
      <w:bookmarkEnd w:id="490"/>
      <w:bookmarkEnd w:id="491"/>
      <w:bookmarkEnd w:id="492"/>
      <w:bookmarkEnd w:id="493"/>
      <w:bookmarkEnd w:id="494"/>
      <w:bookmarkEnd w:id="495"/>
    </w:p>
    <w:bookmarkEnd w:id="496"/>
    <w:bookmarkEnd w:id="497"/>
    <w:bookmarkEnd w:id="498"/>
    <w:p>
      <w:pPr>
        <w:pStyle w:val="16"/>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w w:val="99"/>
          <w:kern w:val="0"/>
          <w:sz w:val="28"/>
          <w:szCs w:val="28"/>
          <w14:textFill>
            <w14:solidFill>
              <w14:schemeClr w14:val="tx1"/>
            </w14:solidFill>
          </w14:textFill>
        </w:rPr>
      </w:pPr>
    </w:p>
    <w:p>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w w:val="99"/>
          <w:kern w:val="0"/>
          <w:sz w:val="28"/>
          <w:szCs w:val="28"/>
          <w14:textFill>
            <w14:solidFill>
              <w14:schemeClr w14:val="tx1"/>
            </w14:solidFill>
          </w14:textFill>
        </w:rPr>
      </w:pPr>
    </w:p>
    <w:p>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kern w:val="0"/>
          <w:sz w:val="28"/>
          <w:szCs w:val="28"/>
          <w:u w:val="single"/>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项目名称：</w:t>
      </w:r>
      <w:r>
        <w:rPr>
          <w:rFonts w:hint="eastAsia" w:ascii="宋体" w:hAnsi="宋体" w:eastAsia="宋体" w:cs="宋体"/>
          <w:b/>
          <w:bCs/>
          <w:color w:val="000000" w:themeColor="text1"/>
          <w:w w:val="99"/>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kern w:val="0"/>
          <w:sz w:val="28"/>
          <w:szCs w:val="28"/>
          <w:u w:val="single"/>
          <w14:textFill>
            <w14:solidFill>
              <w14:schemeClr w14:val="tx1"/>
            </w14:solidFill>
          </w14:textFill>
        </w:rPr>
        <w:t xml:space="preserve">        </w:t>
      </w:r>
    </w:p>
    <w:p>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u w:val="single"/>
          <w14:textFill>
            <w14:solidFill>
              <w14:schemeClr w14:val="tx1"/>
            </w14:solidFill>
          </w14:textFill>
        </w:rPr>
      </w:pPr>
    </w:p>
    <w:p>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投标单位</w:t>
      </w:r>
      <w:r>
        <w:rPr>
          <w:rFonts w:hint="eastAsia" w:ascii="宋体" w:hAnsi="宋体" w:eastAsia="宋体" w:cs="宋体"/>
          <w:b/>
          <w:bCs/>
          <w:color w:val="000000" w:themeColor="text1"/>
          <w:spacing w:val="1"/>
          <w:w w:val="99"/>
          <w:kern w:val="0"/>
          <w:sz w:val="28"/>
          <w:szCs w:val="28"/>
          <w14:textFill>
            <w14:solidFill>
              <w14:schemeClr w14:val="tx1"/>
            </w14:solidFill>
          </w14:textFill>
        </w:rPr>
        <w:t>：</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（公章）</w:t>
      </w:r>
    </w:p>
    <w:p>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p>
    <w:p>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法定代表人或其授权代表：</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（签字）</w:t>
      </w:r>
    </w:p>
    <w:p>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color w:val="000000" w:themeColor="text1"/>
          <w:w w:val="99"/>
          <w:kern w:val="0"/>
          <w:sz w:val="28"/>
          <w:szCs w:val="28"/>
          <w:u w:val="single"/>
          <w14:textFill>
            <w14:solidFill>
              <w14:schemeClr w14:val="tx1"/>
            </w14:solidFill>
          </w14:textFill>
        </w:rPr>
      </w:pPr>
    </w:p>
    <w:p>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年</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月</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日</w:t>
      </w:r>
    </w:p>
    <w:p>
      <w:pPr>
        <w:spacing w:line="360" w:lineRule="auto"/>
        <w:jc w:val="center"/>
        <w:rPr>
          <w:rFonts w:hint="eastAsia" w:ascii="宋体" w:hAnsi="宋体" w:eastAsia="宋体" w:cs="宋体"/>
          <w:b/>
          <w:color w:val="000000" w:themeColor="text1"/>
          <w:sz w:val="28"/>
          <w:szCs w:val="28"/>
          <w14:textFill>
            <w14:solidFill>
              <w14:schemeClr w14:val="tx1"/>
            </w14:solidFill>
          </w14:textFill>
        </w:rPr>
      </w:pPr>
    </w:p>
    <w:p>
      <w:pPr>
        <w:spacing w:line="360" w:lineRule="auto"/>
        <w:jc w:val="both"/>
        <w:rPr>
          <w:rFonts w:hint="eastAsia" w:ascii="宋体" w:hAnsi="宋体" w:eastAsia="宋体" w:cs="宋体"/>
          <w:b/>
          <w:bCs/>
          <w:color w:val="000000" w:themeColor="text1"/>
          <w:sz w:val="32"/>
          <w:szCs w:val="32"/>
          <w14:textFill>
            <w14:solidFill>
              <w14:schemeClr w14:val="tx1"/>
            </w14:solidFill>
          </w14:textFill>
        </w:rPr>
      </w:pPr>
    </w:p>
    <w:p>
      <w:pPr>
        <w:spacing w:line="360" w:lineRule="auto"/>
        <w:ind w:firstLine="643" w:firstLineChars="200"/>
        <w:jc w:val="center"/>
        <w:outlineLvl w:val="3"/>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目  录</w:t>
      </w:r>
    </w:p>
    <w:p>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一、经济部分</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（一）竞争性比选报价函</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（二）明细报价表</w:t>
      </w:r>
    </w:p>
    <w:p>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w:t>
      </w:r>
      <w:r>
        <w:rPr>
          <w:rFonts w:hint="eastAsia" w:ascii="宋体" w:hAnsi="宋体" w:cs="宋体"/>
          <w:b/>
          <w:bCs/>
          <w:color w:val="000000" w:themeColor="text1"/>
          <w:sz w:val="24"/>
          <w:szCs w:val="24"/>
          <w:lang w:val="en-US" w:eastAsia="zh-CN"/>
          <w14:textFill>
            <w14:solidFill>
              <w14:schemeClr w14:val="tx1"/>
            </w14:solidFill>
          </w14:textFill>
        </w:rPr>
        <w:t>技术</w:t>
      </w:r>
      <w:r>
        <w:rPr>
          <w:rFonts w:hint="eastAsia" w:ascii="宋体" w:hAnsi="宋体" w:eastAsia="宋体" w:cs="宋体"/>
          <w:b/>
          <w:bCs/>
          <w:color w:val="000000" w:themeColor="text1"/>
          <w:sz w:val="24"/>
          <w:szCs w:val="24"/>
          <w14:textFill>
            <w14:solidFill>
              <w14:schemeClr w14:val="tx1"/>
            </w14:solidFill>
          </w14:textFill>
        </w:rPr>
        <w:t>部分</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w:t>
      </w:r>
      <w:r>
        <w:rPr>
          <w:rFonts w:hint="eastAsia" w:ascii="宋体" w:hAnsi="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w:t>
      </w:r>
    </w:p>
    <w:p>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、资格条件及其他</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（一）营业执照（副本）或事业单位法人证书（副本）复印件</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（二）法定代表人身份证明书（格式）</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（三）法定代表人授权委托书（格式）</w:t>
      </w:r>
    </w:p>
    <w:p>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、其他资料</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（一）其他与项目有关的资料</w:t>
      </w: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bookmarkStart w:id="499" w:name="_Toc313008356"/>
      <w:bookmarkStart w:id="500" w:name="_Toc313888360"/>
      <w:bookmarkStart w:id="501" w:name="_Toc342913419"/>
      <w:bookmarkStart w:id="502" w:name="_Toc86934240"/>
      <w:bookmarkStart w:id="503" w:name="_Toc23236"/>
      <w:bookmarkStart w:id="504" w:name="_Toc81834346"/>
      <w:bookmarkStart w:id="505" w:name="_Toc12789073"/>
      <w:bookmarkStart w:id="506" w:name="_Toc283382454"/>
      <w:r>
        <w:rPr>
          <w:rFonts w:hint="eastAsia" w:ascii="宋体" w:hAnsi="宋体" w:eastAsia="宋体" w:cs="宋体"/>
          <w:b/>
          <w:color w:val="000000" w:themeColor="text1"/>
          <w:sz w:val="24"/>
          <w:szCs w:val="32"/>
          <w14:textFill>
            <w14:solidFill>
              <w14:schemeClr w14:val="tx1"/>
            </w14:solidFill>
          </w14:textFill>
        </w:rPr>
        <w:t>一、经济部分</w:t>
      </w:r>
      <w:bookmarkEnd w:id="499"/>
      <w:bookmarkEnd w:id="500"/>
      <w:bookmarkEnd w:id="501"/>
      <w:bookmarkEnd w:id="502"/>
      <w:bookmarkEnd w:id="503"/>
      <w:bookmarkEnd w:id="504"/>
    </w:p>
    <w:bookmarkEnd w:id="505"/>
    <w:bookmarkEnd w:id="506"/>
    <w:p>
      <w:pPr>
        <w:tabs>
          <w:tab w:val="left" w:pos="6300"/>
        </w:tabs>
        <w:snapToGrid w:val="0"/>
        <w:spacing w:line="312"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numPr>
          <w:ilvl w:val="0"/>
          <w:numId w:val="3"/>
        </w:numPr>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竞争性比选报价函</w:t>
      </w:r>
    </w:p>
    <w:p>
      <w:pPr>
        <w:pStyle w:val="11"/>
        <w:ind w:firstLine="0"/>
        <w:rPr>
          <w:rFonts w:hint="eastAsia" w:ascii="宋体" w:hAnsi="宋体" w:eastAsia="宋体" w:cs="宋体"/>
          <w:color w:val="000000" w:themeColor="text1"/>
          <w14:textFill>
            <w14:solidFill>
              <w14:schemeClr w14:val="tx1"/>
            </w14:solidFill>
          </w14:textFill>
        </w:rPr>
      </w:pPr>
    </w:p>
    <w:p>
      <w:pPr>
        <w:pStyle w:val="132"/>
        <w:ind w:firstLine="562"/>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竞争性比选报价函</w:t>
      </w:r>
    </w:p>
    <w:bookmarkEnd w:id="486"/>
    <w:bookmarkEnd w:id="487"/>
    <w:p>
      <w:pPr>
        <w:tabs>
          <w:tab w:val="left" w:pos="6300"/>
        </w:tabs>
        <w:snapToGrid w:val="0"/>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（招标人名称）</w:t>
      </w:r>
      <w:r>
        <w:rPr>
          <w:rFonts w:hint="eastAsia" w:ascii="宋体" w:hAnsi="宋体" w:eastAsia="宋体" w:cs="宋体"/>
          <w:color w:val="000000" w:themeColor="text1"/>
          <w:sz w:val="24"/>
          <w:szCs w:val="24"/>
          <w14:textFill>
            <w14:solidFill>
              <w14:schemeClr w14:val="tx1"/>
            </w14:solidFill>
          </w14:textFill>
        </w:rPr>
        <w:t>：</w:t>
      </w:r>
    </w:p>
    <w:p>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我方收到____________________________（项目名称）的竞争性比选文件，经详细研究，决定参加该项目的比选。</w:t>
      </w:r>
    </w:p>
    <w:p>
      <w:pPr>
        <w:tabs>
          <w:tab w:val="left" w:pos="6300"/>
        </w:tabs>
        <w:snapToGrid w:val="0"/>
        <w:spacing w:line="48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1、愿意按照竞争性比选文件中的一切要求，提供本项目的施工服务，报价为人民币大写</w:t>
      </w:r>
      <w:r>
        <w:rPr>
          <w:rFonts w:hint="eastAsia" w:ascii="宋体" w:hAnsi="宋体" w:eastAsia="宋体" w:cs="宋体"/>
          <w:color w:val="000000" w:themeColor="text1"/>
          <w:sz w:val="24"/>
          <w:szCs w:val="24"/>
          <w:u w:val="single"/>
          <w14:textFill>
            <w14:solidFill>
              <w14:schemeClr w14:val="tx1"/>
            </w14:solidFill>
          </w14:textFill>
        </w:rPr>
        <w:t>：        元整</w:t>
      </w:r>
      <w:r>
        <w:rPr>
          <w:rFonts w:hint="eastAsia" w:ascii="宋体" w:hAnsi="宋体" w:eastAsia="宋体" w:cs="宋体"/>
          <w:color w:val="000000" w:themeColor="text1"/>
          <w:sz w:val="24"/>
          <w:szCs w:val="24"/>
          <w14:textFill>
            <w14:solidFill>
              <w14:schemeClr w14:val="tx1"/>
            </w14:solidFill>
          </w14:textFill>
        </w:rPr>
        <w:t>；人民币</w:t>
      </w:r>
      <w:r>
        <w:rPr>
          <w:rFonts w:hint="eastAsia" w:ascii="宋体" w:hAnsi="宋体" w:eastAsia="宋体" w:cs="宋体"/>
          <w:color w:val="000000" w:themeColor="text1"/>
          <w:sz w:val="24"/>
          <w:szCs w:val="24"/>
          <w:u w:val="single"/>
          <w14:textFill>
            <w14:solidFill>
              <w14:schemeClr w14:val="tx1"/>
            </w14:solidFill>
          </w14:textFill>
        </w:rPr>
        <w:t>小写：         元</w:t>
      </w:r>
      <w:r>
        <w:rPr>
          <w:rFonts w:hint="eastAsia" w:ascii="宋体" w:hAnsi="宋体" w:eastAsia="宋体" w:cs="宋体"/>
          <w:color w:val="000000" w:themeColor="text1"/>
          <w:sz w:val="24"/>
          <w:szCs w:val="24"/>
          <w14:textFill>
            <w14:solidFill>
              <w14:schemeClr w14:val="tx1"/>
            </w14:solidFill>
          </w14:textFill>
        </w:rPr>
        <w:t>，其中安全</w:t>
      </w:r>
      <w:r>
        <w:rPr>
          <w:rFonts w:hint="eastAsia" w:ascii="宋体" w:hAnsi="宋体" w:cs="宋体"/>
          <w:color w:val="000000" w:themeColor="text1"/>
          <w:sz w:val="24"/>
          <w:szCs w:val="24"/>
          <w:lang w:val="en-US" w:eastAsia="zh-CN"/>
          <w14:textFill>
            <w14:solidFill>
              <w14:schemeClr w14:val="tx1"/>
            </w14:solidFill>
          </w14:textFill>
        </w:rPr>
        <w:t>文明施工</w:t>
      </w:r>
      <w:r>
        <w:rPr>
          <w:rFonts w:hint="eastAsia" w:ascii="宋体" w:hAnsi="宋体" w:eastAsia="宋体" w:cs="宋体"/>
          <w:color w:val="000000" w:themeColor="text1"/>
          <w:sz w:val="24"/>
          <w:szCs w:val="24"/>
          <w14:textFill>
            <w14:solidFill>
              <w14:schemeClr w14:val="tx1"/>
            </w14:solidFill>
          </w14:textFill>
        </w:rPr>
        <w:t>费为：大写：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小写：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tabs>
          <w:tab w:val="left" w:pos="6300"/>
        </w:tabs>
        <w:snapToGrid w:val="0"/>
        <w:spacing w:line="360" w:lineRule="auto"/>
        <w:ind w:left="412" w:leftChars="19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2、我方现提交的响应文件为：响应文件正本</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份，副本</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p>
    <w:p>
      <w:pPr>
        <w:tabs>
          <w:tab w:val="left" w:pos="6300"/>
        </w:tabs>
        <w:snapToGrid w:val="0"/>
        <w:spacing w:line="480" w:lineRule="exact"/>
        <w:ind w:left="412" w:left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3、我方承诺：本次比选的有效期为90天。</w:t>
      </w:r>
    </w:p>
    <w:p>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4、我方完全理解和接受贵方竞争性比选文件的一切规定和要求及评审办法。</w:t>
      </w:r>
    </w:p>
    <w:p>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5、在整个竞争性比选过程中，我方若有违规行为，接受按照《中华人民共和国招标投标法》及其实施条例等规定给予惩罚。</w:t>
      </w:r>
    </w:p>
    <w:p>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6、我方若成为中标人，将按照最终比选结果签订合同，并且严格履行合同义务。本承诺函将成为合同不可分割的一部分，与合同具有同等的法律效力。</w:t>
      </w:r>
    </w:p>
    <w:p>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我方理解，最低报价不是成交的唯一条件。</w:t>
      </w:r>
    </w:p>
    <w:p>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8"/>
          <w14:textFill>
            <w14:solidFill>
              <w14:schemeClr w14:val="tx1"/>
            </w14:solidFill>
          </w14:textFill>
        </w:rPr>
        <w:t>我方未</w:t>
      </w:r>
      <w:r>
        <w:rPr>
          <w:rFonts w:hint="eastAsia" w:ascii="宋体" w:hAnsi="宋体" w:eastAsia="宋体" w:cs="宋体"/>
          <w:color w:val="000000" w:themeColor="text1"/>
          <w:sz w:val="24"/>
          <w:szCs w:val="24"/>
          <w14:textFill>
            <w14:solidFill>
              <w14:schemeClr w14:val="tx1"/>
            </w14:solidFill>
          </w14:textFill>
        </w:rPr>
        <w:t>为招标项目提供整体设计、规范编制或者项目管理、监理、检测等服务。</w:t>
      </w:r>
    </w:p>
    <w:p>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投标人（公章）：</w:t>
      </w:r>
    </w:p>
    <w:p>
      <w:pPr>
        <w:snapToGrid w:val="0"/>
        <w:spacing w:line="312"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snapToGrid w:val="0"/>
        <w:spacing w:line="312"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000000" w:themeColor="text1"/>
          <w:sz w:val="24"/>
          <w:szCs w:val="24"/>
          <w14:textFill>
            <w14:solidFill>
              <w14:schemeClr w14:val="tx1"/>
            </w14:solidFill>
          </w14:textFill>
        </w:rPr>
        <w:t xml:space="preserve">                                     年   月   日</w:t>
      </w:r>
    </w:p>
    <w:p>
      <w:pPr>
        <w:tabs>
          <w:tab w:val="left" w:pos="2895"/>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color w:val="000000" w:themeColor="text1"/>
          <w:spacing w:val="1"/>
          <w:w w:val="99"/>
          <w:kern w:val="0"/>
          <w:sz w:val="24"/>
          <w:szCs w:val="24"/>
          <w14:textFill>
            <w14:solidFill>
              <w14:schemeClr w14:val="tx1"/>
            </w14:solidFill>
          </w14:textFill>
        </w:rPr>
        <w:t>二）明细报价表（工程量清单报价明细，每页需加盖投标人公章）</w:t>
      </w:r>
    </w:p>
    <w:p>
      <w:pPr>
        <w:ind w:firstLine="1920" w:firstLineChars="8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参照附件“</w:t>
      </w:r>
      <w:r>
        <w:rPr>
          <w:rFonts w:hint="eastAsia" w:ascii="宋体" w:hAnsi="宋体" w:eastAsia="宋体" w:cs="宋体"/>
          <w:color w:val="000000" w:themeColor="text1"/>
          <w:szCs w:val="24"/>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5"/>
        <w:spacing w:line="400" w:lineRule="exact"/>
        <w:rPr>
          <w:rFonts w:hint="eastAsia" w:ascii="宋体" w:hAnsi="宋体" w:eastAsia="宋体" w:cs="宋体"/>
          <w:b/>
          <w:color w:val="000000" w:themeColor="text1"/>
          <w:spacing w:val="1"/>
          <w:w w:val="99"/>
          <w:kern w:val="0"/>
          <w:sz w:val="24"/>
          <w:szCs w:val="24"/>
          <w14:textFill>
            <w14:solidFill>
              <w14:schemeClr w14:val="tx1"/>
            </w14:solidFill>
          </w14:textFill>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bookmarkStart w:id="507" w:name="_Toc313888361"/>
      <w:bookmarkStart w:id="508" w:name="_Toc342913420"/>
      <w:bookmarkStart w:id="509" w:name="_Toc313008357"/>
      <w:bookmarkStart w:id="510" w:name="_Toc86934241"/>
      <w:bookmarkStart w:id="511" w:name="_Toc6323"/>
      <w:bookmarkStart w:id="512" w:name="_Toc81834347"/>
    </w:p>
    <w:p>
      <w:pPr>
        <w:pStyle w:val="5"/>
        <w:spacing w:line="400" w:lineRule="exact"/>
        <w:jc w:val="left"/>
        <w:rPr>
          <w:rFonts w:hint="eastAsia" w:ascii="宋体" w:hAnsi="宋体" w:eastAsia="宋体" w:cs="宋体"/>
          <w:b/>
          <w:color w:val="000000" w:themeColor="text1"/>
          <w:spacing w:val="1"/>
          <w:w w:val="99"/>
          <w:kern w:val="0"/>
          <w:sz w:val="24"/>
          <w:szCs w:val="24"/>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二、</w:t>
      </w:r>
      <w:bookmarkEnd w:id="507"/>
      <w:bookmarkEnd w:id="508"/>
      <w:bookmarkEnd w:id="509"/>
      <w:r>
        <w:rPr>
          <w:rFonts w:hint="eastAsia" w:ascii="宋体" w:hAnsi="宋体" w:eastAsia="宋体" w:cs="宋体"/>
          <w:b/>
          <w:color w:val="000000" w:themeColor="text1"/>
          <w:kern w:val="2"/>
          <w:sz w:val="24"/>
          <w:szCs w:val="24"/>
          <w:lang w:val="en-US" w:eastAsia="zh-CN" w:bidi="ar-SA"/>
          <w14:textFill>
            <w14:solidFill>
              <w14:schemeClr w14:val="tx1"/>
            </w14:solidFill>
          </w14:textFill>
        </w:rPr>
        <w:t>技术部分</w:t>
      </w:r>
      <w:bookmarkEnd w:id="510"/>
      <w:bookmarkEnd w:id="511"/>
      <w:bookmarkEnd w:id="512"/>
    </w:p>
    <w:p>
      <w:pPr>
        <w:jc w:val="center"/>
        <w:rPr>
          <w:rFonts w:hint="eastAsia" w:ascii="宋体" w:hAnsi="宋体" w:eastAsia="宋体" w:cs="宋体"/>
          <w:b/>
          <w:color w:val="000000" w:themeColor="text1"/>
          <w:sz w:val="24"/>
          <w:szCs w:val="24"/>
          <w14:textFill>
            <w14:solidFill>
              <w14:schemeClr w14:val="tx1"/>
            </w14:solidFill>
          </w14:textFill>
        </w:rPr>
      </w:pPr>
    </w:p>
    <w:p>
      <w:pPr>
        <w:ind w:firstLine="482" w:firstLine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（一）技术方案（格式自定）</w:t>
      </w:r>
    </w:p>
    <w:p>
      <w:pPr>
        <w:pStyle w:val="2"/>
        <w:spacing w:before="0" w:line="400" w:lineRule="exact"/>
        <w:rPr>
          <w:rFonts w:hint="eastAsia" w:ascii="宋体" w:hAnsi="宋体" w:eastAsia="宋体" w:cs="宋体"/>
          <w:bCs/>
          <w:color w:val="000000" w:themeColor="text1"/>
          <w:szCs w:val="24"/>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bookmarkStart w:id="513" w:name="_Toc86934243"/>
      <w:bookmarkStart w:id="514" w:name="_Toc81834349"/>
      <w:bookmarkStart w:id="515" w:name="_Toc342913422"/>
      <w:bookmarkStart w:id="516" w:name="_Toc313888363"/>
      <w:bookmarkStart w:id="517" w:name="_Toc313008359"/>
      <w:bookmarkStart w:id="518" w:name="_Toc14779"/>
    </w:p>
    <w:p>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r>
        <w:rPr>
          <w:rFonts w:hint="eastAsia" w:ascii="宋体" w:hAnsi="宋体" w:cs="宋体"/>
          <w:b/>
          <w:color w:val="000000" w:themeColor="text1"/>
          <w:sz w:val="24"/>
          <w:szCs w:val="32"/>
          <w:lang w:val="en-US" w:eastAsia="zh-CN"/>
          <w14:textFill>
            <w14:solidFill>
              <w14:schemeClr w14:val="tx1"/>
            </w14:solidFill>
          </w14:textFill>
        </w:rPr>
        <w:t>三</w:t>
      </w:r>
      <w:r>
        <w:rPr>
          <w:rFonts w:hint="eastAsia" w:ascii="宋体" w:hAnsi="宋体" w:eastAsia="宋体" w:cs="宋体"/>
          <w:b/>
          <w:color w:val="000000" w:themeColor="text1"/>
          <w:sz w:val="24"/>
          <w:szCs w:val="32"/>
          <w14:textFill>
            <w14:solidFill>
              <w14:schemeClr w14:val="tx1"/>
            </w14:solidFill>
          </w14:textFill>
        </w:rPr>
        <w:t>、资格条件及其他</w:t>
      </w:r>
      <w:bookmarkEnd w:id="513"/>
      <w:bookmarkEnd w:id="514"/>
      <w:bookmarkEnd w:id="515"/>
      <w:bookmarkEnd w:id="516"/>
      <w:bookmarkEnd w:id="517"/>
      <w:bookmarkEnd w:id="518"/>
    </w:p>
    <w:p>
      <w:pPr>
        <w:keepNext/>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（一）投标人必须具有独立法人资格。（提供营业执照副本复印件加盖投标人公章）</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16"/>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16"/>
        <w:rPr>
          <w:rFonts w:hint="eastAsia" w:ascii="宋体" w:hAnsi="宋体" w:eastAsia="宋体" w:cs="宋体"/>
          <w:color w:val="000000" w:themeColor="text1"/>
          <w14:textFill>
            <w14:solidFill>
              <w14:schemeClr w14:val="tx1"/>
            </w14:solidFill>
          </w14:textFill>
        </w:rPr>
      </w:pPr>
    </w:p>
    <w:p>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（二）法定代表人身份证明书（格式）</w:t>
      </w:r>
    </w:p>
    <w:p>
      <w:pPr>
        <w:widowControl/>
        <w:ind w:firstLine="480" w:firstLineChars="200"/>
        <w:jc w:val="left"/>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比选项目名称：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57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（法定代表人姓名）在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（职务名称）职务，是</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 的法定代表人。</w:t>
      </w: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（投标人公章）</w:t>
      </w: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（附：法定代表人身份证正反面复印件）</w:t>
      </w:r>
    </w:p>
    <w:p>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（三）法定代表人授权委托书（格式）</w:t>
      </w: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比选项目名称：</w:t>
      </w: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none"/>
          <w:lang w:val="en-US" w:eastAsia="zh-CN"/>
          <w14:textFill>
            <w14:solidFill>
              <w14:schemeClr w14:val="tx1"/>
            </w14:solidFill>
          </w14:textFill>
        </w:rPr>
        <w:t>（招标人名称）</w:t>
      </w: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（投标人法定代表人名称）是</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（投标人名称）的法定代表人，特授权</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（被授权人姓名及身份证代码）代表我单位全权办理上述项目的比选、签约等具体工作，并签署全部有关文件、协议及合同。</w:t>
      </w: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我单位对被授权人的签字负全部责任。</w:t>
      </w: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在撤消授权的书面通知以前，本授权书一直有效。被授权人在授权书有效期内签署的所有文件不因授权的撤消而失效。</w:t>
      </w: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被授权人：                                 投标人法定代表人：</w:t>
      </w: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                                （签字或盖章）</w:t>
      </w: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（附：被授权人身份证正反面复印件）</w:t>
      </w: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6480" w:firstLineChars="27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（投标人公章）</w:t>
      </w:r>
    </w:p>
    <w:p>
      <w:pPr>
        <w:tabs>
          <w:tab w:val="left" w:pos="6300"/>
        </w:tabs>
        <w:snapToGrid w:val="0"/>
        <w:spacing w:line="500" w:lineRule="exact"/>
        <w:ind w:firstLine="6720" w:firstLineChars="28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p>
      <w:pPr>
        <w:tabs>
          <w:tab w:val="left" w:pos="6300"/>
        </w:tabs>
        <w:snapToGrid w:val="0"/>
        <w:spacing w:line="500" w:lineRule="exact"/>
        <w:ind w:firstLine="6720" w:firstLineChars="280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p>
      <w:pPr>
        <w:rPr>
          <w:rFonts w:hint="eastAsia"/>
          <w:lang w:eastAsia="zh-CN"/>
        </w:rPr>
      </w:pPr>
      <w:bookmarkStart w:id="519" w:name="_Toc1771"/>
      <w:bookmarkStart w:id="520" w:name="_Toc14422"/>
      <w:bookmarkStart w:id="521" w:name="_Toc81834350"/>
      <w:bookmarkStart w:id="522" w:name="_Toc86934244"/>
    </w:p>
    <w:p>
      <w:pPr>
        <w:rPr>
          <w:rFonts w:hint="eastAsia" w:ascii="宋体" w:hAnsi="宋体" w:eastAsia="宋体" w:cs="宋体"/>
          <w:bCs/>
          <w:color w:val="000000" w:themeColor="text1"/>
          <w:szCs w:val="24"/>
          <w14:textFill>
            <w14:solidFill>
              <w14:schemeClr w14:val="tx1"/>
            </w14:solidFill>
          </w14:textFill>
        </w:rPr>
      </w:pPr>
    </w:p>
    <w:p>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r>
        <w:rPr>
          <w:rFonts w:hint="eastAsia" w:ascii="宋体" w:hAnsi="宋体" w:cs="宋体"/>
          <w:b/>
          <w:color w:val="000000" w:themeColor="text1"/>
          <w:sz w:val="24"/>
          <w:szCs w:val="32"/>
          <w:lang w:val="en-US" w:eastAsia="zh-CN"/>
          <w14:textFill>
            <w14:solidFill>
              <w14:schemeClr w14:val="tx1"/>
            </w14:solidFill>
          </w14:textFill>
        </w:rPr>
        <w:t>四</w:t>
      </w:r>
      <w:r>
        <w:rPr>
          <w:rFonts w:hint="eastAsia" w:ascii="宋体" w:hAnsi="宋体" w:eastAsia="宋体" w:cs="宋体"/>
          <w:b/>
          <w:color w:val="000000" w:themeColor="text1"/>
          <w:sz w:val="24"/>
          <w:szCs w:val="32"/>
          <w14:textFill>
            <w14:solidFill>
              <w14:schemeClr w14:val="tx1"/>
            </w14:solidFill>
          </w14:textFill>
        </w:rPr>
        <w:t>、其他资料</w:t>
      </w:r>
      <w:bookmarkEnd w:id="519"/>
      <w:bookmarkEnd w:id="520"/>
      <w:r>
        <w:rPr>
          <w:rFonts w:hint="eastAsia" w:ascii="宋体" w:hAnsi="宋体" w:eastAsia="宋体" w:cs="宋体"/>
          <w:b/>
          <w:color w:val="000000" w:themeColor="text1"/>
          <w:sz w:val="24"/>
          <w:szCs w:val="32"/>
          <w14:textFill>
            <w14:solidFill>
              <w14:schemeClr w14:val="tx1"/>
            </w14:solidFill>
          </w14:textFill>
        </w:rPr>
        <w:t>（自行提供）</w:t>
      </w:r>
      <w:bookmarkEnd w:id="521"/>
      <w:bookmarkEnd w:id="522"/>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（一）其他与项目有关的资料</w:t>
      </w: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3"/>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3"/>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pStyle w:val="3"/>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p>
    <w:p>
      <w:pPr>
        <w:spacing w:line="240" w:lineRule="auto"/>
        <w:jc w:val="center"/>
        <w:outlineLvl w:val="0"/>
        <w:rPr>
          <w:rFonts w:hint="eastAsia" w:ascii="宋体" w:hAnsi="宋体" w:eastAsia="宋体" w:cs="宋体"/>
          <w:color w:val="000000" w:themeColor="text1"/>
          <w:sz w:val="36"/>
          <w:szCs w:val="36"/>
          <w:lang w:val="en-US" w:eastAsia="zh-CN"/>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附件：</w:t>
      </w:r>
      <w:r>
        <w:rPr>
          <w:rFonts w:hint="eastAsia" w:ascii="宋体" w:hAnsi="宋体" w:cs="宋体"/>
          <w:color w:val="000000" w:themeColor="text1"/>
          <w:sz w:val="36"/>
          <w:szCs w:val="36"/>
          <w:lang w:val="en-US" w:eastAsia="zh-CN"/>
          <w14:textFill>
            <w14:solidFill>
              <w14:schemeClr w14:val="tx1"/>
            </w14:solidFill>
          </w14:textFill>
        </w:rPr>
        <w:t>优序建设集团有限公司</w:t>
      </w:r>
      <w:r>
        <w:rPr>
          <w:rFonts w:hint="eastAsia" w:ascii="宋体" w:hAnsi="宋体" w:eastAsia="宋体" w:cs="宋体"/>
          <w:color w:val="000000" w:themeColor="text1"/>
          <w:sz w:val="36"/>
          <w:szCs w:val="36"/>
          <w:lang w:val="en-US" w:eastAsia="zh-CN"/>
          <w14:textFill>
            <w14:solidFill>
              <w14:schemeClr w14:val="tx1"/>
            </w14:solidFill>
          </w14:textFill>
        </w:rPr>
        <w:t>项目报名表</w:t>
      </w:r>
    </w:p>
    <w:p>
      <w:pPr>
        <w:tabs>
          <w:tab w:val="left" w:pos="6300"/>
        </w:tabs>
        <w:snapToGrid w:val="0"/>
        <w:spacing w:line="500" w:lineRule="exact"/>
        <w:jc w:val="center"/>
        <w:rPr>
          <w:rFonts w:hint="eastAsia" w:ascii="宋体" w:hAnsi="宋体" w:eastAsia="宋体" w:cs="宋体"/>
          <w:color w:val="000000" w:themeColor="text1"/>
          <w:sz w:val="32"/>
          <w:szCs w:val="32"/>
          <w14:textFill>
            <w14:solidFill>
              <w14:schemeClr w14:val="tx1"/>
            </w14:solidFill>
          </w14:textFill>
        </w:rPr>
      </w:pPr>
    </w:p>
    <w:tbl>
      <w:tblPr>
        <w:tblStyle w:val="43"/>
        <w:tblpPr w:leftFromText="180" w:rightFromText="180" w:vertAnchor="text" w:horzAnchor="page" w:tblpX="1495" w:tblpY="490"/>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32" w:type="dxa"/>
            <w:vAlign w:val="center"/>
          </w:tcPr>
          <w:p>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项目号</w:t>
            </w:r>
          </w:p>
        </w:tc>
        <w:tc>
          <w:tcPr>
            <w:tcW w:w="7407" w:type="dxa"/>
            <w:gridSpan w:val="3"/>
            <w:vAlign w:val="center"/>
          </w:tcPr>
          <w:p>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32" w:type="dxa"/>
            <w:vAlign w:val="center"/>
          </w:tcPr>
          <w:p>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407" w:type="dxa"/>
            <w:gridSpan w:val="3"/>
            <w:vAlign w:val="center"/>
          </w:tcPr>
          <w:p>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806" w:hRule="atLeast"/>
        </w:trPr>
        <w:tc>
          <w:tcPr>
            <w:tcW w:w="1832" w:type="dxa"/>
            <w:vAlign w:val="center"/>
          </w:tcPr>
          <w:p>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p>
        </w:tc>
        <w:tc>
          <w:tcPr>
            <w:tcW w:w="7407" w:type="dxa"/>
            <w:gridSpan w:val="3"/>
            <w:vAlign w:val="center"/>
          </w:tcPr>
          <w:p>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32" w:type="dxa"/>
            <w:vAlign w:val="center"/>
          </w:tcPr>
          <w:p>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2391" w:type="dxa"/>
            <w:vAlign w:val="center"/>
          </w:tcPr>
          <w:p>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p>
        </w:tc>
        <w:tc>
          <w:tcPr>
            <w:tcW w:w="1051" w:type="dxa"/>
            <w:vAlign w:val="center"/>
          </w:tcPr>
          <w:p>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p>
        </w:tc>
        <w:tc>
          <w:tcPr>
            <w:tcW w:w="3965" w:type="dxa"/>
            <w:vAlign w:val="center"/>
          </w:tcPr>
          <w:p>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32" w:type="dxa"/>
            <w:vAlign w:val="center"/>
          </w:tcPr>
          <w:p>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办公电话</w:t>
            </w:r>
          </w:p>
        </w:tc>
        <w:tc>
          <w:tcPr>
            <w:tcW w:w="2391" w:type="dxa"/>
            <w:vAlign w:val="center"/>
          </w:tcPr>
          <w:p>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c>
          <w:tcPr>
            <w:tcW w:w="1051" w:type="dxa"/>
            <w:vAlign w:val="center"/>
          </w:tcPr>
          <w:p>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c>
          <w:tcPr>
            <w:tcW w:w="3965" w:type="dxa"/>
            <w:vAlign w:val="center"/>
          </w:tcPr>
          <w:p>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2" w:type="dxa"/>
            <w:vAlign w:val="center"/>
          </w:tcPr>
          <w:p>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E-mail</w:t>
            </w:r>
          </w:p>
        </w:tc>
        <w:tc>
          <w:tcPr>
            <w:tcW w:w="7407" w:type="dxa"/>
            <w:gridSpan w:val="3"/>
            <w:vAlign w:val="center"/>
          </w:tcPr>
          <w:p>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32" w:type="dxa"/>
            <w:vAlign w:val="center"/>
          </w:tcPr>
          <w:p>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tc>
        <w:tc>
          <w:tcPr>
            <w:tcW w:w="7407" w:type="dxa"/>
            <w:gridSpan w:val="3"/>
            <w:vAlign w:val="center"/>
          </w:tcPr>
          <w:p>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bl>
    <w:p>
      <w:pPr>
        <w:tabs>
          <w:tab w:val="left" w:pos="6300"/>
        </w:tabs>
        <w:snapToGrid w:val="0"/>
        <w:spacing w:line="500" w:lineRule="exact"/>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00元/份         发售人：</w:t>
      </w:r>
      <w:r>
        <w:rPr>
          <w:rFonts w:hint="eastAsia" w:ascii="宋体" w:hAnsi="宋体" w:cs="宋体"/>
          <w:color w:val="000000" w:themeColor="text1"/>
          <w:sz w:val="24"/>
          <w:szCs w:val="24"/>
          <w:lang w:eastAsia="zh-CN"/>
          <w14:textFill>
            <w14:solidFill>
              <w14:schemeClr w14:val="tx1"/>
            </w14:solidFill>
          </w14:textFill>
        </w:rPr>
        <w:t>优序建设集团有限公司</w:t>
      </w:r>
      <w:r>
        <w:rPr>
          <w:rFonts w:hint="eastAsia" w:ascii="宋体" w:hAnsi="宋体" w:eastAsia="宋体" w:cs="宋体"/>
          <w:color w:val="000000" w:themeColor="text1"/>
          <w:sz w:val="24"/>
          <w:szCs w:val="24"/>
          <w14:textFill>
            <w14:solidFill>
              <w14:schemeClr w14:val="tx1"/>
            </w14:solidFill>
          </w14:textFill>
        </w:rPr>
        <w:t xml:space="preserve">    </w:t>
      </w: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相关说明：</w:t>
      </w:r>
    </w:p>
    <w:p>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1.现金购买</w:t>
      </w:r>
    </w:p>
    <w:p>
      <w:pPr>
        <w:tabs>
          <w:tab w:val="left" w:pos="6300"/>
        </w:tabs>
        <w:snapToGrid w:val="0"/>
        <w:spacing w:line="500" w:lineRule="exact"/>
        <w:ind w:firstLine="57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发售期内（工作时间：工作日内每天9：00-12:00时，</w:t>
      </w:r>
      <w:bookmarkStart w:id="523" w:name="_GoBack"/>
      <w:bookmarkEnd w:id="523"/>
      <w:r>
        <w:rPr>
          <w:rFonts w:hint="eastAsia" w:ascii="宋体" w:hAnsi="宋体" w:eastAsia="宋体" w:cs="宋体"/>
          <w:color w:val="000000" w:themeColor="text1"/>
          <w:sz w:val="24"/>
          <w:szCs w:val="24"/>
          <w14:textFill>
            <w14:solidFill>
              <w14:schemeClr w14:val="tx1"/>
            </w14:solidFill>
          </w14:textFill>
        </w:rPr>
        <w:t>14：00-17：00时），供应商到</w:t>
      </w:r>
      <w:r>
        <w:rPr>
          <w:rFonts w:hint="eastAsia" w:ascii="宋体" w:hAnsi="宋体" w:cs="宋体"/>
          <w:color w:val="000000" w:themeColor="text1"/>
          <w:sz w:val="24"/>
          <w:szCs w:val="24"/>
          <w:lang w:eastAsia="zh-CN"/>
          <w14:textFill>
            <w14:solidFill>
              <w14:schemeClr w14:val="tx1"/>
            </w14:solidFill>
          </w14:textFill>
        </w:rPr>
        <w:t>优序建设集团有限公司</w:t>
      </w:r>
      <w:r>
        <w:rPr>
          <w:rFonts w:hint="eastAsia" w:ascii="宋体" w:hAnsi="宋体" w:eastAsia="宋体" w:cs="宋体"/>
          <w:color w:val="000000" w:themeColor="text1"/>
          <w:sz w:val="24"/>
          <w:szCs w:val="24"/>
          <w14:textFill>
            <w14:solidFill>
              <w14:schemeClr w14:val="tx1"/>
            </w14:solidFill>
          </w14:textFill>
        </w:rPr>
        <w:t>购买</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的，地址：同投标地点一致，供应商在缴纳购买</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费用后，请将《</w:t>
      </w:r>
      <w:r>
        <w:rPr>
          <w:rFonts w:hint="eastAsia" w:ascii="宋体" w:hAnsi="宋体" w:cs="宋体"/>
          <w:color w:val="000000" w:themeColor="text1"/>
          <w:sz w:val="24"/>
          <w:szCs w:val="24"/>
          <w:lang w:eastAsia="zh-CN"/>
          <w14:textFill>
            <w14:solidFill>
              <w14:schemeClr w14:val="tx1"/>
            </w14:solidFill>
          </w14:textFill>
        </w:rPr>
        <w:t>优序建设集团有限公司</w:t>
      </w:r>
      <w:r>
        <w:rPr>
          <w:rFonts w:hint="eastAsia" w:ascii="宋体" w:hAnsi="宋体" w:eastAsia="宋体" w:cs="宋体"/>
          <w:color w:val="000000" w:themeColor="text1"/>
          <w:sz w:val="24"/>
          <w:szCs w:val="24"/>
          <w14:textFill>
            <w14:solidFill>
              <w14:schemeClr w14:val="tx1"/>
            </w14:solidFill>
          </w14:textFill>
        </w:rPr>
        <w:t>招标文件发售登记表》（加盖供应商公章）递交至代理公司工作人员。</w:t>
      </w:r>
    </w:p>
    <w:p>
      <w:pPr>
        <w:tabs>
          <w:tab w:val="left" w:pos="6300"/>
        </w:tabs>
        <w:snapToGrid w:val="0"/>
        <w:spacing w:line="500" w:lineRule="exact"/>
        <w:ind w:firstLine="570"/>
        <w:rPr>
          <w:rFonts w:ascii="宋体" w:hAnsi="宋体" w:cs="宋体"/>
          <w:sz w:val="24"/>
          <w:szCs w:val="24"/>
        </w:rPr>
      </w:pPr>
    </w:p>
    <w:p>
      <w:pPr>
        <w:tabs>
          <w:tab w:val="left" w:pos="6300"/>
        </w:tabs>
        <w:snapToGrid w:val="0"/>
        <w:spacing w:line="500" w:lineRule="exact"/>
        <w:ind w:firstLine="570"/>
        <w:rPr>
          <w:rFonts w:ascii="宋体" w:hAnsi="宋体" w:cs="宋体"/>
          <w:sz w:val="24"/>
          <w:szCs w:val="24"/>
        </w:rPr>
      </w:pPr>
    </w:p>
    <w:p>
      <w:pPr>
        <w:tabs>
          <w:tab w:val="left" w:pos="6300"/>
        </w:tabs>
        <w:snapToGrid w:val="0"/>
        <w:spacing w:line="500" w:lineRule="exact"/>
        <w:ind w:firstLine="570"/>
        <w:rPr>
          <w:rFonts w:ascii="宋体" w:hAnsi="宋体" w:cs="宋体"/>
          <w:sz w:val="24"/>
          <w:szCs w:val="24"/>
        </w:rPr>
      </w:pPr>
    </w:p>
    <w:p>
      <w:pPr>
        <w:pStyle w:val="2"/>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宋体"/>
    <w:panose1 w:val="02010609030101010101"/>
    <w:charset w:val="86"/>
    <w:family w:val="modern"/>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MingLiU">
    <w:altName w:val="宋体"/>
    <w:panose1 w:val="02020509000000000000"/>
    <w:charset w:val="88"/>
    <w:family w:val="modern"/>
    <w:pitch w:val="default"/>
    <w:sig w:usb0="00000000" w:usb1="00000000" w:usb2="00000016" w:usb3="00000000" w:csb0="00100001" w:csb1="00000000"/>
  </w:font>
  <w:font w:name="仿宋">
    <w:altName w:val="方正仿宋_GBK"/>
    <w:panose1 w:val="02010609060101010101"/>
    <w:charset w:val="86"/>
    <w:family w:val="auto"/>
    <w:pitch w:val="default"/>
    <w:sig w:usb0="00000000" w:usb1="00000000"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方正书宋简体">
    <w:altName w:val="方正书宋_GBK"/>
    <w:panose1 w:val="00000000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Verdana">
    <w:altName w:val="DejaVu Sans"/>
    <w:panose1 w:val="020B0604030504040204"/>
    <w:charset w:val="00"/>
    <w:family w:val="auto"/>
    <w:pitch w:val="default"/>
    <w:sig w:usb0="00000000" w:usb1="00000000" w:usb2="00000010" w:usb3="00000000" w:csb0="2000019F" w:csb1="00000000"/>
  </w:font>
  <w:font w:name="方正仿宋简体">
    <w:altName w:val="方正仿宋_GBK"/>
    <w:panose1 w:val="02010601030101010101"/>
    <w:charset w:val="86"/>
    <w:family w:val="script"/>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- 109 -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- 109 -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A5307"/>
    <w:multiLevelType w:val="singleLevel"/>
    <w:tmpl w:val="290A5307"/>
    <w:lvl w:ilvl="0" w:tentative="0">
      <w:start w:val="4"/>
      <w:numFmt w:val="decimal"/>
      <w:suff w:val="nothing"/>
      <w:lvlText w:val="%1、"/>
      <w:lvlJc w:val="left"/>
    </w:lvl>
  </w:abstractNum>
  <w:abstractNum w:abstractNumId="1">
    <w:nsid w:val="30C5E423"/>
    <w:multiLevelType w:val="singleLevel"/>
    <w:tmpl w:val="30C5E423"/>
    <w:lvl w:ilvl="0" w:tentative="0">
      <w:start w:val="4"/>
      <w:numFmt w:val="chineseCounting"/>
      <w:suff w:val="space"/>
      <w:lvlText w:val="第%1章"/>
      <w:lvlJc w:val="left"/>
      <w:rPr>
        <w:rFonts w:hint="eastAsia"/>
      </w:rPr>
    </w:lvl>
  </w:abstractNum>
  <w:abstractNum w:abstractNumId="2">
    <w:nsid w:val="48A60E0E"/>
    <w:multiLevelType w:val="singleLevel"/>
    <w:tmpl w:val="48A60E0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hideSpellingError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zYmI1MjUwMThkOTEzYWUxYmJmNzQyMTA1Yjk3OWMifQ=="/>
  </w:docVars>
  <w:rsids>
    <w:rsidRoot w:val="00172A27"/>
    <w:rsid w:val="00001CFE"/>
    <w:rsid w:val="000025AE"/>
    <w:rsid w:val="00002963"/>
    <w:rsid w:val="00002FAA"/>
    <w:rsid w:val="0000637A"/>
    <w:rsid w:val="00007461"/>
    <w:rsid w:val="00012D01"/>
    <w:rsid w:val="00012E1F"/>
    <w:rsid w:val="00013517"/>
    <w:rsid w:val="00015EA2"/>
    <w:rsid w:val="00016F4D"/>
    <w:rsid w:val="00020022"/>
    <w:rsid w:val="00020C72"/>
    <w:rsid w:val="00027940"/>
    <w:rsid w:val="000301B5"/>
    <w:rsid w:val="00033F2D"/>
    <w:rsid w:val="00034EA2"/>
    <w:rsid w:val="00035C75"/>
    <w:rsid w:val="00035C9D"/>
    <w:rsid w:val="0003662C"/>
    <w:rsid w:val="0003668F"/>
    <w:rsid w:val="000410C9"/>
    <w:rsid w:val="00042D1D"/>
    <w:rsid w:val="00042DE3"/>
    <w:rsid w:val="00044BF8"/>
    <w:rsid w:val="00045FB6"/>
    <w:rsid w:val="000517F7"/>
    <w:rsid w:val="00051AF7"/>
    <w:rsid w:val="00053628"/>
    <w:rsid w:val="00053D7E"/>
    <w:rsid w:val="00057F46"/>
    <w:rsid w:val="000619D4"/>
    <w:rsid w:val="000659D5"/>
    <w:rsid w:val="00066E34"/>
    <w:rsid w:val="00067AAC"/>
    <w:rsid w:val="00067E04"/>
    <w:rsid w:val="000815B0"/>
    <w:rsid w:val="0008210B"/>
    <w:rsid w:val="00085488"/>
    <w:rsid w:val="000859FD"/>
    <w:rsid w:val="00085FAF"/>
    <w:rsid w:val="000876C3"/>
    <w:rsid w:val="00091049"/>
    <w:rsid w:val="00091722"/>
    <w:rsid w:val="000925C0"/>
    <w:rsid w:val="000A0733"/>
    <w:rsid w:val="000A0E6D"/>
    <w:rsid w:val="000B0951"/>
    <w:rsid w:val="000B1F01"/>
    <w:rsid w:val="000B46A7"/>
    <w:rsid w:val="000B6787"/>
    <w:rsid w:val="000C0116"/>
    <w:rsid w:val="000C03E1"/>
    <w:rsid w:val="000C262F"/>
    <w:rsid w:val="000C3844"/>
    <w:rsid w:val="000C7692"/>
    <w:rsid w:val="000D1610"/>
    <w:rsid w:val="000D18EA"/>
    <w:rsid w:val="000D1D0A"/>
    <w:rsid w:val="000D4CDB"/>
    <w:rsid w:val="000F2968"/>
    <w:rsid w:val="000F2BF2"/>
    <w:rsid w:val="000F301E"/>
    <w:rsid w:val="000F4794"/>
    <w:rsid w:val="000F4C1E"/>
    <w:rsid w:val="000F59D4"/>
    <w:rsid w:val="000F5C5E"/>
    <w:rsid w:val="000F62DA"/>
    <w:rsid w:val="000F7B6D"/>
    <w:rsid w:val="000F7D84"/>
    <w:rsid w:val="0010022C"/>
    <w:rsid w:val="00101B0E"/>
    <w:rsid w:val="00101D27"/>
    <w:rsid w:val="00104EFA"/>
    <w:rsid w:val="00105174"/>
    <w:rsid w:val="001073C5"/>
    <w:rsid w:val="00110507"/>
    <w:rsid w:val="001109E1"/>
    <w:rsid w:val="00111164"/>
    <w:rsid w:val="0011755B"/>
    <w:rsid w:val="00120D0F"/>
    <w:rsid w:val="0012159D"/>
    <w:rsid w:val="001227EC"/>
    <w:rsid w:val="00122F79"/>
    <w:rsid w:val="00124E3B"/>
    <w:rsid w:val="0012704F"/>
    <w:rsid w:val="00127B49"/>
    <w:rsid w:val="001309B8"/>
    <w:rsid w:val="00133AF2"/>
    <w:rsid w:val="00133E94"/>
    <w:rsid w:val="00134BBF"/>
    <w:rsid w:val="00135067"/>
    <w:rsid w:val="001356A0"/>
    <w:rsid w:val="001358BB"/>
    <w:rsid w:val="0014274F"/>
    <w:rsid w:val="001428D7"/>
    <w:rsid w:val="00143655"/>
    <w:rsid w:val="001449B2"/>
    <w:rsid w:val="00144B33"/>
    <w:rsid w:val="001461AD"/>
    <w:rsid w:val="00146DEA"/>
    <w:rsid w:val="001479E9"/>
    <w:rsid w:val="00151CF6"/>
    <w:rsid w:val="00152D41"/>
    <w:rsid w:val="0015659E"/>
    <w:rsid w:val="00156E41"/>
    <w:rsid w:val="00161D08"/>
    <w:rsid w:val="00163AD7"/>
    <w:rsid w:val="00163C07"/>
    <w:rsid w:val="00164453"/>
    <w:rsid w:val="00166799"/>
    <w:rsid w:val="00171C63"/>
    <w:rsid w:val="00172A27"/>
    <w:rsid w:val="00181DB6"/>
    <w:rsid w:val="001833AC"/>
    <w:rsid w:val="00185118"/>
    <w:rsid w:val="00186487"/>
    <w:rsid w:val="00191BA9"/>
    <w:rsid w:val="00191DDB"/>
    <w:rsid w:val="00194F6E"/>
    <w:rsid w:val="001973FE"/>
    <w:rsid w:val="00197BFA"/>
    <w:rsid w:val="001A1F6D"/>
    <w:rsid w:val="001B0371"/>
    <w:rsid w:val="001B3971"/>
    <w:rsid w:val="001B60AE"/>
    <w:rsid w:val="001B6616"/>
    <w:rsid w:val="001B6B8D"/>
    <w:rsid w:val="001C070C"/>
    <w:rsid w:val="001C0AB9"/>
    <w:rsid w:val="001C0D36"/>
    <w:rsid w:val="001C16FC"/>
    <w:rsid w:val="001C1A44"/>
    <w:rsid w:val="001C1AB2"/>
    <w:rsid w:val="001C4F81"/>
    <w:rsid w:val="001C5258"/>
    <w:rsid w:val="001D0214"/>
    <w:rsid w:val="001D11E0"/>
    <w:rsid w:val="001D1C4A"/>
    <w:rsid w:val="001D20FC"/>
    <w:rsid w:val="001D2356"/>
    <w:rsid w:val="001D3EC9"/>
    <w:rsid w:val="001D57D5"/>
    <w:rsid w:val="001D611B"/>
    <w:rsid w:val="001D61CD"/>
    <w:rsid w:val="001D6459"/>
    <w:rsid w:val="001E0BEB"/>
    <w:rsid w:val="001E62B1"/>
    <w:rsid w:val="001F0254"/>
    <w:rsid w:val="001F2657"/>
    <w:rsid w:val="001F285E"/>
    <w:rsid w:val="001F2E06"/>
    <w:rsid w:val="001F3956"/>
    <w:rsid w:val="001F65BD"/>
    <w:rsid w:val="001F6637"/>
    <w:rsid w:val="00201DB1"/>
    <w:rsid w:val="0020274D"/>
    <w:rsid w:val="0020298C"/>
    <w:rsid w:val="002078C1"/>
    <w:rsid w:val="00210DA7"/>
    <w:rsid w:val="002116A5"/>
    <w:rsid w:val="00215C9B"/>
    <w:rsid w:val="00217201"/>
    <w:rsid w:val="00217CED"/>
    <w:rsid w:val="0022023D"/>
    <w:rsid w:val="00221203"/>
    <w:rsid w:val="002218D4"/>
    <w:rsid w:val="00222F9B"/>
    <w:rsid w:val="002230E9"/>
    <w:rsid w:val="00223DDA"/>
    <w:rsid w:val="00224435"/>
    <w:rsid w:val="00224E19"/>
    <w:rsid w:val="002256AE"/>
    <w:rsid w:val="0022612E"/>
    <w:rsid w:val="0022683F"/>
    <w:rsid w:val="00226C87"/>
    <w:rsid w:val="00227033"/>
    <w:rsid w:val="00230905"/>
    <w:rsid w:val="00233066"/>
    <w:rsid w:val="00234E7D"/>
    <w:rsid w:val="00235722"/>
    <w:rsid w:val="00235AF8"/>
    <w:rsid w:val="00243400"/>
    <w:rsid w:val="00243439"/>
    <w:rsid w:val="00244994"/>
    <w:rsid w:val="00246960"/>
    <w:rsid w:val="00246CBD"/>
    <w:rsid w:val="00251E0A"/>
    <w:rsid w:val="00254807"/>
    <w:rsid w:val="00255448"/>
    <w:rsid w:val="0026149A"/>
    <w:rsid w:val="00264B2D"/>
    <w:rsid w:val="00266E77"/>
    <w:rsid w:val="00267D47"/>
    <w:rsid w:val="00271796"/>
    <w:rsid w:val="002767B4"/>
    <w:rsid w:val="002769BC"/>
    <w:rsid w:val="00282001"/>
    <w:rsid w:val="00284591"/>
    <w:rsid w:val="00284AD8"/>
    <w:rsid w:val="00285752"/>
    <w:rsid w:val="002857C1"/>
    <w:rsid w:val="00285B2A"/>
    <w:rsid w:val="00285D87"/>
    <w:rsid w:val="00285E1E"/>
    <w:rsid w:val="00285E24"/>
    <w:rsid w:val="002873B1"/>
    <w:rsid w:val="0029008A"/>
    <w:rsid w:val="0029277F"/>
    <w:rsid w:val="0029353D"/>
    <w:rsid w:val="00294105"/>
    <w:rsid w:val="0029513D"/>
    <w:rsid w:val="0029638A"/>
    <w:rsid w:val="002977F1"/>
    <w:rsid w:val="002A0A92"/>
    <w:rsid w:val="002A3B36"/>
    <w:rsid w:val="002A4E22"/>
    <w:rsid w:val="002A6802"/>
    <w:rsid w:val="002A68F6"/>
    <w:rsid w:val="002A7484"/>
    <w:rsid w:val="002A7C13"/>
    <w:rsid w:val="002B21E5"/>
    <w:rsid w:val="002B2345"/>
    <w:rsid w:val="002B52FE"/>
    <w:rsid w:val="002B6119"/>
    <w:rsid w:val="002B7CF7"/>
    <w:rsid w:val="002C0411"/>
    <w:rsid w:val="002C0812"/>
    <w:rsid w:val="002D14C6"/>
    <w:rsid w:val="002D1B45"/>
    <w:rsid w:val="002D29F7"/>
    <w:rsid w:val="002D2E1B"/>
    <w:rsid w:val="002D4382"/>
    <w:rsid w:val="002D6053"/>
    <w:rsid w:val="002E1B30"/>
    <w:rsid w:val="002E32B5"/>
    <w:rsid w:val="002E3611"/>
    <w:rsid w:val="002E519D"/>
    <w:rsid w:val="002E6088"/>
    <w:rsid w:val="002E69CD"/>
    <w:rsid w:val="002E7732"/>
    <w:rsid w:val="002F06DE"/>
    <w:rsid w:val="002F3489"/>
    <w:rsid w:val="002F48BD"/>
    <w:rsid w:val="002F5781"/>
    <w:rsid w:val="002F5DA5"/>
    <w:rsid w:val="003000D9"/>
    <w:rsid w:val="0030066E"/>
    <w:rsid w:val="00302CA4"/>
    <w:rsid w:val="00306C4D"/>
    <w:rsid w:val="003073CE"/>
    <w:rsid w:val="00307DDB"/>
    <w:rsid w:val="00310680"/>
    <w:rsid w:val="00312621"/>
    <w:rsid w:val="0031405F"/>
    <w:rsid w:val="003163FF"/>
    <w:rsid w:val="00317AE2"/>
    <w:rsid w:val="003206D3"/>
    <w:rsid w:val="00320C29"/>
    <w:rsid w:val="003223C7"/>
    <w:rsid w:val="00322D3A"/>
    <w:rsid w:val="00322E12"/>
    <w:rsid w:val="00327F2E"/>
    <w:rsid w:val="00332A65"/>
    <w:rsid w:val="003332CE"/>
    <w:rsid w:val="0033392F"/>
    <w:rsid w:val="00340CF4"/>
    <w:rsid w:val="00342E17"/>
    <w:rsid w:val="00345596"/>
    <w:rsid w:val="003478DB"/>
    <w:rsid w:val="00347DA9"/>
    <w:rsid w:val="003502A8"/>
    <w:rsid w:val="003514B5"/>
    <w:rsid w:val="00354E08"/>
    <w:rsid w:val="003553C2"/>
    <w:rsid w:val="00362CF8"/>
    <w:rsid w:val="00363B99"/>
    <w:rsid w:val="0036535C"/>
    <w:rsid w:val="00372D89"/>
    <w:rsid w:val="0037589C"/>
    <w:rsid w:val="00376979"/>
    <w:rsid w:val="003773E2"/>
    <w:rsid w:val="00377402"/>
    <w:rsid w:val="003776D4"/>
    <w:rsid w:val="00381E43"/>
    <w:rsid w:val="00384705"/>
    <w:rsid w:val="00386636"/>
    <w:rsid w:val="00386B61"/>
    <w:rsid w:val="00391F3C"/>
    <w:rsid w:val="00394304"/>
    <w:rsid w:val="003A2CE7"/>
    <w:rsid w:val="003A49F3"/>
    <w:rsid w:val="003A6423"/>
    <w:rsid w:val="003A7CB4"/>
    <w:rsid w:val="003B1541"/>
    <w:rsid w:val="003B23A5"/>
    <w:rsid w:val="003B3939"/>
    <w:rsid w:val="003C246A"/>
    <w:rsid w:val="003C35DD"/>
    <w:rsid w:val="003C6DE2"/>
    <w:rsid w:val="003C72DF"/>
    <w:rsid w:val="003C79F5"/>
    <w:rsid w:val="003C7F42"/>
    <w:rsid w:val="003D0BD5"/>
    <w:rsid w:val="003D101F"/>
    <w:rsid w:val="003D13ED"/>
    <w:rsid w:val="003D3873"/>
    <w:rsid w:val="003D4358"/>
    <w:rsid w:val="003D47E5"/>
    <w:rsid w:val="003D4CC3"/>
    <w:rsid w:val="003D6DDF"/>
    <w:rsid w:val="003E2A9D"/>
    <w:rsid w:val="003E3629"/>
    <w:rsid w:val="003E44D9"/>
    <w:rsid w:val="003E540E"/>
    <w:rsid w:val="003F0C56"/>
    <w:rsid w:val="003F0EC9"/>
    <w:rsid w:val="003F4F5C"/>
    <w:rsid w:val="003F654B"/>
    <w:rsid w:val="003F6C3B"/>
    <w:rsid w:val="00404EAF"/>
    <w:rsid w:val="00410582"/>
    <w:rsid w:val="00410AFF"/>
    <w:rsid w:val="00412002"/>
    <w:rsid w:val="0041214C"/>
    <w:rsid w:val="00416D0C"/>
    <w:rsid w:val="004211FA"/>
    <w:rsid w:val="00421755"/>
    <w:rsid w:val="00421D37"/>
    <w:rsid w:val="00421F5E"/>
    <w:rsid w:val="00423CC8"/>
    <w:rsid w:val="00426FBC"/>
    <w:rsid w:val="00433937"/>
    <w:rsid w:val="00435AFE"/>
    <w:rsid w:val="00436AF0"/>
    <w:rsid w:val="0043725B"/>
    <w:rsid w:val="00437C7A"/>
    <w:rsid w:val="004423EF"/>
    <w:rsid w:val="00443546"/>
    <w:rsid w:val="00447510"/>
    <w:rsid w:val="004502AC"/>
    <w:rsid w:val="004504EB"/>
    <w:rsid w:val="0045115B"/>
    <w:rsid w:val="00451F67"/>
    <w:rsid w:val="0045394B"/>
    <w:rsid w:val="00454818"/>
    <w:rsid w:val="00456018"/>
    <w:rsid w:val="00457EC3"/>
    <w:rsid w:val="00461A95"/>
    <w:rsid w:val="0046792F"/>
    <w:rsid w:val="00472549"/>
    <w:rsid w:val="00474CEE"/>
    <w:rsid w:val="004753A2"/>
    <w:rsid w:val="00481829"/>
    <w:rsid w:val="00482ADA"/>
    <w:rsid w:val="00487C80"/>
    <w:rsid w:val="0049045B"/>
    <w:rsid w:val="00491345"/>
    <w:rsid w:val="00492996"/>
    <w:rsid w:val="00493AFD"/>
    <w:rsid w:val="004958B3"/>
    <w:rsid w:val="0049612B"/>
    <w:rsid w:val="0049617D"/>
    <w:rsid w:val="004964A6"/>
    <w:rsid w:val="004A2011"/>
    <w:rsid w:val="004A3116"/>
    <w:rsid w:val="004A48E6"/>
    <w:rsid w:val="004A7065"/>
    <w:rsid w:val="004A7943"/>
    <w:rsid w:val="004B2485"/>
    <w:rsid w:val="004B344C"/>
    <w:rsid w:val="004B356A"/>
    <w:rsid w:val="004B4C4E"/>
    <w:rsid w:val="004B4ECF"/>
    <w:rsid w:val="004C0D3E"/>
    <w:rsid w:val="004C3173"/>
    <w:rsid w:val="004C4F45"/>
    <w:rsid w:val="004C5537"/>
    <w:rsid w:val="004C6EAB"/>
    <w:rsid w:val="004D1AAA"/>
    <w:rsid w:val="004D223F"/>
    <w:rsid w:val="004D22F9"/>
    <w:rsid w:val="004D2EA7"/>
    <w:rsid w:val="004D56EE"/>
    <w:rsid w:val="004D7A1D"/>
    <w:rsid w:val="004E1CBA"/>
    <w:rsid w:val="004E3BF9"/>
    <w:rsid w:val="004E600C"/>
    <w:rsid w:val="004E6BB4"/>
    <w:rsid w:val="004F04C3"/>
    <w:rsid w:val="004F0F13"/>
    <w:rsid w:val="004F294A"/>
    <w:rsid w:val="004F36C9"/>
    <w:rsid w:val="004F45BE"/>
    <w:rsid w:val="004F46FA"/>
    <w:rsid w:val="004F514F"/>
    <w:rsid w:val="004F58DF"/>
    <w:rsid w:val="004F76D7"/>
    <w:rsid w:val="005011B8"/>
    <w:rsid w:val="0050142B"/>
    <w:rsid w:val="00503CBB"/>
    <w:rsid w:val="00504BA5"/>
    <w:rsid w:val="005164BC"/>
    <w:rsid w:val="00516780"/>
    <w:rsid w:val="00520149"/>
    <w:rsid w:val="00525F09"/>
    <w:rsid w:val="00527513"/>
    <w:rsid w:val="00530853"/>
    <w:rsid w:val="0053576F"/>
    <w:rsid w:val="00535A5A"/>
    <w:rsid w:val="00535C6A"/>
    <w:rsid w:val="005444F8"/>
    <w:rsid w:val="00545951"/>
    <w:rsid w:val="00550B16"/>
    <w:rsid w:val="00551A14"/>
    <w:rsid w:val="00554A74"/>
    <w:rsid w:val="00565645"/>
    <w:rsid w:val="00565AB9"/>
    <w:rsid w:val="00565BD0"/>
    <w:rsid w:val="0056625F"/>
    <w:rsid w:val="00567291"/>
    <w:rsid w:val="00580769"/>
    <w:rsid w:val="005838C8"/>
    <w:rsid w:val="00583DA6"/>
    <w:rsid w:val="00584320"/>
    <w:rsid w:val="00585D05"/>
    <w:rsid w:val="00585F07"/>
    <w:rsid w:val="005927A8"/>
    <w:rsid w:val="00592CDD"/>
    <w:rsid w:val="00595245"/>
    <w:rsid w:val="005965FA"/>
    <w:rsid w:val="005967B4"/>
    <w:rsid w:val="005A19C9"/>
    <w:rsid w:val="005A2166"/>
    <w:rsid w:val="005A3934"/>
    <w:rsid w:val="005A5097"/>
    <w:rsid w:val="005B0B39"/>
    <w:rsid w:val="005B0CFB"/>
    <w:rsid w:val="005B4F7C"/>
    <w:rsid w:val="005C1316"/>
    <w:rsid w:val="005C2D42"/>
    <w:rsid w:val="005C46A0"/>
    <w:rsid w:val="005C4CED"/>
    <w:rsid w:val="005C793A"/>
    <w:rsid w:val="005D0A77"/>
    <w:rsid w:val="005D0D9B"/>
    <w:rsid w:val="005D2322"/>
    <w:rsid w:val="005D3EEF"/>
    <w:rsid w:val="005D4B8C"/>
    <w:rsid w:val="005D5BF6"/>
    <w:rsid w:val="005E1492"/>
    <w:rsid w:val="005E7331"/>
    <w:rsid w:val="005E7D8C"/>
    <w:rsid w:val="005E7DED"/>
    <w:rsid w:val="005F2655"/>
    <w:rsid w:val="005F3494"/>
    <w:rsid w:val="005F416F"/>
    <w:rsid w:val="005F5822"/>
    <w:rsid w:val="005F58D8"/>
    <w:rsid w:val="005F6B47"/>
    <w:rsid w:val="005F7992"/>
    <w:rsid w:val="00600979"/>
    <w:rsid w:val="006049F4"/>
    <w:rsid w:val="00605A2C"/>
    <w:rsid w:val="00610518"/>
    <w:rsid w:val="006142CA"/>
    <w:rsid w:val="006144A2"/>
    <w:rsid w:val="00621509"/>
    <w:rsid w:val="00634FF5"/>
    <w:rsid w:val="00636FDC"/>
    <w:rsid w:val="0064073C"/>
    <w:rsid w:val="006423AD"/>
    <w:rsid w:val="00644AF0"/>
    <w:rsid w:val="006464F7"/>
    <w:rsid w:val="006505E2"/>
    <w:rsid w:val="0065193C"/>
    <w:rsid w:val="00651986"/>
    <w:rsid w:val="00651E84"/>
    <w:rsid w:val="00653A03"/>
    <w:rsid w:val="00656510"/>
    <w:rsid w:val="00660484"/>
    <w:rsid w:val="00660834"/>
    <w:rsid w:val="00663A13"/>
    <w:rsid w:val="0066545A"/>
    <w:rsid w:val="00665DB3"/>
    <w:rsid w:val="00671BAC"/>
    <w:rsid w:val="00672C06"/>
    <w:rsid w:val="006739EA"/>
    <w:rsid w:val="00673A6E"/>
    <w:rsid w:val="0067428D"/>
    <w:rsid w:val="0067593D"/>
    <w:rsid w:val="00680B9A"/>
    <w:rsid w:val="00681E06"/>
    <w:rsid w:val="006821E3"/>
    <w:rsid w:val="00682AB0"/>
    <w:rsid w:val="006857C6"/>
    <w:rsid w:val="00686669"/>
    <w:rsid w:val="00690927"/>
    <w:rsid w:val="00691E05"/>
    <w:rsid w:val="006926F9"/>
    <w:rsid w:val="0069372F"/>
    <w:rsid w:val="0069472F"/>
    <w:rsid w:val="00695D3C"/>
    <w:rsid w:val="00697B8F"/>
    <w:rsid w:val="006A1020"/>
    <w:rsid w:val="006A2071"/>
    <w:rsid w:val="006A2B68"/>
    <w:rsid w:val="006A343E"/>
    <w:rsid w:val="006A55BB"/>
    <w:rsid w:val="006A7112"/>
    <w:rsid w:val="006B066C"/>
    <w:rsid w:val="006B35E3"/>
    <w:rsid w:val="006B3C6D"/>
    <w:rsid w:val="006B3E0A"/>
    <w:rsid w:val="006B5D34"/>
    <w:rsid w:val="006C0E62"/>
    <w:rsid w:val="006C19B5"/>
    <w:rsid w:val="006C2626"/>
    <w:rsid w:val="006C35DE"/>
    <w:rsid w:val="006C40ED"/>
    <w:rsid w:val="006C5659"/>
    <w:rsid w:val="006C666D"/>
    <w:rsid w:val="006D136A"/>
    <w:rsid w:val="006D180B"/>
    <w:rsid w:val="006D1E8A"/>
    <w:rsid w:val="006D1F21"/>
    <w:rsid w:val="006D2552"/>
    <w:rsid w:val="006D398D"/>
    <w:rsid w:val="006D3A78"/>
    <w:rsid w:val="006D46DF"/>
    <w:rsid w:val="006E027F"/>
    <w:rsid w:val="006E0C80"/>
    <w:rsid w:val="006E16FC"/>
    <w:rsid w:val="006E31C4"/>
    <w:rsid w:val="006E35C5"/>
    <w:rsid w:val="006E3F92"/>
    <w:rsid w:val="006F36AF"/>
    <w:rsid w:val="006F3735"/>
    <w:rsid w:val="006F4EE5"/>
    <w:rsid w:val="00702079"/>
    <w:rsid w:val="00704D20"/>
    <w:rsid w:val="00705AFB"/>
    <w:rsid w:val="00706D43"/>
    <w:rsid w:val="00710236"/>
    <w:rsid w:val="007104D5"/>
    <w:rsid w:val="00712BB7"/>
    <w:rsid w:val="00713944"/>
    <w:rsid w:val="007147D1"/>
    <w:rsid w:val="0071499C"/>
    <w:rsid w:val="00715A59"/>
    <w:rsid w:val="00721916"/>
    <w:rsid w:val="00724E0C"/>
    <w:rsid w:val="00725223"/>
    <w:rsid w:val="00730435"/>
    <w:rsid w:val="0073081A"/>
    <w:rsid w:val="007322C7"/>
    <w:rsid w:val="00732C3E"/>
    <w:rsid w:val="007337C9"/>
    <w:rsid w:val="00735241"/>
    <w:rsid w:val="0073792B"/>
    <w:rsid w:val="00740BB5"/>
    <w:rsid w:val="00740C8E"/>
    <w:rsid w:val="00741AC3"/>
    <w:rsid w:val="00742C3D"/>
    <w:rsid w:val="00743072"/>
    <w:rsid w:val="00743678"/>
    <w:rsid w:val="00744618"/>
    <w:rsid w:val="00745E1A"/>
    <w:rsid w:val="00746290"/>
    <w:rsid w:val="00750768"/>
    <w:rsid w:val="007523DD"/>
    <w:rsid w:val="00757BE8"/>
    <w:rsid w:val="00761BF1"/>
    <w:rsid w:val="007625E3"/>
    <w:rsid w:val="00763D08"/>
    <w:rsid w:val="0076707F"/>
    <w:rsid w:val="00771829"/>
    <w:rsid w:val="00772B6F"/>
    <w:rsid w:val="007754FF"/>
    <w:rsid w:val="007758CF"/>
    <w:rsid w:val="0077714A"/>
    <w:rsid w:val="007800E7"/>
    <w:rsid w:val="007901BA"/>
    <w:rsid w:val="00790A25"/>
    <w:rsid w:val="00791718"/>
    <w:rsid w:val="00793FAF"/>
    <w:rsid w:val="00794427"/>
    <w:rsid w:val="007965C4"/>
    <w:rsid w:val="007971CE"/>
    <w:rsid w:val="007A085D"/>
    <w:rsid w:val="007A2EBC"/>
    <w:rsid w:val="007A5F28"/>
    <w:rsid w:val="007A6E38"/>
    <w:rsid w:val="007A7236"/>
    <w:rsid w:val="007B1511"/>
    <w:rsid w:val="007B2AE7"/>
    <w:rsid w:val="007B2AEE"/>
    <w:rsid w:val="007B5A0D"/>
    <w:rsid w:val="007B755D"/>
    <w:rsid w:val="007C0B1F"/>
    <w:rsid w:val="007C3E00"/>
    <w:rsid w:val="007C5C7E"/>
    <w:rsid w:val="007C61E3"/>
    <w:rsid w:val="007C66C8"/>
    <w:rsid w:val="007C7ACE"/>
    <w:rsid w:val="007D0199"/>
    <w:rsid w:val="007D0C6F"/>
    <w:rsid w:val="007D1678"/>
    <w:rsid w:val="007D253F"/>
    <w:rsid w:val="007D4278"/>
    <w:rsid w:val="007D4932"/>
    <w:rsid w:val="007D5FC4"/>
    <w:rsid w:val="007D6B8D"/>
    <w:rsid w:val="007D6DE3"/>
    <w:rsid w:val="007E1E17"/>
    <w:rsid w:val="007E20BE"/>
    <w:rsid w:val="007E62A0"/>
    <w:rsid w:val="007E6D55"/>
    <w:rsid w:val="007E7A0D"/>
    <w:rsid w:val="007F21C3"/>
    <w:rsid w:val="007F4E65"/>
    <w:rsid w:val="007F54C1"/>
    <w:rsid w:val="007F69D9"/>
    <w:rsid w:val="00800F73"/>
    <w:rsid w:val="00801BD2"/>
    <w:rsid w:val="0080286E"/>
    <w:rsid w:val="008035C9"/>
    <w:rsid w:val="00807137"/>
    <w:rsid w:val="00811079"/>
    <w:rsid w:val="008112CB"/>
    <w:rsid w:val="00812B70"/>
    <w:rsid w:val="0081783F"/>
    <w:rsid w:val="00825540"/>
    <w:rsid w:val="00825B6A"/>
    <w:rsid w:val="00826DBF"/>
    <w:rsid w:val="008275E3"/>
    <w:rsid w:val="00831915"/>
    <w:rsid w:val="00831B36"/>
    <w:rsid w:val="0083208D"/>
    <w:rsid w:val="008443BC"/>
    <w:rsid w:val="00845106"/>
    <w:rsid w:val="00847C56"/>
    <w:rsid w:val="00850DEF"/>
    <w:rsid w:val="00852E34"/>
    <w:rsid w:val="00853F83"/>
    <w:rsid w:val="008548C6"/>
    <w:rsid w:val="00857638"/>
    <w:rsid w:val="00857A24"/>
    <w:rsid w:val="00861045"/>
    <w:rsid w:val="008618A2"/>
    <w:rsid w:val="00862905"/>
    <w:rsid w:val="008663D9"/>
    <w:rsid w:val="008710D6"/>
    <w:rsid w:val="00871491"/>
    <w:rsid w:val="00873930"/>
    <w:rsid w:val="00876FEF"/>
    <w:rsid w:val="00877848"/>
    <w:rsid w:val="008834E7"/>
    <w:rsid w:val="0088619A"/>
    <w:rsid w:val="00887FA4"/>
    <w:rsid w:val="00893F04"/>
    <w:rsid w:val="008948B6"/>
    <w:rsid w:val="00895EEF"/>
    <w:rsid w:val="0089633E"/>
    <w:rsid w:val="0089768B"/>
    <w:rsid w:val="008A1516"/>
    <w:rsid w:val="008A471B"/>
    <w:rsid w:val="008A5071"/>
    <w:rsid w:val="008A6A14"/>
    <w:rsid w:val="008A6B9F"/>
    <w:rsid w:val="008A7426"/>
    <w:rsid w:val="008B05F9"/>
    <w:rsid w:val="008B3B5E"/>
    <w:rsid w:val="008B45C6"/>
    <w:rsid w:val="008B4B1A"/>
    <w:rsid w:val="008B4CFE"/>
    <w:rsid w:val="008C0851"/>
    <w:rsid w:val="008C096B"/>
    <w:rsid w:val="008C0BAD"/>
    <w:rsid w:val="008C6163"/>
    <w:rsid w:val="008C6E1D"/>
    <w:rsid w:val="008D2F58"/>
    <w:rsid w:val="008D7645"/>
    <w:rsid w:val="008D78B1"/>
    <w:rsid w:val="008E0A77"/>
    <w:rsid w:val="008E4FBA"/>
    <w:rsid w:val="008F370A"/>
    <w:rsid w:val="008F6CB6"/>
    <w:rsid w:val="008F7514"/>
    <w:rsid w:val="0090095B"/>
    <w:rsid w:val="00901059"/>
    <w:rsid w:val="0090192F"/>
    <w:rsid w:val="00901FA8"/>
    <w:rsid w:val="00903D46"/>
    <w:rsid w:val="009058AF"/>
    <w:rsid w:val="00910650"/>
    <w:rsid w:val="00911208"/>
    <w:rsid w:val="00912113"/>
    <w:rsid w:val="00912B7E"/>
    <w:rsid w:val="00912E8B"/>
    <w:rsid w:val="0091601F"/>
    <w:rsid w:val="00916999"/>
    <w:rsid w:val="009173DA"/>
    <w:rsid w:val="00917C78"/>
    <w:rsid w:val="009201E9"/>
    <w:rsid w:val="00922727"/>
    <w:rsid w:val="0092450B"/>
    <w:rsid w:val="00924BB7"/>
    <w:rsid w:val="00924C89"/>
    <w:rsid w:val="00927049"/>
    <w:rsid w:val="00927E45"/>
    <w:rsid w:val="00930B50"/>
    <w:rsid w:val="00930BFF"/>
    <w:rsid w:val="00933C88"/>
    <w:rsid w:val="00937041"/>
    <w:rsid w:val="009518B5"/>
    <w:rsid w:val="0095244D"/>
    <w:rsid w:val="00953478"/>
    <w:rsid w:val="00955214"/>
    <w:rsid w:val="00955AA5"/>
    <w:rsid w:val="00961130"/>
    <w:rsid w:val="00962579"/>
    <w:rsid w:val="0096380C"/>
    <w:rsid w:val="0096389C"/>
    <w:rsid w:val="00964F86"/>
    <w:rsid w:val="00965524"/>
    <w:rsid w:val="00966BBE"/>
    <w:rsid w:val="00971796"/>
    <w:rsid w:val="00972578"/>
    <w:rsid w:val="00974244"/>
    <w:rsid w:val="009742AE"/>
    <w:rsid w:val="009756F5"/>
    <w:rsid w:val="00976128"/>
    <w:rsid w:val="00976AB7"/>
    <w:rsid w:val="0097749F"/>
    <w:rsid w:val="00982CEB"/>
    <w:rsid w:val="00983D06"/>
    <w:rsid w:val="00984BB2"/>
    <w:rsid w:val="00985A72"/>
    <w:rsid w:val="00985EE0"/>
    <w:rsid w:val="00986CF5"/>
    <w:rsid w:val="0098733F"/>
    <w:rsid w:val="00990FC8"/>
    <w:rsid w:val="00993460"/>
    <w:rsid w:val="00994AA1"/>
    <w:rsid w:val="00995B5C"/>
    <w:rsid w:val="009A09F0"/>
    <w:rsid w:val="009A25ED"/>
    <w:rsid w:val="009A4821"/>
    <w:rsid w:val="009A4981"/>
    <w:rsid w:val="009A4BBF"/>
    <w:rsid w:val="009A6FFD"/>
    <w:rsid w:val="009B202C"/>
    <w:rsid w:val="009B2A81"/>
    <w:rsid w:val="009B4AC8"/>
    <w:rsid w:val="009C310B"/>
    <w:rsid w:val="009C6B1B"/>
    <w:rsid w:val="009C7B14"/>
    <w:rsid w:val="009D4E2B"/>
    <w:rsid w:val="009D5233"/>
    <w:rsid w:val="009D5F5B"/>
    <w:rsid w:val="009D6CCB"/>
    <w:rsid w:val="009E33B2"/>
    <w:rsid w:val="009E3BEC"/>
    <w:rsid w:val="009E40F4"/>
    <w:rsid w:val="009E45E1"/>
    <w:rsid w:val="009E496F"/>
    <w:rsid w:val="009E49FE"/>
    <w:rsid w:val="009E5EF9"/>
    <w:rsid w:val="009E7811"/>
    <w:rsid w:val="009E7954"/>
    <w:rsid w:val="009F292E"/>
    <w:rsid w:val="00A01F25"/>
    <w:rsid w:val="00A02E6B"/>
    <w:rsid w:val="00A04569"/>
    <w:rsid w:val="00A05161"/>
    <w:rsid w:val="00A0526F"/>
    <w:rsid w:val="00A061A6"/>
    <w:rsid w:val="00A06B7C"/>
    <w:rsid w:val="00A1224C"/>
    <w:rsid w:val="00A143C8"/>
    <w:rsid w:val="00A16375"/>
    <w:rsid w:val="00A17067"/>
    <w:rsid w:val="00A1790C"/>
    <w:rsid w:val="00A211A3"/>
    <w:rsid w:val="00A21FC4"/>
    <w:rsid w:val="00A23416"/>
    <w:rsid w:val="00A236C6"/>
    <w:rsid w:val="00A25C8E"/>
    <w:rsid w:val="00A3022C"/>
    <w:rsid w:val="00A37A76"/>
    <w:rsid w:val="00A37C9B"/>
    <w:rsid w:val="00A410B6"/>
    <w:rsid w:val="00A45499"/>
    <w:rsid w:val="00A457F2"/>
    <w:rsid w:val="00A4603A"/>
    <w:rsid w:val="00A50A45"/>
    <w:rsid w:val="00A5173A"/>
    <w:rsid w:val="00A51BF1"/>
    <w:rsid w:val="00A528C7"/>
    <w:rsid w:val="00A53BC2"/>
    <w:rsid w:val="00A54CB2"/>
    <w:rsid w:val="00A558E8"/>
    <w:rsid w:val="00A55CA2"/>
    <w:rsid w:val="00A66830"/>
    <w:rsid w:val="00A668A4"/>
    <w:rsid w:val="00A70671"/>
    <w:rsid w:val="00A73114"/>
    <w:rsid w:val="00A80426"/>
    <w:rsid w:val="00A84589"/>
    <w:rsid w:val="00A87DA6"/>
    <w:rsid w:val="00A910F8"/>
    <w:rsid w:val="00A91FB2"/>
    <w:rsid w:val="00A957BF"/>
    <w:rsid w:val="00A9589C"/>
    <w:rsid w:val="00AA4F38"/>
    <w:rsid w:val="00AA5874"/>
    <w:rsid w:val="00AB0550"/>
    <w:rsid w:val="00AB17DD"/>
    <w:rsid w:val="00AB1EC9"/>
    <w:rsid w:val="00AB2D8C"/>
    <w:rsid w:val="00AB6F0E"/>
    <w:rsid w:val="00AB732F"/>
    <w:rsid w:val="00AC1606"/>
    <w:rsid w:val="00AC3F86"/>
    <w:rsid w:val="00AC59C8"/>
    <w:rsid w:val="00AC5FCA"/>
    <w:rsid w:val="00AC6F82"/>
    <w:rsid w:val="00AC7B46"/>
    <w:rsid w:val="00AC7DDF"/>
    <w:rsid w:val="00AD0DE0"/>
    <w:rsid w:val="00AD1DB3"/>
    <w:rsid w:val="00AD2333"/>
    <w:rsid w:val="00AD3039"/>
    <w:rsid w:val="00AD5055"/>
    <w:rsid w:val="00AD57BA"/>
    <w:rsid w:val="00AD6D2D"/>
    <w:rsid w:val="00AD7893"/>
    <w:rsid w:val="00AD7C68"/>
    <w:rsid w:val="00AD7F7D"/>
    <w:rsid w:val="00AE018B"/>
    <w:rsid w:val="00AE334C"/>
    <w:rsid w:val="00AE339E"/>
    <w:rsid w:val="00AE3A87"/>
    <w:rsid w:val="00AE3F8B"/>
    <w:rsid w:val="00AE617A"/>
    <w:rsid w:val="00AE6BC0"/>
    <w:rsid w:val="00AF3901"/>
    <w:rsid w:val="00AF4B62"/>
    <w:rsid w:val="00AF64B9"/>
    <w:rsid w:val="00B02EB1"/>
    <w:rsid w:val="00B13556"/>
    <w:rsid w:val="00B15A66"/>
    <w:rsid w:val="00B16B89"/>
    <w:rsid w:val="00B20F02"/>
    <w:rsid w:val="00B232DE"/>
    <w:rsid w:val="00B24A82"/>
    <w:rsid w:val="00B31F21"/>
    <w:rsid w:val="00B32676"/>
    <w:rsid w:val="00B32996"/>
    <w:rsid w:val="00B33D98"/>
    <w:rsid w:val="00B359F3"/>
    <w:rsid w:val="00B36287"/>
    <w:rsid w:val="00B413BC"/>
    <w:rsid w:val="00B42595"/>
    <w:rsid w:val="00B479D5"/>
    <w:rsid w:val="00B5481B"/>
    <w:rsid w:val="00B56391"/>
    <w:rsid w:val="00B57651"/>
    <w:rsid w:val="00B65B67"/>
    <w:rsid w:val="00B65E2A"/>
    <w:rsid w:val="00B700EB"/>
    <w:rsid w:val="00B70518"/>
    <w:rsid w:val="00B73CCB"/>
    <w:rsid w:val="00B76830"/>
    <w:rsid w:val="00B76C2E"/>
    <w:rsid w:val="00B76E5F"/>
    <w:rsid w:val="00B77DE0"/>
    <w:rsid w:val="00B82590"/>
    <w:rsid w:val="00B82C72"/>
    <w:rsid w:val="00B82E0A"/>
    <w:rsid w:val="00B84930"/>
    <w:rsid w:val="00B860C9"/>
    <w:rsid w:val="00B861EF"/>
    <w:rsid w:val="00B872BA"/>
    <w:rsid w:val="00B908F8"/>
    <w:rsid w:val="00B9211E"/>
    <w:rsid w:val="00B95CAE"/>
    <w:rsid w:val="00BA00C2"/>
    <w:rsid w:val="00BA16DE"/>
    <w:rsid w:val="00BA23AD"/>
    <w:rsid w:val="00BA2A35"/>
    <w:rsid w:val="00BA4F7F"/>
    <w:rsid w:val="00BA56D8"/>
    <w:rsid w:val="00BA72D6"/>
    <w:rsid w:val="00BB0400"/>
    <w:rsid w:val="00BB0B30"/>
    <w:rsid w:val="00BB29A1"/>
    <w:rsid w:val="00BB3030"/>
    <w:rsid w:val="00BB62F3"/>
    <w:rsid w:val="00BB783A"/>
    <w:rsid w:val="00BB78C4"/>
    <w:rsid w:val="00BB7B8C"/>
    <w:rsid w:val="00BB7FBF"/>
    <w:rsid w:val="00BC191C"/>
    <w:rsid w:val="00BC2019"/>
    <w:rsid w:val="00BC4400"/>
    <w:rsid w:val="00BC697E"/>
    <w:rsid w:val="00BC7E99"/>
    <w:rsid w:val="00BD1143"/>
    <w:rsid w:val="00BD2C87"/>
    <w:rsid w:val="00BD7BC8"/>
    <w:rsid w:val="00BE5C32"/>
    <w:rsid w:val="00BF1680"/>
    <w:rsid w:val="00BF1759"/>
    <w:rsid w:val="00BF1921"/>
    <w:rsid w:val="00BF2DF2"/>
    <w:rsid w:val="00BF58BC"/>
    <w:rsid w:val="00C01417"/>
    <w:rsid w:val="00C01EE8"/>
    <w:rsid w:val="00C02DD1"/>
    <w:rsid w:val="00C11241"/>
    <w:rsid w:val="00C1132A"/>
    <w:rsid w:val="00C12854"/>
    <w:rsid w:val="00C16F8D"/>
    <w:rsid w:val="00C2651B"/>
    <w:rsid w:val="00C278D8"/>
    <w:rsid w:val="00C3181C"/>
    <w:rsid w:val="00C331B9"/>
    <w:rsid w:val="00C34800"/>
    <w:rsid w:val="00C40896"/>
    <w:rsid w:val="00C425D9"/>
    <w:rsid w:val="00C448E8"/>
    <w:rsid w:val="00C45B18"/>
    <w:rsid w:val="00C47244"/>
    <w:rsid w:val="00C50FE1"/>
    <w:rsid w:val="00C525F2"/>
    <w:rsid w:val="00C6232A"/>
    <w:rsid w:val="00C71877"/>
    <w:rsid w:val="00C71F5F"/>
    <w:rsid w:val="00C813A2"/>
    <w:rsid w:val="00C82EA3"/>
    <w:rsid w:val="00C84001"/>
    <w:rsid w:val="00C87169"/>
    <w:rsid w:val="00C87D6C"/>
    <w:rsid w:val="00C93DF0"/>
    <w:rsid w:val="00C95393"/>
    <w:rsid w:val="00C9683E"/>
    <w:rsid w:val="00C96CF4"/>
    <w:rsid w:val="00CA0060"/>
    <w:rsid w:val="00CA1E0B"/>
    <w:rsid w:val="00CA215C"/>
    <w:rsid w:val="00CA2CFD"/>
    <w:rsid w:val="00CA4287"/>
    <w:rsid w:val="00CA65EA"/>
    <w:rsid w:val="00CA6EE9"/>
    <w:rsid w:val="00CA7B58"/>
    <w:rsid w:val="00CB0025"/>
    <w:rsid w:val="00CB1D31"/>
    <w:rsid w:val="00CB1E32"/>
    <w:rsid w:val="00CB2D8B"/>
    <w:rsid w:val="00CB6681"/>
    <w:rsid w:val="00CB781F"/>
    <w:rsid w:val="00CB79C0"/>
    <w:rsid w:val="00CC1AD1"/>
    <w:rsid w:val="00CC3EA4"/>
    <w:rsid w:val="00CC59EA"/>
    <w:rsid w:val="00CD5077"/>
    <w:rsid w:val="00CD55F2"/>
    <w:rsid w:val="00CD69A7"/>
    <w:rsid w:val="00CE01D4"/>
    <w:rsid w:val="00CE0B0C"/>
    <w:rsid w:val="00CE415E"/>
    <w:rsid w:val="00CE59A2"/>
    <w:rsid w:val="00CE7354"/>
    <w:rsid w:val="00CE761D"/>
    <w:rsid w:val="00CE7C55"/>
    <w:rsid w:val="00CF0253"/>
    <w:rsid w:val="00CF5E4C"/>
    <w:rsid w:val="00CF6686"/>
    <w:rsid w:val="00D0658E"/>
    <w:rsid w:val="00D06FDD"/>
    <w:rsid w:val="00D116B6"/>
    <w:rsid w:val="00D11A32"/>
    <w:rsid w:val="00D11A59"/>
    <w:rsid w:val="00D14AFB"/>
    <w:rsid w:val="00D20FB5"/>
    <w:rsid w:val="00D21748"/>
    <w:rsid w:val="00D23A6A"/>
    <w:rsid w:val="00D26C5E"/>
    <w:rsid w:val="00D27E0E"/>
    <w:rsid w:val="00D31823"/>
    <w:rsid w:val="00D33250"/>
    <w:rsid w:val="00D35B43"/>
    <w:rsid w:val="00D35C21"/>
    <w:rsid w:val="00D36186"/>
    <w:rsid w:val="00D361F7"/>
    <w:rsid w:val="00D400D1"/>
    <w:rsid w:val="00D41A25"/>
    <w:rsid w:val="00D42F07"/>
    <w:rsid w:val="00D467F8"/>
    <w:rsid w:val="00D5096D"/>
    <w:rsid w:val="00D51979"/>
    <w:rsid w:val="00D522BB"/>
    <w:rsid w:val="00D529D0"/>
    <w:rsid w:val="00D53CD3"/>
    <w:rsid w:val="00D543A9"/>
    <w:rsid w:val="00D55C71"/>
    <w:rsid w:val="00D56A84"/>
    <w:rsid w:val="00D60A38"/>
    <w:rsid w:val="00D6168A"/>
    <w:rsid w:val="00D64FA7"/>
    <w:rsid w:val="00D6602E"/>
    <w:rsid w:val="00D729CB"/>
    <w:rsid w:val="00D779F6"/>
    <w:rsid w:val="00D84248"/>
    <w:rsid w:val="00D8443E"/>
    <w:rsid w:val="00D84D4E"/>
    <w:rsid w:val="00D85DE6"/>
    <w:rsid w:val="00D86387"/>
    <w:rsid w:val="00D917F1"/>
    <w:rsid w:val="00D951C3"/>
    <w:rsid w:val="00D96142"/>
    <w:rsid w:val="00D9708D"/>
    <w:rsid w:val="00DA0C7F"/>
    <w:rsid w:val="00DA222B"/>
    <w:rsid w:val="00DA6BF4"/>
    <w:rsid w:val="00DB248B"/>
    <w:rsid w:val="00DB424E"/>
    <w:rsid w:val="00DB45A1"/>
    <w:rsid w:val="00DB77E7"/>
    <w:rsid w:val="00DC02F8"/>
    <w:rsid w:val="00DC0D61"/>
    <w:rsid w:val="00DC0DDF"/>
    <w:rsid w:val="00DC1131"/>
    <w:rsid w:val="00DC1866"/>
    <w:rsid w:val="00DC1930"/>
    <w:rsid w:val="00DC2546"/>
    <w:rsid w:val="00DC580D"/>
    <w:rsid w:val="00DC7DE7"/>
    <w:rsid w:val="00DD27E0"/>
    <w:rsid w:val="00DD5349"/>
    <w:rsid w:val="00DD5661"/>
    <w:rsid w:val="00DE1CB3"/>
    <w:rsid w:val="00DE22C9"/>
    <w:rsid w:val="00DE2BF6"/>
    <w:rsid w:val="00DE3B3C"/>
    <w:rsid w:val="00DE43EE"/>
    <w:rsid w:val="00DE5960"/>
    <w:rsid w:val="00DE59C3"/>
    <w:rsid w:val="00DE662A"/>
    <w:rsid w:val="00DE7666"/>
    <w:rsid w:val="00DF02BC"/>
    <w:rsid w:val="00DF0EE4"/>
    <w:rsid w:val="00DF2DB7"/>
    <w:rsid w:val="00DF3368"/>
    <w:rsid w:val="00DF3C26"/>
    <w:rsid w:val="00DF5F41"/>
    <w:rsid w:val="00E00B74"/>
    <w:rsid w:val="00E01DA3"/>
    <w:rsid w:val="00E030E5"/>
    <w:rsid w:val="00E06851"/>
    <w:rsid w:val="00E076E3"/>
    <w:rsid w:val="00E14271"/>
    <w:rsid w:val="00E15C19"/>
    <w:rsid w:val="00E17BAB"/>
    <w:rsid w:val="00E17EC7"/>
    <w:rsid w:val="00E21052"/>
    <w:rsid w:val="00E2111D"/>
    <w:rsid w:val="00E225B0"/>
    <w:rsid w:val="00E22D01"/>
    <w:rsid w:val="00E255EA"/>
    <w:rsid w:val="00E31281"/>
    <w:rsid w:val="00E32402"/>
    <w:rsid w:val="00E32E1B"/>
    <w:rsid w:val="00E3311D"/>
    <w:rsid w:val="00E35CC9"/>
    <w:rsid w:val="00E365F0"/>
    <w:rsid w:val="00E40163"/>
    <w:rsid w:val="00E417D6"/>
    <w:rsid w:val="00E41F87"/>
    <w:rsid w:val="00E44D11"/>
    <w:rsid w:val="00E474A0"/>
    <w:rsid w:val="00E50D72"/>
    <w:rsid w:val="00E53C06"/>
    <w:rsid w:val="00E54463"/>
    <w:rsid w:val="00E5480B"/>
    <w:rsid w:val="00E60CD9"/>
    <w:rsid w:val="00E60CF3"/>
    <w:rsid w:val="00E6123B"/>
    <w:rsid w:val="00E6178B"/>
    <w:rsid w:val="00E61E51"/>
    <w:rsid w:val="00E62E46"/>
    <w:rsid w:val="00E63641"/>
    <w:rsid w:val="00E64A35"/>
    <w:rsid w:val="00E64A68"/>
    <w:rsid w:val="00E66E88"/>
    <w:rsid w:val="00E675CF"/>
    <w:rsid w:val="00E67671"/>
    <w:rsid w:val="00E676A2"/>
    <w:rsid w:val="00E728C4"/>
    <w:rsid w:val="00E74C3A"/>
    <w:rsid w:val="00E77B86"/>
    <w:rsid w:val="00E80E9D"/>
    <w:rsid w:val="00E8287C"/>
    <w:rsid w:val="00E8377A"/>
    <w:rsid w:val="00E86121"/>
    <w:rsid w:val="00E90855"/>
    <w:rsid w:val="00E909E2"/>
    <w:rsid w:val="00E9123A"/>
    <w:rsid w:val="00E932BB"/>
    <w:rsid w:val="00EA05A0"/>
    <w:rsid w:val="00EA47E3"/>
    <w:rsid w:val="00EA4D0F"/>
    <w:rsid w:val="00EA74CC"/>
    <w:rsid w:val="00EA7821"/>
    <w:rsid w:val="00EB01FF"/>
    <w:rsid w:val="00EB083A"/>
    <w:rsid w:val="00EB1270"/>
    <w:rsid w:val="00EB2E8C"/>
    <w:rsid w:val="00EB476C"/>
    <w:rsid w:val="00EB4D96"/>
    <w:rsid w:val="00EB7A12"/>
    <w:rsid w:val="00EB7B5D"/>
    <w:rsid w:val="00EC353E"/>
    <w:rsid w:val="00EC596F"/>
    <w:rsid w:val="00EC61D7"/>
    <w:rsid w:val="00EC71D0"/>
    <w:rsid w:val="00ED17E2"/>
    <w:rsid w:val="00ED29CE"/>
    <w:rsid w:val="00ED51A1"/>
    <w:rsid w:val="00EE1E40"/>
    <w:rsid w:val="00EE2C60"/>
    <w:rsid w:val="00EE4432"/>
    <w:rsid w:val="00EE7B59"/>
    <w:rsid w:val="00EF0C09"/>
    <w:rsid w:val="00EF427F"/>
    <w:rsid w:val="00EF49E6"/>
    <w:rsid w:val="00EF4C4A"/>
    <w:rsid w:val="00EF76AC"/>
    <w:rsid w:val="00F003B0"/>
    <w:rsid w:val="00F04E0F"/>
    <w:rsid w:val="00F06EB5"/>
    <w:rsid w:val="00F07D14"/>
    <w:rsid w:val="00F10009"/>
    <w:rsid w:val="00F10C9F"/>
    <w:rsid w:val="00F1173E"/>
    <w:rsid w:val="00F12625"/>
    <w:rsid w:val="00F153D6"/>
    <w:rsid w:val="00F16703"/>
    <w:rsid w:val="00F1744D"/>
    <w:rsid w:val="00F22055"/>
    <w:rsid w:val="00F32789"/>
    <w:rsid w:val="00F335CF"/>
    <w:rsid w:val="00F4169F"/>
    <w:rsid w:val="00F4202B"/>
    <w:rsid w:val="00F43643"/>
    <w:rsid w:val="00F45FC5"/>
    <w:rsid w:val="00F50158"/>
    <w:rsid w:val="00F508B4"/>
    <w:rsid w:val="00F52E93"/>
    <w:rsid w:val="00F52E9A"/>
    <w:rsid w:val="00F57A6A"/>
    <w:rsid w:val="00F607FD"/>
    <w:rsid w:val="00F61288"/>
    <w:rsid w:val="00F62675"/>
    <w:rsid w:val="00F6534E"/>
    <w:rsid w:val="00F6573C"/>
    <w:rsid w:val="00F666B8"/>
    <w:rsid w:val="00F66BB6"/>
    <w:rsid w:val="00F70F49"/>
    <w:rsid w:val="00F74662"/>
    <w:rsid w:val="00F75D26"/>
    <w:rsid w:val="00F75DB4"/>
    <w:rsid w:val="00F80896"/>
    <w:rsid w:val="00F813A1"/>
    <w:rsid w:val="00F85E0B"/>
    <w:rsid w:val="00F871ED"/>
    <w:rsid w:val="00F92745"/>
    <w:rsid w:val="00F92A8A"/>
    <w:rsid w:val="00F92E54"/>
    <w:rsid w:val="00F9401A"/>
    <w:rsid w:val="00F94486"/>
    <w:rsid w:val="00F94CC3"/>
    <w:rsid w:val="00F96ACE"/>
    <w:rsid w:val="00F97909"/>
    <w:rsid w:val="00FA0D6C"/>
    <w:rsid w:val="00FA0F4C"/>
    <w:rsid w:val="00FA0FE9"/>
    <w:rsid w:val="00FA1EA3"/>
    <w:rsid w:val="00FA258F"/>
    <w:rsid w:val="00FA3142"/>
    <w:rsid w:val="00FA7989"/>
    <w:rsid w:val="00FA7EC1"/>
    <w:rsid w:val="00FB053F"/>
    <w:rsid w:val="00FB2A28"/>
    <w:rsid w:val="00FB6EF1"/>
    <w:rsid w:val="00FB7E03"/>
    <w:rsid w:val="00FC16AA"/>
    <w:rsid w:val="00FC17B8"/>
    <w:rsid w:val="00FC2DCF"/>
    <w:rsid w:val="00FC3836"/>
    <w:rsid w:val="00FC425C"/>
    <w:rsid w:val="00FC4B1B"/>
    <w:rsid w:val="00FC5AA0"/>
    <w:rsid w:val="00FC6BBF"/>
    <w:rsid w:val="00FD04BF"/>
    <w:rsid w:val="00FD251B"/>
    <w:rsid w:val="00FD257C"/>
    <w:rsid w:val="00FD46E2"/>
    <w:rsid w:val="00FD4EB7"/>
    <w:rsid w:val="00FD6528"/>
    <w:rsid w:val="00FE11FB"/>
    <w:rsid w:val="00FF324B"/>
    <w:rsid w:val="00FF46F7"/>
    <w:rsid w:val="015958AE"/>
    <w:rsid w:val="0161141B"/>
    <w:rsid w:val="01857493"/>
    <w:rsid w:val="02074E1D"/>
    <w:rsid w:val="024141DC"/>
    <w:rsid w:val="024476BD"/>
    <w:rsid w:val="024E2C63"/>
    <w:rsid w:val="024E6CF6"/>
    <w:rsid w:val="02832A46"/>
    <w:rsid w:val="02FF1838"/>
    <w:rsid w:val="032A1207"/>
    <w:rsid w:val="03864661"/>
    <w:rsid w:val="03A477F5"/>
    <w:rsid w:val="04B26863"/>
    <w:rsid w:val="05B55C8B"/>
    <w:rsid w:val="06190FAA"/>
    <w:rsid w:val="071C7509"/>
    <w:rsid w:val="0792356C"/>
    <w:rsid w:val="07F214CB"/>
    <w:rsid w:val="07F461D9"/>
    <w:rsid w:val="081506C5"/>
    <w:rsid w:val="08A74FB5"/>
    <w:rsid w:val="08B24AB1"/>
    <w:rsid w:val="08C831E3"/>
    <w:rsid w:val="08CC56EA"/>
    <w:rsid w:val="08E871A5"/>
    <w:rsid w:val="09413855"/>
    <w:rsid w:val="09765F89"/>
    <w:rsid w:val="09F76A6A"/>
    <w:rsid w:val="0A5358E4"/>
    <w:rsid w:val="0AD03FB6"/>
    <w:rsid w:val="0B2245B1"/>
    <w:rsid w:val="0C6F0B98"/>
    <w:rsid w:val="0CC779D3"/>
    <w:rsid w:val="0CEC079D"/>
    <w:rsid w:val="0E216E1A"/>
    <w:rsid w:val="0E4F35CB"/>
    <w:rsid w:val="0F393F04"/>
    <w:rsid w:val="0F755F61"/>
    <w:rsid w:val="0FBC68EF"/>
    <w:rsid w:val="0FCA4000"/>
    <w:rsid w:val="0FF32449"/>
    <w:rsid w:val="10D16412"/>
    <w:rsid w:val="10DF3EE6"/>
    <w:rsid w:val="12077D97"/>
    <w:rsid w:val="12D31F6B"/>
    <w:rsid w:val="12FA35D5"/>
    <w:rsid w:val="130E7AA7"/>
    <w:rsid w:val="131C4C5F"/>
    <w:rsid w:val="13200D3A"/>
    <w:rsid w:val="1349756F"/>
    <w:rsid w:val="13EC1BF4"/>
    <w:rsid w:val="148B2A8F"/>
    <w:rsid w:val="14A42828"/>
    <w:rsid w:val="14E571E9"/>
    <w:rsid w:val="150F3344"/>
    <w:rsid w:val="151B08BC"/>
    <w:rsid w:val="155E4D4F"/>
    <w:rsid w:val="15905233"/>
    <w:rsid w:val="15A26B49"/>
    <w:rsid w:val="15DA16E1"/>
    <w:rsid w:val="162A70B6"/>
    <w:rsid w:val="168C0DDA"/>
    <w:rsid w:val="17281AC7"/>
    <w:rsid w:val="184517C6"/>
    <w:rsid w:val="18E467E2"/>
    <w:rsid w:val="19014ABD"/>
    <w:rsid w:val="195A18DD"/>
    <w:rsid w:val="198A3C99"/>
    <w:rsid w:val="19A910F1"/>
    <w:rsid w:val="19DF37F7"/>
    <w:rsid w:val="1A3654BC"/>
    <w:rsid w:val="1A7E1CBB"/>
    <w:rsid w:val="1A8A15DA"/>
    <w:rsid w:val="1AA36843"/>
    <w:rsid w:val="1B61679D"/>
    <w:rsid w:val="1BCF7D8F"/>
    <w:rsid w:val="1BD4552B"/>
    <w:rsid w:val="1C035B2F"/>
    <w:rsid w:val="1C3506BF"/>
    <w:rsid w:val="1CE56C0B"/>
    <w:rsid w:val="1D44297A"/>
    <w:rsid w:val="1D8954A8"/>
    <w:rsid w:val="1DBBFB02"/>
    <w:rsid w:val="1E2933FE"/>
    <w:rsid w:val="1E6512A8"/>
    <w:rsid w:val="1E8E4B8F"/>
    <w:rsid w:val="1EAB6349"/>
    <w:rsid w:val="1EDB2A58"/>
    <w:rsid w:val="1EE61C9C"/>
    <w:rsid w:val="1F117D42"/>
    <w:rsid w:val="1F98202A"/>
    <w:rsid w:val="1FB16382"/>
    <w:rsid w:val="203C3C34"/>
    <w:rsid w:val="20607ACB"/>
    <w:rsid w:val="20F37D53"/>
    <w:rsid w:val="2122100D"/>
    <w:rsid w:val="21A9265D"/>
    <w:rsid w:val="21B743BB"/>
    <w:rsid w:val="21D62B77"/>
    <w:rsid w:val="221B672B"/>
    <w:rsid w:val="221E0CDF"/>
    <w:rsid w:val="22627470"/>
    <w:rsid w:val="227807F2"/>
    <w:rsid w:val="22833F1D"/>
    <w:rsid w:val="22F95FB5"/>
    <w:rsid w:val="23810484"/>
    <w:rsid w:val="2396322B"/>
    <w:rsid w:val="2412683E"/>
    <w:rsid w:val="24534F23"/>
    <w:rsid w:val="247C1043"/>
    <w:rsid w:val="24A815C3"/>
    <w:rsid w:val="24B43C40"/>
    <w:rsid w:val="24C3687B"/>
    <w:rsid w:val="24E87667"/>
    <w:rsid w:val="255A6356"/>
    <w:rsid w:val="25752D52"/>
    <w:rsid w:val="25864EE9"/>
    <w:rsid w:val="25AF6B8E"/>
    <w:rsid w:val="25F0783F"/>
    <w:rsid w:val="26970E33"/>
    <w:rsid w:val="26B93E34"/>
    <w:rsid w:val="26EB6AFA"/>
    <w:rsid w:val="2741567D"/>
    <w:rsid w:val="2757497F"/>
    <w:rsid w:val="275F0904"/>
    <w:rsid w:val="27DA6DD5"/>
    <w:rsid w:val="28600F08"/>
    <w:rsid w:val="286F60B7"/>
    <w:rsid w:val="2961657C"/>
    <w:rsid w:val="29F27DC2"/>
    <w:rsid w:val="2A7C0666"/>
    <w:rsid w:val="2A7D76FB"/>
    <w:rsid w:val="2ABB68F4"/>
    <w:rsid w:val="2AD7D0D8"/>
    <w:rsid w:val="2AE337D3"/>
    <w:rsid w:val="2AEA5FBF"/>
    <w:rsid w:val="2BB474F7"/>
    <w:rsid w:val="2C203CAD"/>
    <w:rsid w:val="2C42277B"/>
    <w:rsid w:val="2C6F0FD9"/>
    <w:rsid w:val="2CD258AD"/>
    <w:rsid w:val="2CE86D96"/>
    <w:rsid w:val="2CF70233"/>
    <w:rsid w:val="2CFB4F2A"/>
    <w:rsid w:val="2D4804FC"/>
    <w:rsid w:val="2DC81ADF"/>
    <w:rsid w:val="2DC83D38"/>
    <w:rsid w:val="2DCA30B7"/>
    <w:rsid w:val="2DD35D80"/>
    <w:rsid w:val="2DE241E2"/>
    <w:rsid w:val="2E50523A"/>
    <w:rsid w:val="2E734E6D"/>
    <w:rsid w:val="2E877ED0"/>
    <w:rsid w:val="2EAE0685"/>
    <w:rsid w:val="2EEF62C6"/>
    <w:rsid w:val="2F1B7F28"/>
    <w:rsid w:val="2F4735AB"/>
    <w:rsid w:val="307F7AFA"/>
    <w:rsid w:val="318E6BE2"/>
    <w:rsid w:val="31C06758"/>
    <w:rsid w:val="31C11182"/>
    <w:rsid w:val="31C97A9A"/>
    <w:rsid w:val="31D4640C"/>
    <w:rsid w:val="32354DA9"/>
    <w:rsid w:val="336F4EAA"/>
    <w:rsid w:val="33DB773D"/>
    <w:rsid w:val="33EB0FE6"/>
    <w:rsid w:val="33F97BC3"/>
    <w:rsid w:val="34B34216"/>
    <w:rsid w:val="34CF4D59"/>
    <w:rsid w:val="350A6847"/>
    <w:rsid w:val="35464C8F"/>
    <w:rsid w:val="355E17C4"/>
    <w:rsid w:val="35836550"/>
    <w:rsid w:val="35C8414E"/>
    <w:rsid w:val="35CF001C"/>
    <w:rsid w:val="365E0D08"/>
    <w:rsid w:val="36CA4526"/>
    <w:rsid w:val="36D6081C"/>
    <w:rsid w:val="37757EA8"/>
    <w:rsid w:val="378F1EB9"/>
    <w:rsid w:val="37C42EB9"/>
    <w:rsid w:val="37F94DD0"/>
    <w:rsid w:val="3810781A"/>
    <w:rsid w:val="381E23B5"/>
    <w:rsid w:val="387046E4"/>
    <w:rsid w:val="38704E88"/>
    <w:rsid w:val="38AF4A96"/>
    <w:rsid w:val="38E06754"/>
    <w:rsid w:val="38E80C97"/>
    <w:rsid w:val="38FC1C5C"/>
    <w:rsid w:val="390E0642"/>
    <w:rsid w:val="399336F0"/>
    <w:rsid w:val="399723DC"/>
    <w:rsid w:val="39A42D7C"/>
    <w:rsid w:val="3A254922"/>
    <w:rsid w:val="3A2A1770"/>
    <w:rsid w:val="3A4F541D"/>
    <w:rsid w:val="3A6B10EF"/>
    <w:rsid w:val="3A6C113A"/>
    <w:rsid w:val="3AA3630D"/>
    <w:rsid w:val="3B171B1F"/>
    <w:rsid w:val="3B2C602B"/>
    <w:rsid w:val="3C127304"/>
    <w:rsid w:val="3C792E06"/>
    <w:rsid w:val="3D3B5E6C"/>
    <w:rsid w:val="3D6C4BAC"/>
    <w:rsid w:val="3DF70969"/>
    <w:rsid w:val="3E415DD6"/>
    <w:rsid w:val="3E962372"/>
    <w:rsid w:val="3ED74B60"/>
    <w:rsid w:val="3EE00D99"/>
    <w:rsid w:val="3F612331"/>
    <w:rsid w:val="3FEF631E"/>
    <w:rsid w:val="4019531A"/>
    <w:rsid w:val="402634B3"/>
    <w:rsid w:val="40374DC6"/>
    <w:rsid w:val="4039734F"/>
    <w:rsid w:val="4069624E"/>
    <w:rsid w:val="409749EB"/>
    <w:rsid w:val="41055DF9"/>
    <w:rsid w:val="41665C32"/>
    <w:rsid w:val="41E63304"/>
    <w:rsid w:val="42233CCE"/>
    <w:rsid w:val="42550CA6"/>
    <w:rsid w:val="42F157D4"/>
    <w:rsid w:val="42FE4F4C"/>
    <w:rsid w:val="430925B1"/>
    <w:rsid w:val="43201CFE"/>
    <w:rsid w:val="4356703A"/>
    <w:rsid w:val="436F3A42"/>
    <w:rsid w:val="4370648D"/>
    <w:rsid w:val="438A3091"/>
    <w:rsid w:val="43EF506E"/>
    <w:rsid w:val="440C5CCB"/>
    <w:rsid w:val="44401F36"/>
    <w:rsid w:val="44E977E0"/>
    <w:rsid w:val="45754201"/>
    <w:rsid w:val="45A040BA"/>
    <w:rsid w:val="45B3046D"/>
    <w:rsid w:val="45C7130C"/>
    <w:rsid w:val="45D33B0C"/>
    <w:rsid w:val="45DB0244"/>
    <w:rsid w:val="45DB40BE"/>
    <w:rsid w:val="46222D8A"/>
    <w:rsid w:val="46C56D2F"/>
    <w:rsid w:val="46EE7767"/>
    <w:rsid w:val="46EF55C0"/>
    <w:rsid w:val="473378E7"/>
    <w:rsid w:val="473939FB"/>
    <w:rsid w:val="475C75A4"/>
    <w:rsid w:val="47A24F1B"/>
    <w:rsid w:val="47B93189"/>
    <w:rsid w:val="483428A6"/>
    <w:rsid w:val="48553D7A"/>
    <w:rsid w:val="48754A40"/>
    <w:rsid w:val="487F263E"/>
    <w:rsid w:val="488319CD"/>
    <w:rsid w:val="488A1692"/>
    <w:rsid w:val="488C19A5"/>
    <w:rsid w:val="49374F7A"/>
    <w:rsid w:val="494B3F16"/>
    <w:rsid w:val="494E45D1"/>
    <w:rsid w:val="496F29A9"/>
    <w:rsid w:val="498F5DF0"/>
    <w:rsid w:val="49957537"/>
    <w:rsid w:val="49C2512D"/>
    <w:rsid w:val="4A7B2E14"/>
    <w:rsid w:val="4ACA54CE"/>
    <w:rsid w:val="4B107B65"/>
    <w:rsid w:val="4B4E4A85"/>
    <w:rsid w:val="4BA44460"/>
    <w:rsid w:val="4C066EC9"/>
    <w:rsid w:val="4C186987"/>
    <w:rsid w:val="4C5A1A0D"/>
    <w:rsid w:val="4C8D1140"/>
    <w:rsid w:val="4D986775"/>
    <w:rsid w:val="4DA454C3"/>
    <w:rsid w:val="4DB40D59"/>
    <w:rsid w:val="4DD1680B"/>
    <w:rsid w:val="4DDC71AC"/>
    <w:rsid w:val="4EA70D1D"/>
    <w:rsid w:val="4EC74E7C"/>
    <w:rsid w:val="4EEC6EB1"/>
    <w:rsid w:val="4EF92D15"/>
    <w:rsid w:val="4F0072C7"/>
    <w:rsid w:val="4F5B67A5"/>
    <w:rsid w:val="4FE40E04"/>
    <w:rsid w:val="4FEB05F9"/>
    <w:rsid w:val="500246AF"/>
    <w:rsid w:val="50685F8D"/>
    <w:rsid w:val="50A81DF5"/>
    <w:rsid w:val="5108658C"/>
    <w:rsid w:val="516139B9"/>
    <w:rsid w:val="51E147FF"/>
    <w:rsid w:val="51F81C52"/>
    <w:rsid w:val="52685BFF"/>
    <w:rsid w:val="52C735C9"/>
    <w:rsid w:val="52DF2675"/>
    <w:rsid w:val="5319685C"/>
    <w:rsid w:val="534B79D7"/>
    <w:rsid w:val="534D6F3A"/>
    <w:rsid w:val="5429409D"/>
    <w:rsid w:val="54524841"/>
    <w:rsid w:val="54586224"/>
    <w:rsid w:val="545D3551"/>
    <w:rsid w:val="549813C6"/>
    <w:rsid w:val="54A95AAD"/>
    <w:rsid w:val="54D30566"/>
    <w:rsid w:val="55022203"/>
    <w:rsid w:val="550724FF"/>
    <w:rsid w:val="5548347C"/>
    <w:rsid w:val="554944E3"/>
    <w:rsid w:val="555715A1"/>
    <w:rsid w:val="5589040A"/>
    <w:rsid w:val="55985036"/>
    <w:rsid w:val="561C526B"/>
    <w:rsid w:val="56274336"/>
    <w:rsid w:val="56420595"/>
    <w:rsid w:val="572E6470"/>
    <w:rsid w:val="57831BE0"/>
    <w:rsid w:val="579730CB"/>
    <w:rsid w:val="57B53D05"/>
    <w:rsid w:val="57F03798"/>
    <w:rsid w:val="57FB6FA7"/>
    <w:rsid w:val="581A1183"/>
    <w:rsid w:val="582043C8"/>
    <w:rsid w:val="587E08A4"/>
    <w:rsid w:val="58BD7043"/>
    <w:rsid w:val="58DA433D"/>
    <w:rsid w:val="58E41E97"/>
    <w:rsid w:val="58E431DE"/>
    <w:rsid w:val="59444857"/>
    <w:rsid w:val="59A7315D"/>
    <w:rsid w:val="59B750D3"/>
    <w:rsid w:val="59E37812"/>
    <w:rsid w:val="5AFA409D"/>
    <w:rsid w:val="5B494593"/>
    <w:rsid w:val="5C515ABE"/>
    <w:rsid w:val="5C6A2A6A"/>
    <w:rsid w:val="5C6E4D42"/>
    <w:rsid w:val="5C8872E6"/>
    <w:rsid w:val="5CBE02FB"/>
    <w:rsid w:val="5CE906B8"/>
    <w:rsid w:val="5D0E5E2D"/>
    <w:rsid w:val="5D881A87"/>
    <w:rsid w:val="5DC536C0"/>
    <w:rsid w:val="5E0C4813"/>
    <w:rsid w:val="5E745F14"/>
    <w:rsid w:val="5E9251CC"/>
    <w:rsid w:val="5EC358BB"/>
    <w:rsid w:val="5ED864A3"/>
    <w:rsid w:val="5F9345E5"/>
    <w:rsid w:val="5FBF3EF9"/>
    <w:rsid w:val="5FF0177B"/>
    <w:rsid w:val="60144A26"/>
    <w:rsid w:val="605D36BD"/>
    <w:rsid w:val="606C30ED"/>
    <w:rsid w:val="60B4525C"/>
    <w:rsid w:val="60F91812"/>
    <w:rsid w:val="610726FE"/>
    <w:rsid w:val="612B3FBC"/>
    <w:rsid w:val="614B2254"/>
    <w:rsid w:val="61526762"/>
    <w:rsid w:val="61916A9D"/>
    <w:rsid w:val="61EB473F"/>
    <w:rsid w:val="61FC05F9"/>
    <w:rsid w:val="622A7C5A"/>
    <w:rsid w:val="623141BC"/>
    <w:rsid w:val="629C433B"/>
    <w:rsid w:val="63B10F8E"/>
    <w:rsid w:val="63BE252B"/>
    <w:rsid w:val="64057C11"/>
    <w:rsid w:val="641343AF"/>
    <w:rsid w:val="652341F0"/>
    <w:rsid w:val="653C56F2"/>
    <w:rsid w:val="65900447"/>
    <w:rsid w:val="664B508F"/>
    <w:rsid w:val="66903B07"/>
    <w:rsid w:val="66BC4698"/>
    <w:rsid w:val="67351BD0"/>
    <w:rsid w:val="6761019E"/>
    <w:rsid w:val="678014D7"/>
    <w:rsid w:val="67B21E75"/>
    <w:rsid w:val="67C4070B"/>
    <w:rsid w:val="685B3E4C"/>
    <w:rsid w:val="690B2B63"/>
    <w:rsid w:val="69531548"/>
    <w:rsid w:val="69AA183C"/>
    <w:rsid w:val="69DD7DAF"/>
    <w:rsid w:val="69EA5697"/>
    <w:rsid w:val="6A0C7949"/>
    <w:rsid w:val="6A0E3F9D"/>
    <w:rsid w:val="6AD02D5F"/>
    <w:rsid w:val="6AF3277A"/>
    <w:rsid w:val="6B1F5212"/>
    <w:rsid w:val="6B6415A6"/>
    <w:rsid w:val="6B6E37FE"/>
    <w:rsid w:val="6BA65A0D"/>
    <w:rsid w:val="6BBA3B00"/>
    <w:rsid w:val="6BFB03A0"/>
    <w:rsid w:val="6C195B91"/>
    <w:rsid w:val="6D7D5A3F"/>
    <w:rsid w:val="6D8654FF"/>
    <w:rsid w:val="6D931837"/>
    <w:rsid w:val="6DA10BA2"/>
    <w:rsid w:val="6E3409A6"/>
    <w:rsid w:val="6E8D2754"/>
    <w:rsid w:val="6EBD38D4"/>
    <w:rsid w:val="6EE3165D"/>
    <w:rsid w:val="6F8EA957"/>
    <w:rsid w:val="6FB2109D"/>
    <w:rsid w:val="70070011"/>
    <w:rsid w:val="70DF72B6"/>
    <w:rsid w:val="711337CF"/>
    <w:rsid w:val="71D53044"/>
    <w:rsid w:val="730A62E3"/>
    <w:rsid w:val="730A6625"/>
    <w:rsid w:val="737B70AE"/>
    <w:rsid w:val="73D561DB"/>
    <w:rsid w:val="744233FF"/>
    <w:rsid w:val="74741B80"/>
    <w:rsid w:val="747E4CD7"/>
    <w:rsid w:val="749318D0"/>
    <w:rsid w:val="74A67693"/>
    <w:rsid w:val="74B31662"/>
    <w:rsid w:val="74FA71E2"/>
    <w:rsid w:val="74FC6F38"/>
    <w:rsid w:val="75186268"/>
    <w:rsid w:val="75534144"/>
    <w:rsid w:val="756B435B"/>
    <w:rsid w:val="762067B4"/>
    <w:rsid w:val="763A0126"/>
    <w:rsid w:val="768B50C1"/>
    <w:rsid w:val="774032E5"/>
    <w:rsid w:val="77690619"/>
    <w:rsid w:val="77745376"/>
    <w:rsid w:val="77926222"/>
    <w:rsid w:val="78022C45"/>
    <w:rsid w:val="783E00F7"/>
    <w:rsid w:val="78800341"/>
    <w:rsid w:val="789E6F19"/>
    <w:rsid w:val="78AF0D10"/>
    <w:rsid w:val="78F92CAF"/>
    <w:rsid w:val="790B2F7B"/>
    <w:rsid w:val="79382A2A"/>
    <w:rsid w:val="79D52956"/>
    <w:rsid w:val="79FF6408"/>
    <w:rsid w:val="7A3E01F1"/>
    <w:rsid w:val="7A8F4528"/>
    <w:rsid w:val="7B102F1F"/>
    <w:rsid w:val="7B2819A1"/>
    <w:rsid w:val="7BA56699"/>
    <w:rsid w:val="7BA8552F"/>
    <w:rsid w:val="7BA9056E"/>
    <w:rsid w:val="7C267966"/>
    <w:rsid w:val="7C2E468E"/>
    <w:rsid w:val="7C864AD1"/>
    <w:rsid w:val="7CBB67ED"/>
    <w:rsid w:val="7CE04990"/>
    <w:rsid w:val="7D536A50"/>
    <w:rsid w:val="7D6441D8"/>
    <w:rsid w:val="7D6B1DE0"/>
    <w:rsid w:val="7D7854F4"/>
    <w:rsid w:val="7D807FDA"/>
    <w:rsid w:val="7D8E7103"/>
    <w:rsid w:val="7D9A6628"/>
    <w:rsid w:val="7DC10D75"/>
    <w:rsid w:val="7DEA4B23"/>
    <w:rsid w:val="7EDA7B13"/>
    <w:rsid w:val="7EDC1F2C"/>
    <w:rsid w:val="7EFB3638"/>
    <w:rsid w:val="7F5B4861"/>
    <w:rsid w:val="7F5FC497"/>
    <w:rsid w:val="7F676689"/>
    <w:rsid w:val="7F71645B"/>
    <w:rsid w:val="7F7C406C"/>
    <w:rsid w:val="7FAB531A"/>
    <w:rsid w:val="FF2FC5C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7"/>
    <w:qFormat/>
    <w:uiPriority w:val="0"/>
    <w:pPr>
      <w:autoSpaceDE w:val="0"/>
      <w:autoSpaceDN w:val="0"/>
      <w:adjustRightInd w:val="0"/>
      <w:snapToGrid w:val="0"/>
      <w:spacing w:line="360" w:lineRule="auto"/>
      <w:ind w:left="3945" w:hanging="1320"/>
      <w:jc w:val="center"/>
      <w:outlineLvl w:val="0"/>
    </w:pPr>
    <w:rPr>
      <w:rFonts w:eastAsia="黑体"/>
      <w:sz w:val="44"/>
    </w:rPr>
  </w:style>
  <w:style w:type="paragraph" w:styleId="4">
    <w:name w:val="heading 2"/>
    <w:basedOn w:val="1"/>
    <w:next w:val="1"/>
    <w:link w:val="58"/>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2">
    <w:name w:val="heading 3"/>
    <w:basedOn w:val="1"/>
    <w:next w:val="1"/>
    <w:link w:val="59"/>
    <w:qFormat/>
    <w:uiPriority w:val="0"/>
    <w:pPr>
      <w:autoSpaceDE w:val="0"/>
      <w:autoSpaceDN w:val="0"/>
      <w:adjustRightInd w:val="0"/>
      <w:spacing w:before="16"/>
      <w:jc w:val="left"/>
      <w:outlineLvl w:val="2"/>
    </w:pPr>
    <w:rPr>
      <w:rFonts w:ascii="仿宋_GB2312" w:eastAsia="仿宋_GB2312"/>
      <w:b/>
      <w:kern w:val="0"/>
      <w:sz w:val="24"/>
    </w:rPr>
  </w:style>
  <w:style w:type="paragraph" w:styleId="5">
    <w:name w:val="heading 4"/>
    <w:basedOn w:val="1"/>
    <w:next w:val="1"/>
    <w:link w:val="60"/>
    <w:qFormat/>
    <w:uiPriority w:val="0"/>
    <w:pPr>
      <w:jc w:val="center"/>
      <w:outlineLvl w:val="3"/>
    </w:pPr>
  </w:style>
  <w:style w:type="paragraph" w:styleId="6">
    <w:name w:val="heading 5"/>
    <w:basedOn w:val="1"/>
    <w:next w:val="1"/>
    <w:link w:val="61"/>
    <w:qFormat/>
    <w:uiPriority w:val="0"/>
    <w:pPr>
      <w:keepNext/>
      <w:keepLines/>
      <w:spacing w:before="280" w:after="290" w:line="374" w:lineRule="auto"/>
      <w:outlineLvl w:val="4"/>
    </w:pPr>
    <w:rPr>
      <w:b/>
      <w:sz w:val="28"/>
    </w:rPr>
  </w:style>
  <w:style w:type="paragraph" w:styleId="7">
    <w:name w:val="heading 6"/>
    <w:basedOn w:val="1"/>
    <w:next w:val="1"/>
    <w:link w:val="62"/>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link w:val="63"/>
    <w:qFormat/>
    <w:uiPriority w:val="0"/>
    <w:pPr>
      <w:keepNext/>
      <w:keepLines/>
      <w:spacing w:before="240" w:after="64" w:line="319" w:lineRule="auto"/>
      <w:outlineLvl w:val="6"/>
    </w:pPr>
    <w:rPr>
      <w:b/>
      <w:sz w:val="24"/>
    </w:rPr>
  </w:style>
  <w:style w:type="paragraph" w:styleId="9">
    <w:name w:val="heading 8"/>
    <w:basedOn w:val="1"/>
    <w:next w:val="1"/>
    <w:link w:val="64"/>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link w:val="65"/>
    <w:qFormat/>
    <w:uiPriority w:val="0"/>
    <w:pPr>
      <w:keepNext/>
      <w:keepLines/>
      <w:spacing w:before="240" w:after="64" w:line="319"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2">
    <w:name w:val="caption"/>
    <w:basedOn w:val="1"/>
    <w:next w:val="1"/>
    <w:qFormat/>
    <w:uiPriority w:val="0"/>
    <w:rPr>
      <w:rFonts w:ascii="Cambria" w:hAnsi="Cambria" w:eastAsia="黑体"/>
      <w:sz w:val="20"/>
    </w:rPr>
  </w:style>
  <w:style w:type="paragraph" w:styleId="13">
    <w:name w:val="Document Map"/>
    <w:basedOn w:val="1"/>
    <w:link w:val="67"/>
    <w:qFormat/>
    <w:uiPriority w:val="0"/>
    <w:pPr>
      <w:shd w:val="clear" w:color="auto" w:fill="000080"/>
    </w:pPr>
  </w:style>
  <w:style w:type="paragraph" w:styleId="14">
    <w:name w:val="annotation text"/>
    <w:basedOn w:val="1"/>
    <w:link w:val="68"/>
    <w:qFormat/>
    <w:uiPriority w:val="99"/>
    <w:pPr>
      <w:adjustRightInd w:val="0"/>
      <w:spacing w:line="360" w:lineRule="atLeast"/>
      <w:jc w:val="left"/>
      <w:textAlignment w:val="baseline"/>
    </w:pPr>
    <w:rPr>
      <w:kern w:val="0"/>
      <w:sz w:val="24"/>
    </w:rPr>
  </w:style>
  <w:style w:type="paragraph" w:styleId="15">
    <w:name w:val="Body Text 3"/>
    <w:basedOn w:val="1"/>
    <w:link w:val="69"/>
    <w:qFormat/>
    <w:uiPriority w:val="0"/>
    <w:pPr>
      <w:spacing w:after="120"/>
    </w:pPr>
    <w:rPr>
      <w:sz w:val="16"/>
    </w:rPr>
  </w:style>
  <w:style w:type="paragraph" w:styleId="16">
    <w:name w:val="Body Text"/>
    <w:basedOn w:val="1"/>
    <w:next w:val="1"/>
    <w:link w:val="56"/>
    <w:qFormat/>
    <w:uiPriority w:val="0"/>
    <w:rPr>
      <w:sz w:val="26"/>
    </w:rPr>
  </w:style>
  <w:style w:type="paragraph" w:styleId="17">
    <w:name w:val="Body Text Indent"/>
    <w:basedOn w:val="1"/>
    <w:link w:val="70"/>
    <w:qFormat/>
    <w:uiPriority w:val="0"/>
    <w:pPr>
      <w:spacing w:line="360" w:lineRule="auto"/>
      <w:ind w:firstLine="560" w:firstLineChars="200"/>
    </w:pPr>
    <w:rPr>
      <w:rFonts w:ascii="黑体" w:hAnsi="宋体" w:eastAsia="黑体"/>
      <w:color w:val="000000"/>
      <w:sz w:val="28"/>
    </w:rPr>
  </w:style>
  <w:style w:type="paragraph" w:styleId="18">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9">
    <w:name w:val="index 4"/>
    <w:basedOn w:val="1"/>
    <w:next w:val="1"/>
    <w:qFormat/>
    <w:uiPriority w:val="0"/>
    <w:pPr>
      <w:ind w:left="600" w:leftChars="600"/>
    </w:pPr>
    <w:rPr>
      <w:szCs w:val="24"/>
    </w:rPr>
  </w:style>
  <w:style w:type="paragraph" w:styleId="20">
    <w:name w:val="toc 5"/>
    <w:basedOn w:val="1"/>
    <w:next w:val="1"/>
    <w:qFormat/>
    <w:uiPriority w:val="0"/>
    <w:pPr>
      <w:tabs>
        <w:tab w:val="right" w:leader="dot" w:pos="8296"/>
      </w:tabs>
      <w:ind w:left="1050" w:leftChars="500"/>
    </w:pPr>
  </w:style>
  <w:style w:type="paragraph" w:styleId="21">
    <w:name w:val="toc 3"/>
    <w:basedOn w:val="1"/>
    <w:next w:val="1"/>
    <w:unhideWhenUsed/>
    <w:qFormat/>
    <w:uiPriority w:val="39"/>
    <w:pPr>
      <w:ind w:left="840" w:leftChars="400"/>
    </w:pPr>
  </w:style>
  <w:style w:type="paragraph" w:styleId="22">
    <w:name w:val="Plain Text"/>
    <w:basedOn w:val="1"/>
    <w:next w:val="23"/>
    <w:link w:val="73"/>
    <w:qFormat/>
    <w:uiPriority w:val="0"/>
    <w:rPr>
      <w:rFonts w:ascii="宋体" w:hAnsi="Courier New"/>
      <w:sz w:val="28"/>
    </w:rPr>
  </w:style>
  <w:style w:type="paragraph" w:styleId="23">
    <w:name w:val="Body Text Indent 2"/>
    <w:basedOn w:val="1"/>
    <w:next w:val="24"/>
    <w:link w:val="76"/>
    <w:qFormat/>
    <w:uiPriority w:val="0"/>
    <w:pPr>
      <w:ind w:left="1005" w:hanging="1005"/>
    </w:pPr>
    <w:rPr>
      <w:rFonts w:eastAsia="仿宋_GB2312"/>
      <w:sz w:val="32"/>
    </w:rPr>
  </w:style>
  <w:style w:type="paragraph" w:customStyle="1" w:styleId="24">
    <w:name w:val="z正文"/>
    <w:basedOn w:val="22"/>
    <w:qFormat/>
    <w:uiPriority w:val="0"/>
    <w:pPr>
      <w:tabs>
        <w:tab w:val="left" w:pos="525"/>
      </w:tabs>
      <w:snapToGrid w:val="0"/>
      <w:spacing w:line="360" w:lineRule="auto"/>
    </w:pPr>
    <w:rPr>
      <w:rFonts w:ascii="Times New Roman" w:hAnsi="宋体"/>
      <w:sz w:val="24"/>
      <w:szCs w:val="24"/>
    </w:rPr>
  </w:style>
  <w:style w:type="paragraph" w:styleId="25">
    <w:name w:val="Date"/>
    <w:basedOn w:val="1"/>
    <w:next w:val="1"/>
    <w:link w:val="75"/>
    <w:qFormat/>
    <w:uiPriority w:val="0"/>
    <w:pPr>
      <w:ind w:left="100" w:leftChars="2500"/>
    </w:pPr>
  </w:style>
  <w:style w:type="paragraph" w:styleId="26">
    <w:name w:val="endnote text"/>
    <w:basedOn w:val="1"/>
    <w:link w:val="77"/>
    <w:qFormat/>
    <w:uiPriority w:val="0"/>
    <w:pPr>
      <w:widowControl/>
      <w:snapToGrid w:val="0"/>
      <w:jc w:val="left"/>
    </w:pPr>
    <w:rPr>
      <w:rFonts w:ascii="Arial" w:hAnsi="Arial"/>
      <w:kern w:val="0"/>
      <w:sz w:val="20"/>
      <w:szCs w:val="24"/>
      <w:lang w:eastAsia="en-US"/>
    </w:rPr>
  </w:style>
  <w:style w:type="paragraph" w:styleId="27">
    <w:name w:val="Balloon Text"/>
    <w:basedOn w:val="1"/>
    <w:link w:val="78"/>
    <w:qFormat/>
    <w:uiPriority w:val="0"/>
    <w:rPr>
      <w:sz w:val="18"/>
    </w:rPr>
  </w:style>
  <w:style w:type="paragraph" w:styleId="28">
    <w:name w:val="footer"/>
    <w:basedOn w:val="1"/>
    <w:next w:val="1"/>
    <w:link w:val="79"/>
    <w:qFormat/>
    <w:uiPriority w:val="0"/>
    <w:pPr>
      <w:tabs>
        <w:tab w:val="center" w:pos="4153"/>
        <w:tab w:val="right" w:pos="8306"/>
      </w:tabs>
      <w:snapToGrid w:val="0"/>
      <w:jc w:val="left"/>
    </w:pPr>
    <w:rPr>
      <w:sz w:val="18"/>
    </w:rPr>
  </w:style>
  <w:style w:type="paragraph" w:styleId="29">
    <w:name w:val="header"/>
    <w:basedOn w:val="1"/>
    <w:link w:val="80"/>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style>
  <w:style w:type="paragraph" w:styleId="31">
    <w:name w:val="toc 4"/>
    <w:basedOn w:val="1"/>
    <w:next w:val="1"/>
    <w:qFormat/>
    <w:uiPriority w:val="0"/>
    <w:pPr>
      <w:tabs>
        <w:tab w:val="left" w:pos="1890"/>
        <w:tab w:val="right" w:leader="dot" w:pos="8296"/>
      </w:tabs>
      <w:ind w:left="630" w:leftChars="300"/>
    </w:pPr>
  </w:style>
  <w:style w:type="paragraph" w:styleId="32">
    <w:name w:val="Subtitle"/>
    <w:basedOn w:val="1"/>
    <w:link w:val="83"/>
    <w:qFormat/>
    <w:uiPriority w:val="0"/>
    <w:pPr>
      <w:widowControl/>
      <w:jc w:val="center"/>
    </w:pPr>
    <w:rPr>
      <w:sz w:val="24"/>
      <w:u w:val="single"/>
      <w:lang w:eastAsia="en-US"/>
    </w:rPr>
  </w:style>
  <w:style w:type="paragraph" w:styleId="33">
    <w:name w:val="footnote text"/>
    <w:basedOn w:val="1"/>
    <w:link w:val="84"/>
    <w:qFormat/>
    <w:uiPriority w:val="0"/>
    <w:pPr>
      <w:snapToGrid w:val="0"/>
      <w:jc w:val="left"/>
    </w:pPr>
    <w:rPr>
      <w:sz w:val="18"/>
    </w:rPr>
  </w:style>
  <w:style w:type="paragraph" w:styleId="34">
    <w:name w:val="Body Text Indent 3"/>
    <w:basedOn w:val="1"/>
    <w:link w:val="86"/>
    <w:qFormat/>
    <w:uiPriority w:val="0"/>
    <w:pPr>
      <w:spacing w:after="120"/>
      <w:ind w:left="420" w:leftChars="200"/>
    </w:pPr>
    <w:rPr>
      <w:sz w:val="16"/>
    </w:rPr>
  </w:style>
  <w:style w:type="paragraph" w:styleId="35">
    <w:name w:val="toc 2"/>
    <w:basedOn w:val="1"/>
    <w:next w:val="1"/>
    <w:unhideWhenUsed/>
    <w:qFormat/>
    <w:uiPriority w:val="39"/>
    <w:pPr>
      <w:ind w:left="420" w:leftChars="200"/>
    </w:pPr>
  </w:style>
  <w:style w:type="paragraph" w:styleId="36">
    <w:name w:val="Body Text 2"/>
    <w:basedOn w:val="1"/>
    <w:link w:val="89"/>
    <w:qFormat/>
    <w:uiPriority w:val="0"/>
    <w:rPr>
      <w:i/>
      <w:sz w:val="26"/>
    </w:rPr>
  </w:style>
  <w:style w:type="paragraph" w:styleId="37">
    <w:name w:val="HTML Preformatted"/>
    <w:basedOn w:val="1"/>
    <w:link w:val="9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38">
    <w:name w:val="Normal (Web)"/>
    <w:basedOn w:val="1"/>
    <w:qFormat/>
    <w:uiPriority w:val="0"/>
    <w:pPr>
      <w:widowControl/>
      <w:spacing w:before="100" w:beforeAutospacing="1" w:after="100" w:afterAutospacing="1"/>
      <w:jc w:val="left"/>
    </w:pPr>
    <w:rPr>
      <w:kern w:val="0"/>
      <w:sz w:val="24"/>
    </w:rPr>
  </w:style>
  <w:style w:type="paragraph" w:styleId="39">
    <w:name w:val="index 1"/>
    <w:basedOn w:val="1"/>
    <w:next w:val="1"/>
    <w:qFormat/>
    <w:uiPriority w:val="0"/>
  </w:style>
  <w:style w:type="paragraph" w:styleId="40">
    <w:name w:val="Title"/>
    <w:basedOn w:val="1"/>
    <w:next w:val="1"/>
    <w:link w:val="91"/>
    <w:qFormat/>
    <w:uiPriority w:val="0"/>
    <w:pPr>
      <w:widowControl/>
      <w:jc w:val="center"/>
    </w:pPr>
    <w:rPr>
      <w:kern w:val="0"/>
      <w:sz w:val="20"/>
      <w:szCs w:val="24"/>
      <w:u w:val="single"/>
      <w:lang w:eastAsia="en-US"/>
    </w:rPr>
  </w:style>
  <w:style w:type="paragraph" w:styleId="41">
    <w:name w:val="annotation subject"/>
    <w:basedOn w:val="14"/>
    <w:next w:val="14"/>
    <w:link w:val="92"/>
    <w:qFormat/>
    <w:uiPriority w:val="0"/>
    <w:pPr>
      <w:adjustRightInd/>
      <w:spacing w:line="240" w:lineRule="auto"/>
      <w:textAlignment w:val="auto"/>
    </w:pPr>
  </w:style>
  <w:style w:type="paragraph" w:styleId="42">
    <w:name w:val="Body Text First Indent"/>
    <w:basedOn w:val="16"/>
    <w:next w:val="23"/>
    <w:qFormat/>
    <w:uiPriority w:val="0"/>
    <w:pPr>
      <w:spacing w:line="360" w:lineRule="auto"/>
      <w:ind w:firstLine="420"/>
    </w:pPr>
    <w:rPr>
      <w:rFonts w:ascii="宋体" w:hAnsi="宋体"/>
      <w:sz w:val="24"/>
    </w:rPr>
  </w:style>
  <w:style w:type="table" w:styleId="44">
    <w:name w:val="Table Grid"/>
    <w:basedOn w:val="4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b/>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Emphasis"/>
    <w:qFormat/>
    <w:uiPriority w:val="0"/>
    <w:rPr>
      <w:i/>
      <w:iCs/>
    </w:rPr>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footnote reference"/>
    <w:qFormat/>
    <w:uiPriority w:val="0"/>
    <w:rPr>
      <w:vertAlign w:val="superscript"/>
    </w:rPr>
  </w:style>
  <w:style w:type="character" w:customStyle="1" w:styleId="53">
    <w:name w:val="标题 1 Char"/>
    <w:qFormat/>
    <w:uiPriority w:val="0"/>
    <w:rPr>
      <w:rFonts w:ascii="Times New Roman" w:hAnsi="Times New Roman" w:eastAsia="宋体" w:cs="Times New Roman"/>
      <w:b/>
      <w:bCs/>
      <w:kern w:val="44"/>
      <w:sz w:val="44"/>
      <w:szCs w:val="44"/>
    </w:rPr>
  </w:style>
  <w:style w:type="paragraph" w:customStyle="1" w:styleId="5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5">
    <w:name w:val="无间隔2"/>
    <w:basedOn w:val="1"/>
    <w:qFormat/>
    <w:uiPriority w:val="0"/>
    <w:pPr>
      <w:spacing w:line="400" w:lineRule="exact"/>
    </w:pPr>
    <w:rPr>
      <w:sz w:val="24"/>
    </w:rPr>
  </w:style>
  <w:style w:type="character" w:customStyle="1" w:styleId="56">
    <w:name w:val="正文文本 字符"/>
    <w:link w:val="16"/>
    <w:qFormat/>
    <w:uiPriority w:val="0"/>
    <w:rPr>
      <w:kern w:val="2"/>
      <w:sz w:val="26"/>
    </w:rPr>
  </w:style>
  <w:style w:type="character" w:customStyle="1" w:styleId="57">
    <w:name w:val="标题 1 字符"/>
    <w:link w:val="3"/>
    <w:qFormat/>
    <w:uiPriority w:val="0"/>
    <w:rPr>
      <w:rFonts w:eastAsia="黑体"/>
      <w:kern w:val="2"/>
      <w:sz w:val="44"/>
    </w:rPr>
  </w:style>
  <w:style w:type="character" w:customStyle="1" w:styleId="58">
    <w:name w:val="标题 2 字符"/>
    <w:link w:val="4"/>
    <w:qFormat/>
    <w:uiPriority w:val="0"/>
    <w:rPr>
      <w:rFonts w:ascii="仿宋_GB2312" w:eastAsia="仿宋_GB2312"/>
      <w:b/>
      <w:spacing w:val="1"/>
      <w:w w:val="99"/>
      <w:sz w:val="28"/>
    </w:rPr>
  </w:style>
  <w:style w:type="character" w:customStyle="1" w:styleId="59">
    <w:name w:val="标题 3 字符"/>
    <w:link w:val="2"/>
    <w:qFormat/>
    <w:uiPriority w:val="0"/>
    <w:rPr>
      <w:rFonts w:ascii="仿宋_GB2312" w:eastAsia="仿宋_GB2312"/>
      <w:b/>
      <w:sz w:val="24"/>
    </w:rPr>
  </w:style>
  <w:style w:type="character" w:customStyle="1" w:styleId="60">
    <w:name w:val="标题 4 字符"/>
    <w:link w:val="5"/>
    <w:qFormat/>
    <w:uiPriority w:val="0"/>
    <w:rPr>
      <w:rFonts w:ascii="仿宋_GB2312" w:eastAsia="仿宋_GB2312"/>
      <w:b/>
      <w:sz w:val="24"/>
    </w:rPr>
  </w:style>
  <w:style w:type="character" w:customStyle="1" w:styleId="61">
    <w:name w:val="标题 5 字符"/>
    <w:link w:val="6"/>
    <w:qFormat/>
    <w:uiPriority w:val="0"/>
    <w:rPr>
      <w:b/>
      <w:kern w:val="2"/>
      <w:sz w:val="28"/>
    </w:rPr>
  </w:style>
  <w:style w:type="character" w:customStyle="1" w:styleId="62">
    <w:name w:val="标题 6 字符"/>
    <w:link w:val="7"/>
    <w:qFormat/>
    <w:uiPriority w:val="0"/>
    <w:rPr>
      <w:rFonts w:ascii="Arial" w:hAnsi="Arial" w:eastAsia="黑体"/>
      <w:b/>
      <w:kern w:val="2"/>
      <w:sz w:val="24"/>
    </w:rPr>
  </w:style>
  <w:style w:type="character" w:customStyle="1" w:styleId="63">
    <w:name w:val="标题 7 字符"/>
    <w:link w:val="8"/>
    <w:qFormat/>
    <w:uiPriority w:val="0"/>
    <w:rPr>
      <w:b/>
      <w:kern w:val="2"/>
      <w:sz w:val="24"/>
    </w:rPr>
  </w:style>
  <w:style w:type="character" w:customStyle="1" w:styleId="64">
    <w:name w:val="标题 8 字符"/>
    <w:link w:val="9"/>
    <w:qFormat/>
    <w:uiPriority w:val="0"/>
    <w:rPr>
      <w:rFonts w:ascii="Arial" w:hAnsi="Arial" w:eastAsia="黑体"/>
      <w:kern w:val="2"/>
      <w:sz w:val="24"/>
    </w:rPr>
  </w:style>
  <w:style w:type="character" w:customStyle="1" w:styleId="65">
    <w:name w:val="标题 9 字符"/>
    <w:link w:val="10"/>
    <w:qFormat/>
    <w:uiPriority w:val="0"/>
    <w:rPr>
      <w:rFonts w:ascii="Arial" w:hAnsi="Arial" w:eastAsia="黑体"/>
      <w:kern w:val="2"/>
      <w:sz w:val="21"/>
    </w:rPr>
  </w:style>
  <w:style w:type="paragraph" w:customStyle="1" w:styleId="66">
    <w:name w:val="TOC 71"/>
    <w:basedOn w:val="1"/>
    <w:next w:val="1"/>
    <w:qFormat/>
    <w:uiPriority w:val="39"/>
    <w:pPr>
      <w:ind w:left="1260"/>
      <w:jc w:val="left"/>
    </w:pPr>
    <w:rPr>
      <w:rFonts w:ascii="Calibri" w:hAnsi="Calibri"/>
      <w:sz w:val="18"/>
    </w:rPr>
  </w:style>
  <w:style w:type="character" w:customStyle="1" w:styleId="67">
    <w:name w:val="文档结构图 字符"/>
    <w:link w:val="13"/>
    <w:qFormat/>
    <w:uiPriority w:val="0"/>
    <w:rPr>
      <w:kern w:val="2"/>
      <w:sz w:val="21"/>
      <w:shd w:val="clear" w:color="auto" w:fill="000080"/>
    </w:rPr>
  </w:style>
  <w:style w:type="character" w:customStyle="1" w:styleId="68">
    <w:name w:val="批注文字 字符"/>
    <w:link w:val="14"/>
    <w:qFormat/>
    <w:uiPriority w:val="99"/>
    <w:rPr>
      <w:sz w:val="24"/>
    </w:rPr>
  </w:style>
  <w:style w:type="character" w:customStyle="1" w:styleId="69">
    <w:name w:val="正文文本 3 字符"/>
    <w:link w:val="15"/>
    <w:qFormat/>
    <w:uiPriority w:val="0"/>
    <w:rPr>
      <w:kern w:val="2"/>
      <w:sz w:val="16"/>
    </w:rPr>
  </w:style>
  <w:style w:type="character" w:customStyle="1" w:styleId="70">
    <w:name w:val="正文文本缩进 字符"/>
    <w:link w:val="17"/>
    <w:qFormat/>
    <w:uiPriority w:val="0"/>
    <w:rPr>
      <w:rFonts w:ascii="黑体" w:hAnsi="宋体" w:eastAsia="黑体"/>
      <w:color w:val="000000"/>
      <w:kern w:val="2"/>
      <w:sz w:val="28"/>
    </w:rPr>
  </w:style>
  <w:style w:type="paragraph" w:customStyle="1" w:styleId="71">
    <w:name w:val="TOC 51"/>
    <w:basedOn w:val="1"/>
    <w:next w:val="1"/>
    <w:qFormat/>
    <w:uiPriority w:val="39"/>
    <w:pPr>
      <w:ind w:left="840"/>
      <w:jc w:val="left"/>
    </w:pPr>
    <w:rPr>
      <w:rFonts w:ascii="Calibri" w:hAnsi="Calibri"/>
      <w:sz w:val="18"/>
    </w:rPr>
  </w:style>
  <w:style w:type="paragraph" w:customStyle="1" w:styleId="72">
    <w:name w:val="TOC 31"/>
    <w:basedOn w:val="1"/>
    <w:next w:val="1"/>
    <w:qFormat/>
    <w:uiPriority w:val="39"/>
    <w:pPr>
      <w:ind w:left="420"/>
      <w:jc w:val="left"/>
    </w:pPr>
    <w:rPr>
      <w:rFonts w:ascii="Calibri" w:hAnsi="Calibri"/>
    </w:rPr>
  </w:style>
  <w:style w:type="character" w:customStyle="1" w:styleId="73">
    <w:name w:val="纯文本 字符"/>
    <w:link w:val="22"/>
    <w:qFormat/>
    <w:uiPriority w:val="0"/>
    <w:rPr>
      <w:rFonts w:ascii="宋体" w:hAnsi="Courier New"/>
      <w:kern w:val="2"/>
      <w:sz w:val="28"/>
    </w:rPr>
  </w:style>
  <w:style w:type="paragraph" w:customStyle="1" w:styleId="74">
    <w:name w:val="TOC 81"/>
    <w:basedOn w:val="1"/>
    <w:next w:val="1"/>
    <w:qFormat/>
    <w:uiPriority w:val="39"/>
    <w:pPr>
      <w:ind w:left="1470"/>
      <w:jc w:val="left"/>
    </w:pPr>
    <w:rPr>
      <w:rFonts w:ascii="Calibri" w:hAnsi="Calibri"/>
      <w:sz w:val="18"/>
    </w:rPr>
  </w:style>
  <w:style w:type="character" w:customStyle="1" w:styleId="75">
    <w:name w:val="日期 字符"/>
    <w:link w:val="25"/>
    <w:qFormat/>
    <w:uiPriority w:val="0"/>
    <w:rPr>
      <w:kern w:val="2"/>
      <w:sz w:val="21"/>
    </w:rPr>
  </w:style>
  <w:style w:type="character" w:customStyle="1" w:styleId="76">
    <w:name w:val="正文文本缩进 2 字符"/>
    <w:link w:val="23"/>
    <w:qFormat/>
    <w:uiPriority w:val="0"/>
    <w:rPr>
      <w:rFonts w:eastAsia="仿宋_GB2312"/>
      <w:kern w:val="2"/>
      <w:sz w:val="32"/>
      <w:lang w:val="en-US" w:eastAsia="zh-CN" w:bidi="ar-SA"/>
    </w:rPr>
  </w:style>
  <w:style w:type="character" w:customStyle="1" w:styleId="77">
    <w:name w:val="尾注文本 字符"/>
    <w:link w:val="26"/>
    <w:qFormat/>
    <w:uiPriority w:val="0"/>
    <w:rPr>
      <w:rFonts w:ascii="Arial" w:hAnsi="Arial" w:cs="Arial"/>
      <w:szCs w:val="24"/>
      <w:lang w:eastAsia="en-US"/>
    </w:rPr>
  </w:style>
  <w:style w:type="character" w:customStyle="1" w:styleId="78">
    <w:name w:val="批注框文本 字符"/>
    <w:link w:val="27"/>
    <w:qFormat/>
    <w:uiPriority w:val="0"/>
    <w:rPr>
      <w:kern w:val="2"/>
      <w:sz w:val="18"/>
    </w:rPr>
  </w:style>
  <w:style w:type="character" w:customStyle="1" w:styleId="79">
    <w:name w:val="页脚 字符"/>
    <w:link w:val="28"/>
    <w:qFormat/>
    <w:uiPriority w:val="0"/>
    <w:rPr>
      <w:kern w:val="2"/>
      <w:sz w:val="18"/>
    </w:rPr>
  </w:style>
  <w:style w:type="character" w:customStyle="1" w:styleId="80">
    <w:name w:val="页眉 字符"/>
    <w:link w:val="29"/>
    <w:qFormat/>
    <w:uiPriority w:val="0"/>
    <w:rPr>
      <w:kern w:val="2"/>
      <w:sz w:val="18"/>
    </w:rPr>
  </w:style>
  <w:style w:type="paragraph" w:customStyle="1" w:styleId="81">
    <w:name w:val="TOC 11"/>
    <w:basedOn w:val="1"/>
    <w:next w:val="1"/>
    <w:qFormat/>
    <w:uiPriority w:val="39"/>
    <w:pPr>
      <w:tabs>
        <w:tab w:val="left" w:pos="1260"/>
        <w:tab w:val="right" w:leader="dot" w:pos="8637"/>
      </w:tabs>
      <w:spacing w:before="120" w:after="120"/>
      <w:ind w:firstLine="588" w:firstLineChars="245"/>
      <w:jc w:val="left"/>
    </w:pPr>
    <w:rPr>
      <w:rFonts w:ascii="宋体" w:hAnsi="宋体"/>
      <w:caps/>
      <w:snapToGrid w:val="0"/>
      <w:kern w:val="0"/>
      <w:sz w:val="24"/>
    </w:rPr>
  </w:style>
  <w:style w:type="paragraph" w:customStyle="1" w:styleId="82">
    <w:name w:val="TOC 41"/>
    <w:basedOn w:val="1"/>
    <w:next w:val="1"/>
    <w:qFormat/>
    <w:uiPriority w:val="39"/>
    <w:pPr>
      <w:ind w:left="630"/>
      <w:jc w:val="left"/>
    </w:pPr>
    <w:rPr>
      <w:rFonts w:ascii="Calibri" w:hAnsi="Calibri"/>
      <w:sz w:val="18"/>
    </w:rPr>
  </w:style>
  <w:style w:type="character" w:customStyle="1" w:styleId="83">
    <w:name w:val="副标题 字符"/>
    <w:link w:val="32"/>
    <w:qFormat/>
    <w:locked/>
    <w:uiPriority w:val="0"/>
    <w:rPr>
      <w:kern w:val="2"/>
      <w:sz w:val="24"/>
      <w:u w:val="single"/>
      <w:lang w:eastAsia="en-US"/>
    </w:rPr>
  </w:style>
  <w:style w:type="character" w:customStyle="1" w:styleId="84">
    <w:name w:val="脚注文本 字符"/>
    <w:link w:val="33"/>
    <w:qFormat/>
    <w:uiPriority w:val="0"/>
    <w:rPr>
      <w:kern w:val="2"/>
      <w:sz w:val="18"/>
    </w:rPr>
  </w:style>
  <w:style w:type="paragraph" w:customStyle="1" w:styleId="85">
    <w:name w:val="TOC 61"/>
    <w:basedOn w:val="1"/>
    <w:next w:val="1"/>
    <w:qFormat/>
    <w:uiPriority w:val="39"/>
    <w:pPr>
      <w:ind w:left="1050"/>
      <w:jc w:val="left"/>
    </w:pPr>
    <w:rPr>
      <w:rFonts w:ascii="Calibri" w:hAnsi="Calibri"/>
      <w:sz w:val="18"/>
    </w:rPr>
  </w:style>
  <w:style w:type="character" w:customStyle="1" w:styleId="86">
    <w:name w:val="正文文本缩进 3 字符"/>
    <w:link w:val="34"/>
    <w:qFormat/>
    <w:uiPriority w:val="0"/>
    <w:rPr>
      <w:kern w:val="2"/>
      <w:sz w:val="16"/>
    </w:rPr>
  </w:style>
  <w:style w:type="paragraph" w:customStyle="1" w:styleId="87">
    <w:name w:val="TOC 21"/>
    <w:basedOn w:val="1"/>
    <w:next w:val="1"/>
    <w:qFormat/>
    <w:uiPriority w:val="39"/>
    <w:pPr>
      <w:tabs>
        <w:tab w:val="right" w:leader="dot" w:pos="8609"/>
      </w:tabs>
      <w:ind w:left="210"/>
      <w:jc w:val="distribute"/>
    </w:pPr>
    <w:rPr>
      <w:rFonts w:ascii="Calibri" w:hAnsi="Calibri"/>
      <w:smallCaps/>
    </w:rPr>
  </w:style>
  <w:style w:type="paragraph" w:customStyle="1" w:styleId="88">
    <w:name w:val="TOC 91"/>
    <w:basedOn w:val="1"/>
    <w:next w:val="1"/>
    <w:qFormat/>
    <w:uiPriority w:val="39"/>
    <w:pPr>
      <w:ind w:left="1680"/>
      <w:jc w:val="left"/>
    </w:pPr>
    <w:rPr>
      <w:rFonts w:ascii="Calibri" w:hAnsi="Calibri"/>
      <w:sz w:val="18"/>
    </w:rPr>
  </w:style>
  <w:style w:type="character" w:customStyle="1" w:styleId="89">
    <w:name w:val="正文文本 2 字符"/>
    <w:link w:val="36"/>
    <w:qFormat/>
    <w:uiPriority w:val="0"/>
    <w:rPr>
      <w:i/>
      <w:kern w:val="2"/>
      <w:sz w:val="26"/>
    </w:rPr>
  </w:style>
  <w:style w:type="character" w:customStyle="1" w:styleId="90">
    <w:name w:val="HTML 预设格式 字符"/>
    <w:link w:val="37"/>
    <w:qFormat/>
    <w:uiPriority w:val="0"/>
    <w:rPr>
      <w:rFonts w:ascii="宋体" w:hAnsi="宋体" w:cs="宋体"/>
      <w:color w:val="000000"/>
      <w:sz w:val="24"/>
      <w:szCs w:val="24"/>
    </w:rPr>
  </w:style>
  <w:style w:type="character" w:customStyle="1" w:styleId="91">
    <w:name w:val="标题 字符"/>
    <w:link w:val="40"/>
    <w:qFormat/>
    <w:uiPriority w:val="0"/>
    <w:rPr>
      <w:szCs w:val="24"/>
      <w:u w:val="single"/>
      <w:lang w:eastAsia="en-US"/>
    </w:rPr>
  </w:style>
  <w:style w:type="character" w:customStyle="1" w:styleId="92">
    <w:name w:val="批注主题 字符"/>
    <w:link w:val="41"/>
    <w:qFormat/>
    <w:uiPriority w:val="0"/>
  </w:style>
  <w:style w:type="paragraph" w:customStyle="1" w:styleId="93">
    <w:name w:val="正文文本首行缩进 21"/>
    <w:basedOn w:val="17"/>
    <w:qFormat/>
    <w:uiPriority w:val="0"/>
    <w:pPr>
      <w:spacing w:after="120" w:line="240" w:lineRule="auto"/>
      <w:ind w:left="420" w:leftChars="200" w:firstLine="420"/>
    </w:pPr>
    <w:rPr>
      <w:rFonts w:ascii="Times New Roman" w:hAnsi="Times New Roman" w:eastAsia="宋体"/>
      <w:color w:val="auto"/>
      <w:sz w:val="21"/>
    </w:rPr>
  </w:style>
  <w:style w:type="character" w:customStyle="1" w:styleId="94">
    <w:name w:val="访问过的超链接1"/>
    <w:qFormat/>
    <w:uiPriority w:val="0"/>
    <w:rPr>
      <w:color w:val="800080"/>
      <w:u w:val="single"/>
    </w:rPr>
  </w:style>
  <w:style w:type="character" w:customStyle="1" w:styleId="95">
    <w:name w:val="Char Char6"/>
    <w:qFormat/>
    <w:uiPriority w:val="0"/>
    <w:rPr>
      <w:sz w:val="24"/>
    </w:rPr>
  </w:style>
  <w:style w:type="character" w:customStyle="1" w:styleId="96">
    <w:name w:val="Char Char7"/>
    <w:qFormat/>
    <w:uiPriority w:val="0"/>
    <w:rPr>
      <w:kern w:val="2"/>
      <w:sz w:val="18"/>
    </w:rPr>
  </w:style>
  <w:style w:type="character" w:customStyle="1" w:styleId="97">
    <w:name w:val="Char Char8"/>
    <w:qFormat/>
    <w:uiPriority w:val="0"/>
    <w:rPr>
      <w:rFonts w:ascii="仿宋_GB2312" w:eastAsia="仿宋_GB2312"/>
      <w:b/>
      <w:sz w:val="24"/>
    </w:rPr>
  </w:style>
  <w:style w:type="character" w:customStyle="1" w:styleId="98">
    <w:name w:val="标题 9 Char1"/>
    <w:qFormat/>
    <w:uiPriority w:val="0"/>
    <w:rPr>
      <w:rFonts w:ascii="Times New Roman" w:hAnsi="Times New Roman" w:eastAsia="仿宋_GB2312" w:cs="Times New Roman"/>
      <w:sz w:val="30"/>
      <w:szCs w:val="20"/>
    </w:rPr>
  </w:style>
  <w:style w:type="character" w:customStyle="1" w:styleId="99">
    <w:name w:val="尾注文本 Char2"/>
    <w:semiHidden/>
    <w:qFormat/>
    <w:uiPriority w:val="99"/>
    <w:rPr>
      <w:rFonts w:ascii="Calibri" w:hAnsi="Calibri" w:eastAsia="宋体" w:cs="Times New Roman"/>
      <w:szCs w:val="24"/>
    </w:rPr>
  </w:style>
  <w:style w:type="character" w:customStyle="1" w:styleId="100">
    <w:name w:val="脚注文本 Char2"/>
    <w:semiHidden/>
    <w:qFormat/>
    <w:uiPriority w:val="99"/>
    <w:rPr>
      <w:rFonts w:ascii="Calibri" w:hAnsi="Calibri" w:eastAsia="宋体" w:cs="Times New Roman"/>
      <w:sz w:val="18"/>
      <w:szCs w:val="18"/>
    </w:rPr>
  </w:style>
  <w:style w:type="character" w:customStyle="1" w:styleId="101">
    <w:name w:val="批注文字 Char"/>
    <w:qFormat/>
    <w:uiPriority w:val="0"/>
    <w:rPr>
      <w:rFonts w:ascii="Times New Roman" w:hAnsi="Times New Roman" w:eastAsia="宋体" w:cs="Times New Roman"/>
      <w:kern w:val="2"/>
      <w:sz w:val="21"/>
      <w:szCs w:val="24"/>
    </w:rPr>
  </w:style>
  <w:style w:type="character" w:customStyle="1" w:styleId="102">
    <w:name w:val="明显引用 Char"/>
    <w:qFormat/>
    <w:uiPriority w:val="0"/>
    <w:rPr>
      <w:rFonts w:ascii="Times New Roman" w:hAnsi="Times New Roman" w:eastAsia="宋体" w:cs="Times New Roman"/>
      <w:b/>
      <w:bCs/>
      <w:i/>
      <w:iCs/>
      <w:color w:val="4F81BD"/>
      <w:kern w:val="2"/>
      <w:sz w:val="21"/>
      <w:szCs w:val="24"/>
    </w:rPr>
  </w:style>
  <w:style w:type="character" w:customStyle="1" w:styleId="103">
    <w:name w:val="不明显参考1"/>
    <w:qFormat/>
    <w:uiPriority w:val="0"/>
    <w:rPr>
      <w:smallCaps/>
      <w:color w:val="C0504D"/>
      <w:u w:val="single"/>
    </w:rPr>
  </w:style>
  <w:style w:type="character" w:customStyle="1" w:styleId="104">
    <w:name w:val="5号正文 Char"/>
    <w:link w:val="105"/>
    <w:qFormat/>
    <w:uiPriority w:val="0"/>
    <w:rPr>
      <w:rFonts w:ascii="宋体" w:hAnsi="宋体" w:eastAsia="Times New Roman"/>
      <w:snapToGrid w:val="0"/>
      <w:sz w:val="21"/>
      <w:szCs w:val="21"/>
      <w:lang w:val="en-US" w:eastAsia="zh-CN" w:bidi="ar-SA"/>
    </w:rPr>
  </w:style>
  <w:style w:type="paragraph" w:customStyle="1" w:styleId="105">
    <w:name w:val="5号正文"/>
    <w:link w:val="104"/>
    <w:qFormat/>
    <w:uiPriority w:val="0"/>
    <w:pPr>
      <w:widowControl w:val="0"/>
      <w:spacing w:line="360" w:lineRule="exact"/>
      <w:ind w:firstLine="420" w:firstLineChars="200"/>
      <w:jc w:val="both"/>
    </w:pPr>
    <w:rPr>
      <w:rFonts w:ascii="宋体" w:hAnsi="宋体" w:eastAsia="Times New Roman" w:cs="Times New Roman"/>
      <w:snapToGrid w:val="0"/>
      <w:sz w:val="21"/>
      <w:szCs w:val="21"/>
      <w:lang w:val="en-US" w:eastAsia="zh-CN" w:bidi="ar-SA"/>
    </w:rPr>
  </w:style>
  <w:style w:type="character" w:customStyle="1" w:styleId="106">
    <w:name w:val="明显引用 Char5"/>
    <w:qFormat/>
    <w:uiPriority w:val="30"/>
    <w:rPr>
      <w:b/>
      <w:bCs/>
      <w:i/>
      <w:iCs/>
      <w:color w:val="4F81BD"/>
      <w:kern w:val="2"/>
      <w:sz w:val="21"/>
    </w:rPr>
  </w:style>
  <w:style w:type="character" w:customStyle="1" w:styleId="107">
    <w:name w:val="ITTHEADER2 Char"/>
    <w:qFormat/>
    <w:uiPriority w:val="0"/>
    <w:rPr>
      <w:rFonts w:ascii="仿宋_GB2312" w:eastAsia="仿宋_GB2312" w:cs="MingLiU"/>
      <w:b/>
      <w:spacing w:val="1"/>
      <w:w w:val="99"/>
      <w:sz w:val="28"/>
      <w:szCs w:val="32"/>
      <w:lang w:val="en-US" w:eastAsia="zh-CN" w:bidi="ar-SA"/>
    </w:rPr>
  </w:style>
  <w:style w:type="character" w:customStyle="1" w:styleId="108">
    <w:name w:val="Char Char23"/>
    <w:qFormat/>
    <w:uiPriority w:val="0"/>
    <w:rPr>
      <w:rFonts w:ascii="Cambria" w:hAnsi="Cambria" w:eastAsia="宋体" w:cs="Times New Roman"/>
      <w:b/>
      <w:bCs/>
      <w:kern w:val="2"/>
      <w:sz w:val="32"/>
      <w:szCs w:val="32"/>
    </w:rPr>
  </w:style>
  <w:style w:type="character" w:customStyle="1" w:styleId="109">
    <w:name w:val="引用 Char"/>
    <w:link w:val="110"/>
    <w:qFormat/>
    <w:uiPriority w:val="0"/>
    <w:rPr>
      <w:i/>
      <w:iCs/>
      <w:color w:val="000000"/>
      <w:kern w:val="2"/>
      <w:sz w:val="21"/>
      <w:szCs w:val="24"/>
    </w:rPr>
  </w:style>
  <w:style w:type="paragraph" w:customStyle="1" w:styleId="110">
    <w:name w:val="引用2"/>
    <w:basedOn w:val="1"/>
    <w:next w:val="1"/>
    <w:link w:val="109"/>
    <w:qFormat/>
    <w:uiPriority w:val="0"/>
    <w:rPr>
      <w:i/>
      <w:iCs/>
      <w:color w:val="000000"/>
      <w:szCs w:val="24"/>
    </w:rPr>
  </w:style>
  <w:style w:type="character" w:customStyle="1" w:styleId="111">
    <w:name w:val="Char Char35"/>
    <w:qFormat/>
    <w:uiPriority w:val="0"/>
    <w:rPr>
      <w:rFonts w:ascii="仿宋_GB2312" w:eastAsia="仿宋_GB2312" w:cs="MingLiU"/>
      <w:b/>
      <w:sz w:val="24"/>
      <w:szCs w:val="28"/>
    </w:rPr>
  </w:style>
  <w:style w:type="character" w:customStyle="1" w:styleId="112">
    <w:name w:val="招标正文 Char"/>
    <w:link w:val="113"/>
    <w:qFormat/>
    <w:uiPriority w:val="0"/>
    <w:rPr>
      <w:rFonts w:eastAsia="宋体"/>
      <w:kern w:val="2"/>
      <w:sz w:val="21"/>
      <w:szCs w:val="18"/>
      <w:lang w:val="en-US" w:eastAsia="zh-CN" w:bidi="ar-SA"/>
    </w:rPr>
  </w:style>
  <w:style w:type="paragraph" w:customStyle="1" w:styleId="113">
    <w:name w:val="招标正文"/>
    <w:basedOn w:val="1"/>
    <w:link w:val="112"/>
    <w:qFormat/>
    <w:uiPriority w:val="0"/>
    <w:pPr>
      <w:spacing w:line="300" w:lineRule="auto"/>
      <w:ind w:firstLine="420" w:firstLineChars="200"/>
    </w:pPr>
    <w:rPr>
      <w:szCs w:val="18"/>
    </w:rPr>
  </w:style>
  <w:style w:type="character" w:customStyle="1" w:styleId="114">
    <w:name w:val="引用 Char5"/>
    <w:qFormat/>
    <w:uiPriority w:val="29"/>
    <w:rPr>
      <w:i/>
      <w:iCs/>
      <w:color w:val="000000"/>
      <w:kern w:val="2"/>
      <w:sz w:val="21"/>
    </w:rPr>
  </w:style>
  <w:style w:type="character" w:customStyle="1" w:styleId="115">
    <w:name w:val="引用 字符"/>
    <w:link w:val="116"/>
    <w:qFormat/>
    <w:uiPriority w:val="0"/>
    <w:rPr>
      <w:i/>
      <w:iCs/>
      <w:color w:val="000000"/>
      <w:kern w:val="2"/>
      <w:sz w:val="21"/>
      <w:szCs w:val="22"/>
    </w:rPr>
  </w:style>
  <w:style w:type="paragraph" w:styleId="116">
    <w:name w:val="Quote"/>
    <w:basedOn w:val="1"/>
    <w:next w:val="1"/>
    <w:link w:val="115"/>
    <w:qFormat/>
    <w:uiPriority w:val="0"/>
    <w:rPr>
      <w:i/>
      <w:iCs/>
      <w:color w:val="000000"/>
      <w:szCs w:val="22"/>
    </w:rPr>
  </w:style>
  <w:style w:type="character" w:customStyle="1" w:styleId="117">
    <w:name w:val="Char Char2"/>
    <w:qFormat/>
    <w:uiPriority w:val="0"/>
    <w:rPr>
      <w:kern w:val="2"/>
      <w:sz w:val="26"/>
    </w:rPr>
  </w:style>
  <w:style w:type="character" w:customStyle="1" w:styleId="118">
    <w:name w:val="副标题 Char3"/>
    <w:qFormat/>
    <w:uiPriority w:val="0"/>
    <w:rPr>
      <w:rFonts w:eastAsia="宋体"/>
      <w:szCs w:val="24"/>
      <w:u w:val="single"/>
      <w:lang w:val="en-US" w:eastAsia="en-US" w:bidi="ar-SA"/>
    </w:rPr>
  </w:style>
  <w:style w:type="character" w:customStyle="1" w:styleId="119">
    <w:name w:val="style31"/>
    <w:qFormat/>
    <w:uiPriority w:val="0"/>
    <w:rPr>
      <w:sz w:val="10"/>
      <w:szCs w:val="10"/>
    </w:rPr>
  </w:style>
  <w:style w:type="character" w:customStyle="1" w:styleId="120">
    <w:name w:val="尾注文本 Char1"/>
    <w:qFormat/>
    <w:uiPriority w:val="0"/>
    <w:rPr>
      <w:rFonts w:ascii="Arial" w:hAnsi="Arial" w:cs="Arial"/>
      <w:szCs w:val="24"/>
      <w:lang w:eastAsia="en-US"/>
    </w:rPr>
  </w:style>
  <w:style w:type="character" w:customStyle="1" w:styleId="121">
    <w:name w:val="HTML 预设格式 Char4"/>
    <w:qFormat/>
    <w:uiPriority w:val="0"/>
    <w:rPr>
      <w:rFonts w:ascii="Courier New" w:hAnsi="Courier New" w:cs="Courier New"/>
      <w:kern w:val="2"/>
    </w:rPr>
  </w:style>
  <w:style w:type="character" w:customStyle="1" w:styleId="122">
    <w:name w:val="标题 3 Char1"/>
    <w:qFormat/>
    <w:uiPriority w:val="0"/>
    <w:rPr>
      <w:rFonts w:ascii="Times New Roman" w:hAnsi="Times New Roman" w:eastAsia="宋体" w:cs="Times New Roman"/>
      <w:b/>
      <w:bCs/>
      <w:kern w:val="2"/>
      <w:sz w:val="32"/>
      <w:szCs w:val="32"/>
    </w:rPr>
  </w:style>
  <w:style w:type="character" w:customStyle="1" w:styleId="123">
    <w:name w:val="标题 6 Char"/>
    <w:qFormat/>
    <w:uiPriority w:val="0"/>
    <w:rPr>
      <w:rFonts w:ascii="Arial" w:hAnsi="Arial" w:eastAsia="黑体" w:cs="Times New Roman"/>
      <w:b/>
      <w:bCs/>
      <w:sz w:val="24"/>
      <w:szCs w:val="24"/>
    </w:rPr>
  </w:style>
  <w:style w:type="character" w:customStyle="1" w:styleId="124">
    <w:name w:val="正文文本缩进 Char"/>
    <w:qFormat/>
    <w:uiPriority w:val="0"/>
    <w:rPr>
      <w:rFonts w:ascii="黑体" w:hAnsi="宋体" w:eastAsia="黑体"/>
      <w:color w:val="000000"/>
      <w:sz w:val="28"/>
      <w:szCs w:val="32"/>
    </w:rPr>
  </w:style>
  <w:style w:type="character" w:customStyle="1" w:styleId="125">
    <w:name w:val="日期 Char3"/>
    <w:semiHidden/>
    <w:qFormat/>
    <w:uiPriority w:val="99"/>
    <w:rPr>
      <w:rFonts w:ascii="Calibri" w:hAnsi="Calibri" w:eastAsia="宋体" w:cs="Times New Roman"/>
      <w:szCs w:val="24"/>
    </w:rPr>
  </w:style>
  <w:style w:type="character" w:customStyle="1" w:styleId="126">
    <w:name w:val="Char Char21"/>
    <w:qFormat/>
    <w:uiPriority w:val="0"/>
    <w:rPr>
      <w:rFonts w:ascii="宋体" w:hAnsi="宋体" w:cs="宋体"/>
      <w:b/>
      <w:bCs/>
      <w:sz w:val="24"/>
      <w:szCs w:val="24"/>
    </w:rPr>
  </w:style>
  <w:style w:type="character" w:customStyle="1" w:styleId="127">
    <w:name w:val="尾注文本 Char4"/>
    <w:qFormat/>
    <w:uiPriority w:val="0"/>
    <w:rPr>
      <w:kern w:val="2"/>
      <w:sz w:val="21"/>
    </w:rPr>
  </w:style>
  <w:style w:type="character" w:customStyle="1" w:styleId="128">
    <w:name w:val="正文文本 3 Char2"/>
    <w:semiHidden/>
    <w:qFormat/>
    <w:uiPriority w:val="99"/>
    <w:rPr>
      <w:rFonts w:ascii="Calibri" w:hAnsi="Calibri" w:eastAsia="宋体" w:cs="Times New Roman"/>
      <w:sz w:val="16"/>
      <w:szCs w:val="16"/>
    </w:rPr>
  </w:style>
  <w:style w:type="character" w:customStyle="1" w:styleId="129">
    <w:name w:val="批注文字 Char2"/>
    <w:qFormat/>
    <w:uiPriority w:val="0"/>
    <w:rPr>
      <w:rFonts w:ascii="Calibri" w:hAnsi="Calibri" w:eastAsia="宋体" w:cs="Times New Roman"/>
      <w:szCs w:val="24"/>
    </w:rPr>
  </w:style>
  <w:style w:type="character" w:customStyle="1" w:styleId="130">
    <w:name w:val="style121"/>
    <w:qFormat/>
    <w:uiPriority w:val="0"/>
    <w:rPr>
      <w:rFonts w:hint="eastAsia" w:ascii="宋体" w:hAnsi="宋体" w:eastAsia="宋体"/>
      <w:sz w:val="18"/>
      <w:szCs w:val="18"/>
    </w:rPr>
  </w:style>
  <w:style w:type="character" w:customStyle="1" w:styleId="131">
    <w:name w:val="！正文 Alt+0 Char"/>
    <w:link w:val="132"/>
    <w:qFormat/>
    <w:uiPriority w:val="0"/>
    <w:rPr>
      <w:rFonts w:eastAsia="仿宋"/>
      <w:sz w:val="28"/>
      <w:szCs w:val="28"/>
    </w:rPr>
  </w:style>
  <w:style w:type="paragraph" w:customStyle="1" w:styleId="132">
    <w:name w:val="！正文 Alt+0"/>
    <w:basedOn w:val="1"/>
    <w:link w:val="131"/>
    <w:qFormat/>
    <w:uiPriority w:val="0"/>
    <w:pPr>
      <w:spacing w:line="360" w:lineRule="auto"/>
      <w:ind w:firstLine="560" w:firstLineChars="200"/>
    </w:pPr>
    <w:rPr>
      <w:rFonts w:eastAsia="仿宋"/>
      <w:kern w:val="0"/>
      <w:sz w:val="28"/>
      <w:szCs w:val="28"/>
    </w:rPr>
  </w:style>
  <w:style w:type="character" w:customStyle="1" w:styleId="133">
    <w:name w:val="页眉 Char"/>
    <w:qFormat/>
    <w:uiPriority w:val="0"/>
    <w:rPr>
      <w:sz w:val="18"/>
      <w:szCs w:val="18"/>
    </w:rPr>
  </w:style>
  <w:style w:type="character" w:customStyle="1" w:styleId="134">
    <w:name w:val="标题 Char"/>
    <w:qFormat/>
    <w:uiPriority w:val="0"/>
    <w:rPr>
      <w:rFonts w:ascii="Cambria" w:hAnsi="Cambria" w:eastAsia="宋体" w:cs="Times New Roman"/>
      <w:b/>
      <w:bCs/>
      <w:kern w:val="2"/>
      <w:sz w:val="32"/>
      <w:szCs w:val="32"/>
    </w:rPr>
  </w:style>
  <w:style w:type="character" w:customStyle="1" w:styleId="135">
    <w:name w:val="批注框文本 Char"/>
    <w:qFormat/>
    <w:uiPriority w:val="0"/>
    <w:rPr>
      <w:sz w:val="18"/>
      <w:szCs w:val="18"/>
    </w:rPr>
  </w:style>
  <w:style w:type="character" w:customStyle="1" w:styleId="136">
    <w:name w:val="批注主题 Char4"/>
    <w:qFormat/>
    <w:uiPriority w:val="0"/>
    <w:rPr>
      <w:rFonts w:eastAsia="宋体"/>
      <w:b/>
      <w:bCs/>
      <w:kern w:val="2"/>
      <w:sz w:val="21"/>
      <w:szCs w:val="24"/>
      <w:lang w:val="en-US" w:eastAsia="zh-CN" w:bidi="ar-SA"/>
    </w:rPr>
  </w:style>
  <w:style w:type="character" w:customStyle="1" w:styleId="137">
    <w:name w:val="明显参考1"/>
    <w:qFormat/>
    <w:uiPriority w:val="0"/>
    <w:rPr>
      <w:b/>
      <w:bCs/>
      <w:smallCaps/>
      <w:color w:val="C0504D"/>
      <w:spacing w:val="5"/>
      <w:u w:val="single"/>
    </w:rPr>
  </w:style>
  <w:style w:type="character" w:customStyle="1" w:styleId="138">
    <w:name w:val="明显引用 Char1"/>
    <w:link w:val="139"/>
    <w:qFormat/>
    <w:uiPriority w:val="30"/>
    <w:rPr>
      <w:b/>
      <w:bCs/>
      <w:i/>
      <w:iCs/>
      <w:color w:val="4F81BD"/>
      <w:kern w:val="2"/>
      <w:sz w:val="21"/>
    </w:rPr>
  </w:style>
  <w:style w:type="paragraph" w:customStyle="1" w:styleId="139">
    <w:name w:val="明显引用1"/>
    <w:basedOn w:val="1"/>
    <w:next w:val="1"/>
    <w:link w:val="138"/>
    <w:qFormat/>
    <w:uiPriority w:val="30"/>
    <w:pPr>
      <w:pBdr>
        <w:bottom w:val="single" w:color="4F81BD" w:sz="4" w:space="4"/>
      </w:pBdr>
      <w:spacing w:before="200" w:after="280"/>
      <w:ind w:left="936" w:right="936"/>
    </w:pPr>
    <w:rPr>
      <w:b/>
      <w:bCs/>
      <w:i/>
      <w:iCs/>
      <w:color w:val="4F81BD"/>
    </w:rPr>
  </w:style>
  <w:style w:type="character" w:customStyle="1" w:styleId="140">
    <w:name w:val="Char Char12"/>
    <w:qFormat/>
    <w:uiPriority w:val="0"/>
    <w:rPr>
      <w:rFonts w:eastAsia="黑体"/>
      <w:kern w:val="2"/>
      <w:sz w:val="44"/>
      <w:szCs w:val="44"/>
      <w:lang w:val="en-US" w:eastAsia="zh-CN" w:bidi="ar-SA"/>
    </w:rPr>
  </w:style>
  <w:style w:type="character" w:customStyle="1" w:styleId="141">
    <w:name w:val="副标题 Char2"/>
    <w:qFormat/>
    <w:uiPriority w:val="11"/>
    <w:rPr>
      <w:rFonts w:ascii="Cambria" w:hAnsi="Cambria" w:eastAsia="宋体" w:cs="Times New Roman"/>
      <w:b/>
      <w:bCs/>
      <w:kern w:val="28"/>
      <w:sz w:val="32"/>
      <w:szCs w:val="32"/>
    </w:rPr>
  </w:style>
  <w:style w:type="character" w:customStyle="1" w:styleId="142">
    <w:name w:val="标题 5 Char"/>
    <w:qFormat/>
    <w:uiPriority w:val="0"/>
    <w:rPr>
      <w:rFonts w:ascii="Calibri" w:hAnsi="Calibri" w:eastAsia="宋体" w:cs="Times New Roman"/>
      <w:b/>
      <w:bCs/>
      <w:sz w:val="28"/>
      <w:szCs w:val="28"/>
    </w:rPr>
  </w:style>
  <w:style w:type="character" w:customStyle="1" w:styleId="143">
    <w:name w:val="批注文字 Char1"/>
    <w:qFormat/>
    <w:uiPriority w:val="99"/>
    <w:rPr>
      <w:rFonts w:ascii="Times New Roman" w:hAnsi="Times New Roman" w:eastAsia="宋体" w:cs="Times New Roman"/>
      <w:szCs w:val="24"/>
    </w:rPr>
  </w:style>
  <w:style w:type="character" w:customStyle="1" w:styleId="144">
    <w:name w:val="批注框文本 Char1"/>
    <w:qFormat/>
    <w:uiPriority w:val="0"/>
    <w:rPr>
      <w:kern w:val="2"/>
      <w:sz w:val="18"/>
      <w:szCs w:val="18"/>
    </w:rPr>
  </w:style>
  <w:style w:type="character" w:customStyle="1" w:styleId="145">
    <w:name w:val="l1"/>
    <w:qFormat/>
    <w:uiPriority w:val="0"/>
  </w:style>
  <w:style w:type="character" w:customStyle="1" w:styleId="146">
    <w:name w:val="招标节 Char"/>
    <w:link w:val="147"/>
    <w:qFormat/>
    <w:uiPriority w:val="0"/>
    <w:rPr>
      <w:rFonts w:eastAsia="黑体"/>
      <w:b/>
      <w:kern w:val="2"/>
      <w:sz w:val="21"/>
      <w:szCs w:val="18"/>
      <w:lang w:val="en-US" w:eastAsia="zh-CN" w:bidi="ar-SA"/>
    </w:rPr>
  </w:style>
  <w:style w:type="paragraph" w:customStyle="1" w:styleId="147">
    <w:name w:val="招标节"/>
    <w:basedOn w:val="1"/>
    <w:next w:val="148"/>
    <w:link w:val="146"/>
    <w:qFormat/>
    <w:uiPriority w:val="0"/>
    <w:pPr>
      <w:spacing w:beforeLines="50" w:afterLines="50"/>
      <w:outlineLvl w:val="1"/>
    </w:pPr>
    <w:rPr>
      <w:rFonts w:eastAsia="黑体"/>
      <w:b/>
      <w:szCs w:val="18"/>
    </w:rPr>
  </w:style>
  <w:style w:type="paragraph" w:customStyle="1" w:styleId="148">
    <w:name w:val="小标题"/>
    <w:basedOn w:val="113"/>
    <w:next w:val="113"/>
    <w:link w:val="149"/>
    <w:qFormat/>
    <w:uiPriority w:val="0"/>
    <w:pPr>
      <w:ind w:firstLine="0" w:firstLineChars="0"/>
      <w:outlineLvl w:val="2"/>
    </w:pPr>
    <w:rPr>
      <w:rFonts w:eastAsia="黑体"/>
    </w:rPr>
  </w:style>
  <w:style w:type="character" w:customStyle="1" w:styleId="149">
    <w:name w:val="小标题 Char"/>
    <w:link w:val="148"/>
    <w:qFormat/>
    <w:uiPriority w:val="0"/>
    <w:rPr>
      <w:rFonts w:eastAsia="黑体"/>
      <w:kern w:val="2"/>
      <w:sz w:val="21"/>
      <w:szCs w:val="18"/>
      <w:lang w:val="en-US" w:eastAsia="zh-CN" w:bidi="ar-SA"/>
    </w:rPr>
  </w:style>
  <w:style w:type="character" w:customStyle="1" w:styleId="150">
    <w:name w:val="引用 Char3"/>
    <w:qFormat/>
    <w:uiPriority w:val="29"/>
    <w:rPr>
      <w:rFonts w:ascii="Calibri" w:hAnsi="Calibri" w:eastAsia="宋体" w:cs="Times New Roman"/>
      <w:i/>
      <w:iCs/>
      <w:color w:val="000000"/>
      <w:szCs w:val="24"/>
    </w:rPr>
  </w:style>
  <w:style w:type="character" w:customStyle="1" w:styleId="151">
    <w:name w:val="文档结构图 Char1"/>
    <w:qFormat/>
    <w:uiPriority w:val="0"/>
    <w:rPr>
      <w:rFonts w:ascii="宋体"/>
      <w:kern w:val="2"/>
      <w:sz w:val="18"/>
      <w:szCs w:val="18"/>
    </w:rPr>
  </w:style>
  <w:style w:type="character" w:customStyle="1" w:styleId="152">
    <w:name w:val="标题 2 Char"/>
    <w:qFormat/>
    <w:uiPriority w:val="0"/>
    <w:rPr>
      <w:rFonts w:ascii="仿宋_GB2312" w:hAnsi="Calibri" w:eastAsia="仿宋_GB2312" w:cs="Times New Roman"/>
      <w:b/>
      <w:spacing w:val="1"/>
      <w:w w:val="99"/>
      <w:kern w:val="0"/>
      <w:sz w:val="28"/>
      <w:szCs w:val="32"/>
    </w:rPr>
  </w:style>
  <w:style w:type="character" w:customStyle="1" w:styleId="153">
    <w:name w:val="docpro"/>
    <w:qFormat/>
    <w:uiPriority w:val="0"/>
  </w:style>
  <w:style w:type="character" w:customStyle="1" w:styleId="154">
    <w:name w:val="明显参考2"/>
    <w:qFormat/>
    <w:uiPriority w:val="0"/>
    <w:rPr>
      <w:b/>
      <w:bCs/>
      <w:smallCaps/>
      <w:color w:val="C0504D"/>
      <w:spacing w:val="5"/>
      <w:u w:val="single"/>
    </w:rPr>
  </w:style>
  <w:style w:type="character" w:customStyle="1" w:styleId="155">
    <w:name w:val="normaltext1"/>
    <w:qFormat/>
    <w:uiPriority w:val="0"/>
    <w:rPr>
      <w:rFonts w:hint="default" w:ascii="ˎ̥" w:hAnsi="ˎ̥"/>
      <w:sz w:val="9"/>
      <w:szCs w:val="9"/>
    </w:rPr>
  </w:style>
  <w:style w:type="character" w:customStyle="1" w:styleId="156">
    <w:name w:val="页眉 Char1"/>
    <w:semiHidden/>
    <w:qFormat/>
    <w:uiPriority w:val="99"/>
    <w:rPr>
      <w:kern w:val="2"/>
      <w:sz w:val="18"/>
      <w:szCs w:val="18"/>
    </w:rPr>
  </w:style>
  <w:style w:type="character" w:customStyle="1" w:styleId="157">
    <w:name w:val="Char Char14"/>
    <w:qFormat/>
    <w:uiPriority w:val="0"/>
    <w:rPr>
      <w:kern w:val="2"/>
      <w:sz w:val="18"/>
      <w:szCs w:val="18"/>
    </w:rPr>
  </w:style>
  <w:style w:type="character" w:customStyle="1" w:styleId="158">
    <w:name w:val="ca-141"/>
    <w:qFormat/>
    <w:uiPriority w:val="0"/>
    <w:rPr>
      <w:rFonts w:hint="eastAsia" w:ascii="仿宋_GB2312" w:eastAsia="仿宋_GB2312"/>
      <w:sz w:val="21"/>
      <w:szCs w:val="21"/>
    </w:rPr>
  </w:style>
  <w:style w:type="character" w:customStyle="1" w:styleId="159">
    <w:name w:val="普通文字 Char Char2"/>
    <w:qFormat/>
    <w:uiPriority w:val="0"/>
    <w:rPr>
      <w:rFonts w:ascii="宋体" w:hAnsi="Courier New"/>
      <w:kern w:val="2"/>
      <w:sz w:val="28"/>
      <w:szCs w:val="28"/>
    </w:rPr>
  </w:style>
  <w:style w:type="character" w:customStyle="1" w:styleId="160">
    <w:name w:val="引用 Char2"/>
    <w:qFormat/>
    <w:uiPriority w:val="99"/>
    <w:rPr>
      <w:i/>
      <w:iCs/>
      <w:color w:val="000000"/>
      <w:kern w:val="2"/>
      <w:sz w:val="21"/>
      <w:szCs w:val="24"/>
    </w:rPr>
  </w:style>
  <w:style w:type="character" w:customStyle="1" w:styleId="161">
    <w:name w:val="页脚 Char1"/>
    <w:semiHidden/>
    <w:qFormat/>
    <w:uiPriority w:val="99"/>
    <w:rPr>
      <w:kern w:val="2"/>
      <w:sz w:val="18"/>
      <w:szCs w:val="18"/>
    </w:rPr>
  </w:style>
  <w:style w:type="character" w:customStyle="1" w:styleId="162">
    <w:name w:val="intel3"/>
    <w:qFormat/>
    <w:uiPriority w:val="0"/>
  </w:style>
  <w:style w:type="character" w:customStyle="1" w:styleId="163">
    <w:name w:val="日期 Char2"/>
    <w:qFormat/>
    <w:uiPriority w:val="99"/>
    <w:rPr>
      <w:kern w:val="2"/>
      <w:sz w:val="21"/>
      <w:szCs w:val="24"/>
    </w:rPr>
  </w:style>
  <w:style w:type="character" w:customStyle="1" w:styleId="164">
    <w:name w:val="Char Char121"/>
    <w:qFormat/>
    <w:uiPriority w:val="0"/>
    <w:rPr>
      <w:rFonts w:ascii="宋体" w:hAnsi="Courier New" w:eastAsia="宋体"/>
      <w:kern w:val="2"/>
      <w:sz w:val="28"/>
      <w:lang w:val="en-US" w:eastAsia="zh-CN" w:bidi="ar-SA"/>
    </w:rPr>
  </w:style>
  <w:style w:type="character" w:customStyle="1" w:styleId="165">
    <w:name w:val="Char Char32"/>
    <w:qFormat/>
    <w:uiPriority w:val="0"/>
    <w:rPr>
      <w:rFonts w:ascii="仿宋_GB2312" w:eastAsia="仿宋_GB2312" w:cs="MingLiU"/>
      <w:b/>
      <w:spacing w:val="1"/>
      <w:w w:val="99"/>
      <w:sz w:val="28"/>
      <w:szCs w:val="32"/>
    </w:rPr>
  </w:style>
  <w:style w:type="character" w:customStyle="1" w:styleId="166">
    <w:name w:val="书籍标题1"/>
    <w:qFormat/>
    <w:uiPriority w:val="0"/>
    <w:rPr>
      <w:b/>
      <w:bCs/>
      <w:smallCaps/>
      <w:spacing w:val="5"/>
    </w:rPr>
  </w:style>
  <w:style w:type="character" w:customStyle="1" w:styleId="167">
    <w:name w:val="Char Char24"/>
    <w:qFormat/>
    <w:uiPriority w:val="0"/>
    <w:rPr>
      <w:b/>
      <w:bCs/>
      <w:kern w:val="44"/>
      <w:sz w:val="44"/>
      <w:szCs w:val="44"/>
    </w:rPr>
  </w:style>
  <w:style w:type="character" w:customStyle="1" w:styleId="168">
    <w:name w:val="Char Char9"/>
    <w:qFormat/>
    <w:uiPriority w:val="0"/>
    <w:rPr>
      <w:rFonts w:ascii="仿宋_GB2312" w:eastAsia="仿宋_GB2312"/>
      <w:b/>
      <w:sz w:val="24"/>
    </w:rPr>
  </w:style>
  <w:style w:type="character" w:customStyle="1" w:styleId="169">
    <w:name w:val="标题5 Char Char"/>
    <w:link w:val="170"/>
    <w:qFormat/>
    <w:uiPriority w:val="0"/>
    <w:rPr>
      <w:rFonts w:ascii="Arial" w:hAnsi="Arial"/>
      <w:b/>
      <w:bCs/>
      <w:sz w:val="24"/>
      <w:szCs w:val="32"/>
    </w:rPr>
  </w:style>
  <w:style w:type="paragraph" w:customStyle="1" w:styleId="170">
    <w:name w:val="标题5"/>
    <w:basedOn w:val="2"/>
    <w:link w:val="169"/>
    <w:qFormat/>
    <w:uiPriority w:val="0"/>
    <w:pPr>
      <w:keepNext/>
      <w:keepLines/>
      <w:autoSpaceDE/>
      <w:autoSpaceDN/>
      <w:adjustRightInd/>
      <w:spacing w:before="260" w:after="260" w:line="413" w:lineRule="auto"/>
      <w:jc w:val="both"/>
    </w:pPr>
    <w:rPr>
      <w:rFonts w:ascii="Arial" w:hAnsi="Arial" w:eastAsia="宋体"/>
      <w:bCs/>
      <w:szCs w:val="32"/>
    </w:rPr>
  </w:style>
  <w:style w:type="character" w:customStyle="1" w:styleId="171">
    <w:name w:val="明显强调1"/>
    <w:qFormat/>
    <w:uiPriority w:val="0"/>
    <w:rPr>
      <w:b/>
      <w:bCs/>
      <w:i/>
      <w:iCs/>
      <w:color w:val="4F81BD"/>
    </w:rPr>
  </w:style>
  <w:style w:type="character" w:customStyle="1" w:styleId="172">
    <w:name w:val="Char Char91"/>
    <w:qFormat/>
    <w:locked/>
    <w:uiPriority w:val="0"/>
    <w:rPr>
      <w:rFonts w:ascii="仿宋_GB2312" w:eastAsia="仿宋_GB2312" w:cs="MingLiU"/>
      <w:b/>
      <w:sz w:val="24"/>
      <w:szCs w:val="28"/>
      <w:lang w:val="en-US" w:eastAsia="zh-CN" w:bidi="ar-SA"/>
    </w:rPr>
  </w:style>
  <w:style w:type="character" w:customStyle="1" w:styleId="173">
    <w:name w:val="Char Char Char Char Char"/>
    <w:link w:val="174"/>
    <w:qFormat/>
    <w:uiPriority w:val="0"/>
    <w:rPr>
      <w:kern w:val="2"/>
      <w:sz w:val="18"/>
    </w:rPr>
  </w:style>
  <w:style w:type="paragraph" w:customStyle="1" w:styleId="174">
    <w:name w:val="Char"/>
    <w:basedOn w:val="1"/>
    <w:link w:val="173"/>
    <w:qFormat/>
    <w:uiPriority w:val="0"/>
    <w:rPr>
      <w:sz w:val="18"/>
    </w:rPr>
  </w:style>
  <w:style w:type="character" w:customStyle="1" w:styleId="175">
    <w:name w:val="标题 8 Char1"/>
    <w:qFormat/>
    <w:uiPriority w:val="0"/>
    <w:rPr>
      <w:rFonts w:ascii="Times New Roman" w:hAnsi="Arial" w:eastAsia="仿宋_GB2312" w:cs="Times New Roman"/>
      <w:sz w:val="30"/>
      <w:szCs w:val="20"/>
    </w:rPr>
  </w:style>
  <w:style w:type="character" w:customStyle="1" w:styleId="176">
    <w:name w:val="color_red1"/>
    <w:qFormat/>
    <w:uiPriority w:val="0"/>
    <w:rPr>
      <w:color w:val="FA0004"/>
    </w:rPr>
  </w:style>
  <w:style w:type="character" w:customStyle="1" w:styleId="177">
    <w:name w:val="正文文本缩进 3 Char"/>
    <w:qFormat/>
    <w:uiPriority w:val="0"/>
    <w:rPr>
      <w:kern w:val="2"/>
      <w:sz w:val="16"/>
      <w:szCs w:val="16"/>
    </w:rPr>
  </w:style>
  <w:style w:type="character" w:customStyle="1" w:styleId="178">
    <w:name w:val="Char Char10"/>
    <w:qFormat/>
    <w:uiPriority w:val="0"/>
    <w:rPr>
      <w:rFonts w:ascii="仿宋_GB2312" w:eastAsia="仿宋_GB2312"/>
      <w:b/>
      <w:spacing w:val="1"/>
      <w:w w:val="99"/>
      <w:sz w:val="28"/>
    </w:rPr>
  </w:style>
  <w:style w:type="character" w:customStyle="1" w:styleId="179">
    <w:name w:val="书籍标题11"/>
    <w:qFormat/>
    <w:uiPriority w:val="0"/>
    <w:rPr>
      <w:b/>
      <w:bCs/>
      <w:smallCaps/>
      <w:spacing w:val="5"/>
    </w:rPr>
  </w:style>
  <w:style w:type="character" w:customStyle="1" w:styleId="180">
    <w:name w:val="文档结构图 Char"/>
    <w:qFormat/>
    <w:uiPriority w:val="0"/>
    <w:rPr>
      <w:rFonts w:ascii="宋体"/>
      <w:kern w:val="2"/>
      <w:sz w:val="18"/>
      <w:szCs w:val="18"/>
    </w:rPr>
  </w:style>
  <w:style w:type="character" w:customStyle="1" w:styleId="181">
    <w:name w:val="s3"/>
    <w:qFormat/>
    <w:uiPriority w:val="0"/>
  </w:style>
  <w:style w:type="character" w:customStyle="1" w:styleId="182">
    <w:name w:val="Section Char"/>
    <w:qFormat/>
    <w:uiPriority w:val="0"/>
    <w:rPr>
      <w:rFonts w:ascii="仿宋_GB2312" w:eastAsia="仿宋_GB2312" w:cs="MingLiU"/>
      <w:b/>
      <w:sz w:val="24"/>
      <w:szCs w:val="28"/>
      <w:lang w:val="en-US" w:eastAsia="zh-CN" w:bidi="ar-SA"/>
    </w:rPr>
  </w:style>
  <w:style w:type="character" w:customStyle="1" w:styleId="183">
    <w:name w:val="日期 Char1"/>
    <w:qFormat/>
    <w:uiPriority w:val="0"/>
    <w:rPr>
      <w:kern w:val="2"/>
      <w:sz w:val="21"/>
      <w:szCs w:val="22"/>
    </w:rPr>
  </w:style>
  <w:style w:type="character" w:customStyle="1" w:styleId="184">
    <w:name w:val="font161"/>
    <w:qFormat/>
    <w:uiPriority w:val="0"/>
    <w:rPr>
      <w:b/>
      <w:bCs/>
      <w:sz w:val="32"/>
      <w:szCs w:val="32"/>
    </w:rPr>
  </w:style>
  <w:style w:type="character" w:customStyle="1" w:styleId="185">
    <w:name w:val="招标章 Char"/>
    <w:link w:val="186"/>
    <w:qFormat/>
    <w:uiPriority w:val="0"/>
    <w:rPr>
      <w:rFonts w:eastAsia="黑体"/>
      <w:b/>
      <w:kern w:val="2"/>
      <w:sz w:val="32"/>
      <w:szCs w:val="24"/>
      <w:lang w:val="en-US" w:eastAsia="zh-CN" w:bidi="ar-SA"/>
    </w:rPr>
  </w:style>
  <w:style w:type="paragraph" w:customStyle="1" w:styleId="186">
    <w:name w:val="招标章"/>
    <w:basedOn w:val="1"/>
    <w:link w:val="185"/>
    <w:qFormat/>
    <w:uiPriority w:val="0"/>
    <w:pPr>
      <w:spacing w:line="360" w:lineRule="auto"/>
      <w:jc w:val="center"/>
      <w:outlineLvl w:val="0"/>
    </w:pPr>
    <w:rPr>
      <w:rFonts w:eastAsia="黑体"/>
      <w:b/>
      <w:sz w:val="32"/>
      <w:szCs w:val="24"/>
    </w:rPr>
  </w:style>
  <w:style w:type="character" w:customStyle="1" w:styleId="187">
    <w:name w:val="标题 1 Char1"/>
    <w:qFormat/>
    <w:uiPriority w:val="0"/>
    <w:rPr>
      <w:rFonts w:ascii="Times New Roman" w:hAnsi="Times New Roman" w:eastAsia="宋体" w:cs="Times New Roman"/>
      <w:b/>
      <w:bCs/>
      <w:kern w:val="44"/>
      <w:sz w:val="44"/>
      <w:szCs w:val="44"/>
    </w:rPr>
  </w:style>
  <w:style w:type="character" w:customStyle="1" w:styleId="188">
    <w:name w:val="0d1471"/>
    <w:qFormat/>
    <w:uiPriority w:val="0"/>
    <w:rPr>
      <w:color w:val="000000"/>
      <w:sz w:val="11"/>
      <w:szCs w:val="11"/>
      <w:u w:val="none"/>
    </w:rPr>
  </w:style>
  <w:style w:type="character" w:customStyle="1" w:styleId="189">
    <w:name w:val="标题 4 Char1"/>
    <w:qFormat/>
    <w:uiPriority w:val="0"/>
    <w:rPr>
      <w:rFonts w:ascii="宋体" w:hAnsi="宋体" w:eastAsia="宋体" w:cs="宋体"/>
      <w:b/>
      <w:bCs/>
      <w:sz w:val="24"/>
      <w:szCs w:val="24"/>
    </w:rPr>
  </w:style>
  <w:style w:type="character" w:customStyle="1" w:styleId="190">
    <w:name w:val="Char Char4"/>
    <w:qFormat/>
    <w:uiPriority w:val="0"/>
    <w:rPr>
      <w:rFonts w:ascii="宋体" w:hAnsi="Courier New"/>
      <w:kern w:val="2"/>
      <w:sz w:val="28"/>
    </w:rPr>
  </w:style>
  <w:style w:type="character" w:customStyle="1" w:styleId="191">
    <w:name w:val="标题 7 Char"/>
    <w:qFormat/>
    <w:uiPriority w:val="0"/>
    <w:rPr>
      <w:rFonts w:ascii="Calibri" w:hAnsi="Calibri" w:eastAsia="宋体" w:cs="Times New Roman"/>
      <w:b/>
      <w:bCs/>
      <w:sz w:val="24"/>
      <w:szCs w:val="24"/>
    </w:rPr>
  </w:style>
  <w:style w:type="character" w:customStyle="1" w:styleId="192">
    <w:name w:val="批注主题 Char1"/>
    <w:qFormat/>
    <w:uiPriority w:val="0"/>
    <w:rPr>
      <w:b/>
      <w:bCs/>
      <w:kern w:val="2"/>
      <w:sz w:val="21"/>
      <w:szCs w:val="22"/>
    </w:rPr>
  </w:style>
  <w:style w:type="character" w:customStyle="1" w:styleId="193">
    <w:name w:val="正文文本 Char2"/>
    <w:qFormat/>
    <w:uiPriority w:val="99"/>
    <w:rPr>
      <w:kern w:val="2"/>
      <w:sz w:val="21"/>
      <w:szCs w:val="24"/>
    </w:rPr>
  </w:style>
  <w:style w:type="character" w:customStyle="1" w:styleId="194">
    <w:name w:val="文档结构图 Char3"/>
    <w:semiHidden/>
    <w:qFormat/>
    <w:uiPriority w:val="99"/>
    <w:rPr>
      <w:rFonts w:ascii="宋体" w:hAnsi="Calibri" w:eastAsia="宋体" w:cs="Times New Roman"/>
      <w:sz w:val="18"/>
      <w:szCs w:val="18"/>
    </w:rPr>
  </w:style>
  <w:style w:type="character" w:customStyle="1" w:styleId="195">
    <w:name w:val="标题 6 Char1"/>
    <w:qFormat/>
    <w:uiPriority w:val="0"/>
    <w:rPr>
      <w:rFonts w:ascii="Times New Roman" w:hAnsi="Arial" w:eastAsia="仿宋_GB2312" w:cs="Times New Roman"/>
      <w:sz w:val="30"/>
      <w:szCs w:val="20"/>
    </w:rPr>
  </w:style>
  <w:style w:type="character" w:customStyle="1" w:styleId="196">
    <w:name w:val="Char Char3"/>
    <w:qFormat/>
    <w:uiPriority w:val="0"/>
    <w:rPr>
      <w:kern w:val="2"/>
      <w:sz w:val="18"/>
    </w:rPr>
  </w:style>
  <w:style w:type="character" w:customStyle="1" w:styleId="197">
    <w:name w:val="标题 7 Char1"/>
    <w:qFormat/>
    <w:uiPriority w:val="0"/>
    <w:rPr>
      <w:rFonts w:ascii="Times New Roman" w:hAnsi="Times New Roman" w:eastAsia="仿宋_GB2312" w:cs="Times New Roman"/>
      <w:sz w:val="30"/>
      <w:szCs w:val="20"/>
    </w:rPr>
  </w:style>
  <w:style w:type="character" w:customStyle="1" w:styleId="198">
    <w:name w:val="标题 9 Char"/>
    <w:qFormat/>
    <w:uiPriority w:val="0"/>
    <w:rPr>
      <w:rFonts w:ascii="Arial" w:hAnsi="Arial" w:eastAsia="黑体" w:cs="Times New Roman"/>
      <w:szCs w:val="21"/>
    </w:rPr>
  </w:style>
  <w:style w:type="character" w:customStyle="1" w:styleId="199">
    <w:name w:val="未处理的提及1"/>
    <w:unhideWhenUsed/>
    <w:qFormat/>
    <w:uiPriority w:val="99"/>
    <w:rPr>
      <w:color w:val="808080"/>
      <w:shd w:val="clear" w:color="auto" w:fill="E6E6E6"/>
    </w:rPr>
  </w:style>
  <w:style w:type="character" w:customStyle="1" w:styleId="200">
    <w:name w:val="引用 Char1"/>
    <w:link w:val="201"/>
    <w:qFormat/>
    <w:uiPriority w:val="29"/>
    <w:rPr>
      <w:i/>
      <w:iCs/>
      <w:color w:val="000000"/>
      <w:kern w:val="2"/>
      <w:sz w:val="21"/>
    </w:rPr>
  </w:style>
  <w:style w:type="paragraph" w:customStyle="1" w:styleId="201">
    <w:name w:val="引用1"/>
    <w:basedOn w:val="1"/>
    <w:next w:val="1"/>
    <w:link w:val="200"/>
    <w:qFormat/>
    <w:uiPriority w:val="29"/>
    <w:rPr>
      <w:i/>
      <w:iCs/>
      <w:color w:val="000000"/>
    </w:rPr>
  </w:style>
  <w:style w:type="character" w:customStyle="1" w:styleId="202">
    <w:name w:val="HTML 预设格式 Char"/>
    <w:qFormat/>
    <w:uiPriority w:val="0"/>
    <w:rPr>
      <w:rFonts w:ascii="宋体" w:hAnsi="宋体" w:eastAsia="宋体" w:cs="宋体"/>
      <w:color w:val="000000"/>
      <w:sz w:val="24"/>
      <w:szCs w:val="24"/>
    </w:rPr>
  </w:style>
  <w:style w:type="character" w:customStyle="1" w:styleId="203">
    <w:name w:val="ITTHEADER1 Char"/>
    <w:qFormat/>
    <w:uiPriority w:val="0"/>
    <w:rPr>
      <w:rFonts w:eastAsia="黑体"/>
      <w:kern w:val="2"/>
      <w:sz w:val="44"/>
      <w:szCs w:val="44"/>
      <w:lang w:val="en-US" w:eastAsia="zh-CN" w:bidi="ar-SA"/>
    </w:rPr>
  </w:style>
  <w:style w:type="character" w:customStyle="1" w:styleId="204">
    <w:name w:val="style21"/>
    <w:qFormat/>
    <w:uiPriority w:val="0"/>
    <w:rPr>
      <w:b/>
      <w:bCs/>
      <w:sz w:val="28"/>
      <w:szCs w:val="28"/>
    </w:rPr>
  </w:style>
  <w:style w:type="character" w:customStyle="1" w:styleId="205">
    <w:name w:val="ss16"/>
    <w:qFormat/>
    <w:uiPriority w:val="0"/>
    <w:rPr>
      <w:rFonts w:hint="eastAsia" w:ascii="宋体" w:hAnsi="宋体" w:eastAsia="宋体"/>
      <w:color w:val="000000"/>
      <w:sz w:val="9"/>
      <w:szCs w:val="9"/>
    </w:rPr>
  </w:style>
  <w:style w:type="character" w:customStyle="1" w:styleId="206">
    <w:name w:val="Char Char33"/>
    <w:qFormat/>
    <w:uiPriority w:val="0"/>
    <w:rPr>
      <w:rFonts w:ascii="仿宋_GB2312" w:eastAsia="仿宋_GB2312" w:cs="MingLiU"/>
      <w:b/>
      <w:sz w:val="24"/>
      <w:szCs w:val="28"/>
    </w:rPr>
  </w:style>
  <w:style w:type="character" w:customStyle="1" w:styleId="207">
    <w:name w:val="脚注文本 Char"/>
    <w:qFormat/>
    <w:uiPriority w:val="0"/>
    <w:rPr>
      <w:rFonts w:ascii="Arial" w:hAnsi="Arial" w:eastAsia="宋体" w:cs="Arial"/>
      <w:sz w:val="18"/>
      <w:szCs w:val="18"/>
      <w:lang w:eastAsia="en-US"/>
    </w:rPr>
  </w:style>
  <w:style w:type="character" w:customStyle="1" w:styleId="208">
    <w:name w:val="标题 Char4"/>
    <w:qFormat/>
    <w:uiPriority w:val="0"/>
    <w:rPr>
      <w:rFonts w:ascii="Cambria" w:hAnsi="Cambria" w:cs="Times New Roman"/>
      <w:b/>
      <w:bCs/>
      <w:kern w:val="2"/>
      <w:sz w:val="32"/>
      <w:szCs w:val="32"/>
    </w:rPr>
  </w:style>
  <w:style w:type="character" w:customStyle="1" w:styleId="209">
    <w:name w:val="普通文字 Char Char1"/>
    <w:qFormat/>
    <w:uiPriority w:val="0"/>
    <w:rPr>
      <w:rFonts w:ascii="宋体" w:hAnsi="Courier New"/>
      <w:kern w:val="2"/>
      <w:sz w:val="28"/>
      <w:szCs w:val="28"/>
    </w:rPr>
  </w:style>
  <w:style w:type="character" w:customStyle="1" w:styleId="210">
    <w:name w:val="批注框文本 Char3"/>
    <w:semiHidden/>
    <w:qFormat/>
    <w:uiPriority w:val="99"/>
    <w:rPr>
      <w:rFonts w:ascii="Calibri" w:hAnsi="Calibri" w:eastAsia="宋体" w:cs="Times New Roman"/>
      <w:sz w:val="18"/>
      <w:szCs w:val="18"/>
    </w:rPr>
  </w:style>
  <w:style w:type="character" w:customStyle="1" w:styleId="211">
    <w:name w:val="Char Char1"/>
    <w:qFormat/>
    <w:uiPriority w:val="0"/>
    <w:rPr>
      <w:i/>
      <w:kern w:val="2"/>
      <w:sz w:val="26"/>
    </w:rPr>
  </w:style>
  <w:style w:type="character" w:customStyle="1" w:styleId="212">
    <w:name w:val="批注主题 Char3"/>
    <w:semiHidden/>
    <w:qFormat/>
    <w:uiPriority w:val="99"/>
    <w:rPr>
      <w:rFonts w:ascii="Calibri" w:hAnsi="Calibri" w:eastAsia="宋体" w:cs="Times New Roman"/>
      <w:b/>
      <w:bCs/>
      <w:szCs w:val="24"/>
    </w:rPr>
  </w:style>
  <w:style w:type="character" w:customStyle="1" w:styleId="213">
    <w:name w:val="title11"/>
    <w:qFormat/>
    <w:uiPriority w:val="0"/>
    <w:rPr>
      <w:b/>
      <w:bCs/>
      <w:color w:val="FFFFFF"/>
      <w:sz w:val="11"/>
      <w:szCs w:val="11"/>
    </w:rPr>
  </w:style>
  <w:style w:type="character" w:customStyle="1" w:styleId="214">
    <w:name w:val="正文文本缩进 Char2"/>
    <w:semiHidden/>
    <w:qFormat/>
    <w:uiPriority w:val="99"/>
    <w:rPr>
      <w:rFonts w:ascii="Calibri" w:hAnsi="Calibri" w:eastAsia="宋体" w:cs="Times New Roman"/>
      <w:szCs w:val="24"/>
    </w:rPr>
  </w:style>
  <w:style w:type="character" w:customStyle="1" w:styleId="215">
    <w:name w:val="Char Char13"/>
    <w:qFormat/>
    <w:uiPriority w:val="0"/>
    <w:rPr>
      <w:kern w:val="2"/>
      <w:sz w:val="18"/>
      <w:szCs w:val="18"/>
    </w:rPr>
  </w:style>
  <w:style w:type="character" w:customStyle="1" w:styleId="216">
    <w:name w:val="不明显强调1"/>
    <w:qFormat/>
    <w:uiPriority w:val="0"/>
    <w:rPr>
      <w:i/>
      <w:iCs/>
      <w:color w:val="808080"/>
    </w:rPr>
  </w:style>
  <w:style w:type="character" w:customStyle="1" w:styleId="217">
    <w:name w:val="批注主题 Char2"/>
    <w:qFormat/>
    <w:uiPriority w:val="99"/>
    <w:rPr>
      <w:b/>
      <w:bCs/>
      <w:kern w:val="2"/>
      <w:sz w:val="21"/>
      <w:szCs w:val="24"/>
    </w:rPr>
  </w:style>
  <w:style w:type="character" w:customStyle="1" w:styleId="218">
    <w:name w:val="批注文字 Char Char"/>
    <w:qFormat/>
    <w:uiPriority w:val="0"/>
    <w:rPr>
      <w:rFonts w:ascii="宋体" w:hAnsi="Times New Roman" w:eastAsia="宋体" w:cs="Times New Roman"/>
      <w:sz w:val="28"/>
      <w:szCs w:val="20"/>
    </w:rPr>
  </w:style>
  <w:style w:type="character" w:customStyle="1" w:styleId="219">
    <w:name w:val="style161"/>
    <w:qFormat/>
    <w:uiPriority w:val="0"/>
    <w:rPr>
      <w:b/>
      <w:bCs/>
      <w:color w:val="333333"/>
    </w:rPr>
  </w:style>
  <w:style w:type="character" w:customStyle="1" w:styleId="220">
    <w:name w:val="正文文本 3 Char"/>
    <w:qFormat/>
    <w:uiPriority w:val="0"/>
    <w:rPr>
      <w:kern w:val="2"/>
      <w:sz w:val="16"/>
      <w:szCs w:val="16"/>
    </w:rPr>
  </w:style>
  <w:style w:type="character" w:customStyle="1" w:styleId="221">
    <w:name w:val="HTML 预设格式 Char2"/>
    <w:semiHidden/>
    <w:qFormat/>
    <w:uiPriority w:val="99"/>
    <w:rPr>
      <w:rFonts w:ascii="Courier New" w:hAnsi="Courier New" w:eastAsia="宋体" w:cs="Courier New"/>
      <w:sz w:val="20"/>
      <w:szCs w:val="20"/>
    </w:rPr>
  </w:style>
  <w:style w:type="character" w:customStyle="1" w:styleId="222">
    <w:name w:val="明显引用 Char3"/>
    <w:qFormat/>
    <w:uiPriority w:val="30"/>
    <w:rPr>
      <w:rFonts w:ascii="Calibri" w:hAnsi="Calibri" w:eastAsia="宋体" w:cs="Times New Roman"/>
      <w:b/>
      <w:bCs/>
      <w:i/>
      <w:iCs/>
      <w:color w:val="4F81BD"/>
      <w:szCs w:val="24"/>
    </w:rPr>
  </w:style>
  <w:style w:type="character" w:customStyle="1" w:styleId="223">
    <w:name w:val="14t1"/>
    <w:qFormat/>
    <w:uiPriority w:val="0"/>
    <w:rPr>
      <w:rFonts w:hint="eastAsia" w:ascii="宋体" w:hAnsi="宋体" w:eastAsia="宋体"/>
      <w:sz w:val="11"/>
      <w:szCs w:val="11"/>
    </w:rPr>
  </w:style>
  <w:style w:type="character" w:customStyle="1" w:styleId="224">
    <w:name w:val="unnamed1"/>
    <w:qFormat/>
    <w:uiPriority w:val="0"/>
  </w:style>
  <w:style w:type="character" w:customStyle="1" w:styleId="225">
    <w:name w:val="标题 Char2"/>
    <w:qFormat/>
    <w:uiPriority w:val="10"/>
    <w:rPr>
      <w:rFonts w:ascii="Cambria" w:hAnsi="Cambria" w:eastAsia="宋体" w:cs="Times New Roman"/>
      <w:b/>
      <w:bCs/>
      <w:sz w:val="32"/>
      <w:szCs w:val="32"/>
    </w:rPr>
  </w:style>
  <w:style w:type="character" w:customStyle="1" w:styleId="226">
    <w:name w:val="Char Char11"/>
    <w:qFormat/>
    <w:uiPriority w:val="0"/>
    <w:rPr>
      <w:rFonts w:eastAsia="黑体"/>
      <w:kern w:val="2"/>
      <w:sz w:val="44"/>
      <w:lang w:val="en-US" w:eastAsia="zh-CN"/>
    </w:rPr>
  </w:style>
  <w:style w:type="character" w:customStyle="1" w:styleId="227">
    <w:name w:val="不明显强调2"/>
    <w:qFormat/>
    <w:uiPriority w:val="0"/>
    <w:rPr>
      <w:i/>
      <w:iCs/>
      <w:color w:val="808080"/>
    </w:rPr>
  </w:style>
  <w:style w:type="character" w:customStyle="1" w:styleId="228">
    <w:name w:val="标题4 Char Char"/>
    <w:link w:val="229"/>
    <w:qFormat/>
    <w:uiPriority w:val="0"/>
    <w:rPr>
      <w:rFonts w:ascii="Arial" w:hAnsi="Arial"/>
      <w:b/>
      <w:bCs/>
      <w:sz w:val="24"/>
      <w:szCs w:val="32"/>
    </w:rPr>
  </w:style>
  <w:style w:type="paragraph" w:customStyle="1" w:styleId="229">
    <w:name w:val="标题4"/>
    <w:basedOn w:val="4"/>
    <w:next w:val="19"/>
    <w:link w:val="228"/>
    <w:qFormat/>
    <w:uiPriority w:val="0"/>
    <w:pPr>
      <w:keepNext/>
      <w:keepLines/>
      <w:autoSpaceDE/>
      <w:autoSpaceDN/>
      <w:adjustRightInd/>
      <w:snapToGrid/>
      <w:spacing w:before="260" w:after="260" w:line="413" w:lineRule="auto"/>
      <w:jc w:val="both"/>
    </w:pPr>
    <w:rPr>
      <w:rFonts w:ascii="Arial" w:hAnsi="Arial" w:eastAsia="宋体"/>
      <w:bCs/>
      <w:spacing w:val="0"/>
      <w:w w:val="100"/>
      <w:sz w:val="24"/>
      <w:szCs w:val="32"/>
    </w:rPr>
  </w:style>
  <w:style w:type="character" w:customStyle="1" w:styleId="230">
    <w:name w:val="Char Char5"/>
    <w:qFormat/>
    <w:uiPriority w:val="0"/>
    <w:rPr>
      <w:kern w:val="2"/>
      <w:sz w:val="18"/>
    </w:rPr>
  </w:style>
  <w:style w:type="character" w:customStyle="1" w:styleId="231">
    <w:name w:val="文档结构图 Char2"/>
    <w:qFormat/>
    <w:uiPriority w:val="99"/>
    <w:rPr>
      <w:kern w:val="2"/>
      <w:sz w:val="21"/>
      <w:szCs w:val="24"/>
      <w:shd w:val="clear" w:color="auto" w:fill="000080"/>
    </w:rPr>
  </w:style>
  <w:style w:type="character" w:customStyle="1" w:styleId="232">
    <w:name w:val="明显引用 字符"/>
    <w:link w:val="233"/>
    <w:qFormat/>
    <w:uiPriority w:val="0"/>
    <w:rPr>
      <w:b/>
      <w:bCs/>
      <w:i/>
      <w:iCs/>
      <w:color w:val="4F81BD"/>
      <w:kern w:val="2"/>
      <w:sz w:val="21"/>
      <w:szCs w:val="22"/>
    </w:rPr>
  </w:style>
  <w:style w:type="paragraph" w:styleId="233">
    <w:name w:val="Intense Quote"/>
    <w:basedOn w:val="1"/>
    <w:next w:val="1"/>
    <w:link w:val="232"/>
    <w:qFormat/>
    <w:uiPriority w:val="0"/>
    <w:pPr>
      <w:pBdr>
        <w:bottom w:val="single" w:color="4F81BD" w:sz="4" w:space="4"/>
      </w:pBdr>
      <w:spacing w:before="200" w:after="280"/>
      <w:ind w:left="936" w:right="936"/>
    </w:pPr>
    <w:rPr>
      <w:b/>
      <w:bCs/>
      <w:i/>
      <w:iCs/>
      <w:color w:val="4F81BD"/>
      <w:szCs w:val="22"/>
    </w:rPr>
  </w:style>
  <w:style w:type="character" w:customStyle="1" w:styleId="234">
    <w:name w:val="正文文本缩进 2 Char1"/>
    <w:qFormat/>
    <w:uiPriority w:val="0"/>
    <w:rPr>
      <w:sz w:val="28"/>
      <w:szCs w:val="24"/>
    </w:rPr>
  </w:style>
  <w:style w:type="character" w:customStyle="1" w:styleId="235">
    <w:name w:val="纯文本 Char1"/>
    <w:qFormat/>
    <w:uiPriority w:val="0"/>
    <w:rPr>
      <w:rFonts w:ascii="宋体" w:hAnsi="Courier New" w:cs="Courier New"/>
      <w:kern w:val="2"/>
      <w:sz w:val="21"/>
      <w:szCs w:val="21"/>
    </w:rPr>
  </w:style>
  <w:style w:type="character" w:customStyle="1" w:styleId="236">
    <w:name w:val="main_tdbg_7601"/>
    <w:qFormat/>
    <w:uiPriority w:val="0"/>
    <w:rPr>
      <w:sz w:val="14"/>
      <w:szCs w:val="14"/>
    </w:rPr>
  </w:style>
  <w:style w:type="character" w:customStyle="1" w:styleId="237">
    <w:name w:val="明显引用 Char2"/>
    <w:qFormat/>
    <w:uiPriority w:val="99"/>
    <w:rPr>
      <w:b/>
      <w:bCs/>
      <w:i/>
      <w:iCs/>
      <w:color w:val="4F81BD"/>
      <w:kern w:val="2"/>
      <w:sz w:val="21"/>
      <w:szCs w:val="24"/>
    </w:rPr>
  </w:style>
  <w:style w:type="character" w:customStyle="1" w:styleId="238">
    <w:name w:val="正文文本缩进 3 Char1"/>
    <w:qFormat/>
    <w:uiPriority w:val="0"/>
    <w:rPr>
      <w:rFonts w:ascii="宋体" w:hAnsi="宋体"/>
      <w:kern w:val="2"/>
      <w:sz w:val="28"/>
      <w:szCs w:val="28"/>
    </w:rPr>
  </w:style>
  <w:style w:type="character" w:customStyle="1" w:styleId="239">
    <w:name w:val="标题 4 Char"/>
    <w:qFormat/>
    <w:uiPriority w:val="0"/>
    <w:rPr>
      <w:rFonts w:ascii="仿宋_GB2312" w:hAnsi="Calibri" w:eastAsia="仿宋_GB2312" w:cs="Times New Roman"/>
      <w:b/>
      <w:kern w:val="0"/>
      <w:sz w:val="24"/>
      <w:szCs w:val="28"/>
    </w:rPr>
  </w:style>
  <w:style w:type="character" w:customStyle="1" w:styleId="240">
    <w:name w:val="尾注文本 Char"/>
    <w:qFormat/>
    <w:uiPriority w:val="0"/>
    <w:rPr>
      <w:kern w:val="2"/>
      <w:sz w:val="21"/>
      <w:szCs w:val="24"/>
    </w:rPr>
  </w:style>
  <w:style w:type="character" w:customStyle="1" w:styleId="241">
    <w:name w:val="标题 3 Char"/>
    <w:qFormat/>
    <w:uiPriority w:val="0"/>
    <w:rPr>
      <w:rFonts w:ascii="仿宋_GB2312" w:hAnsi="Calibri" w:eastAsia="仿宋_GB2312" w:cs="Times New Roman"/>
      <w:b/>
      <w:kern w:val="0"/>
      <w:sz w:val="24"/>
      <w:szCs w:val="28"/>
    </w:rPr>
  </w:style>
  <w:style w:type="character" w:customStyle="1" w:styleId="242">
    <w:name w:val="Char Char36"/>
    <w:qFormat/>
    <w:uiPriority w:val="0"/>
    <w:rPr>
      <w:rFonts w:ascii="仿宋_GB2312" w:eastAsia="仿宋_GB2312" w:cs="MingLiU"/>
      <w:b/>
      <w:sz w:val="24"/>
      <w:szCs w:val="28"/>
    </w:rPr>
  </w:style>
  <w:style w:type="character" w:customStyle="1" w:styleId="243">
    <w:name w:val="纯文本 Char"/>
    <w:qFormat/>
    <w:uiPriority w:val="0"/>
    <w:rPr>
      <w:rFonts w:ascii="宋体" w:hAnsi="Courier New"/>
      <w:sz w:val="28"/>
      <w:szCs w:val="28"/>
    </w:rPr>
  </w:style>
  <w:style w:type="character" w:customStyle="1" w:styleId="244">
    <w:name w:val="不明显参考2"/>
    <w:qFormat/>
    <w:uiPriority w:val="0"/>
    <w:rPr>
      <w:smallCaps/>
      <w:color w:val="C0504D"/>
      <w:u w:val="single"/>
    </w:rPr>
  </w:style>
  <w:style w:type="character" w:customStyle="1" w:styleId="245">
    <w:name w:val="正文文本 3 Char1"/>
    <w:qFormat/>
    <w:uiPriority w:val="0"/>
    <w:rPr>
      <w:kern w:val="2"/>
      <w:sz w:val="16"/>
      <w:szCs w:val="16"/>
    </w:rPr>
  </w:style>
  <w:style w:type="character" w:customStyle="1" w:styleId="246">
    <w:name w:val="批注框文本 Char2"/>
    <w:qFormat/>
    <w:uiPriority w:val="99"/>
    <w:rPr>
      <w:kern w:val="2"/>
      <w:sz w:val="18"/>
      <w:szCs w:val="18"/>
    </w:rPr>
  </w:style>
  <w:style w:type="character" w:customStyle="1" w:styleId="247">
    <w:name w:val="textcontents"/>
    <w:qFormat/>
    <w:uiPriority w:val="0"/>
    <w:rPr>
      <w:rFonts w:cs="Times New Roman"/>
    </w:rPr>
  </w:style>
  <w:style w:type="character" w:customStyle="1" w:styleId="248">
    <w:name w:val="正文文本 Char3"/>
    <w:semiHidden/>
    <w:qFormat/>
    <w:uiPriority w:val="99"/>
    <w:rPr>
      <w:rFonts w:ascii="Calibri" w:hAnsi="Calibri" w:eastAsia="宋体" w:cs="Times New Roman"/>
      <w:szCs w:val="24"/>
    </w:rPr>
  </w:style>
  <w:style w:type="character" w:customStyle="1" w:styleId="249">
    <w:name w:val="正文文本 Char"/>
    <w:qFormat/>
    <w:uiPriority w:val="0"/>
    <w:rPr>
      <w:sz w:val="26"/>
      <w:szCs w:val="24"/>
    </w:rPr>
  </w:style>
  <w:style w:type="character" w:customStyle="1" w:styleId="250">
    <w:name w:val="日期 Char"/>
    <w:qFormat/>
    <w:uiPriority w:val="0"/>
    <w:rPr>
      <w:rFonts w:eastAsia="宋体"/>
      <w:szCs w:val="24"/>
    </w:rPr>
  </w:style>
  <w:style w:type="character" w:customStyle="1" w:styleId="251">
    <w:name w:val="Char Char111"/>
    <w:qFormat/>
    <w:uiPriority w:val="0"/>
    <w:rPr>
      <w:rFonts w:eastAsia="黑体"/>
      <w:kern w:val="2"/>
      <w:sz w:val="44"/>
      <w:lang w:val="en-US" w:eastAsia="zh-CN"/>
    </w:rPr>
  </w:style>
  <w:style w:type="character" w:customStyle="1" w:styleId="252">
    <w:name w:val="手改 Char Char"/>
    <w:qFormat/>
    <w:uiPriority w:val="0"/>
    <w:rPr>
      <w:kern w:val="2"/>
      <w:sz w:val="21"/>
      <w:szCs w:val="24"/>
    </w:rPr>
  </w:style>
  <w:style w:type="character" w:customStyle="1" w:styleId="253">
    <w:name w:val="页脚 Char"/>
    <w:qFormat/>
    <w:uiPriority w:val="0"/>
    <w:rPr>
      <w:sz w:val="18"/>
      <w:szCs w:val="18"/>
    </w:rPr>
  </w:style>
  <w:style w:type="character" w:customStyle="1" w:styleId="254">
    <w:name w:val="HTML 预设格式 Char1"/>
    <w:qFormat/>
    <w:uiPriority w:val="0"/>
    <w:rPr>
      <w:rFonts w:ascii="宋体" w:hAnsi="宋体" w:cs="宋体"/>
      <w:color w:val="000000"/>
      <w:sz w:val="24"/>
      <w:szCs w:val="24"/>
    </w:rPr>
  </w:style>
  <w:style w:type="character" w:customStyle="1" w:styleId="255">
    <w:name w:val="标题 8 Char"/>
    <w:qFormat/>
    <w:uiPriority w:val="0"/>
    <w:rPr>
      <w:rFonts w:ascii="Arial" w:hAnsi="Arial" w:eastAsia="黑体" w:cs="Times New Roman"/>
      <w:sz w:val="24"/>
      <w:szCs w:val="24"/>
    </w:rPr>
  </w:style>
  <w:style w:type="character" w:customStyle="1" w:styleId="256">
    <w:name w:val="正文文本缩进 2 Char2"/>
    <w:semiHidden/>
    <w:qFormat/>
    <w:uiPriority w:val="99"/>
    <w:rPr>
      <w:rFonts w:ascii="Calibri" w:hAnsi="Calibri" w:eastAsia="宋体" w:cs="Times New Roman"/>
      <w:szCs w:val="24"/>
    </w:rPr>
  </w:style>
  <w:style w:type="character" w:customStyle="1" w:styleId="257">
    <w:name w:val="正文文本 2 Char1"/>
    <w:semiHidden/>
    <w:qFormat/>
    <w:uiPriority w:val="99"/>
    <w:rPr>
      <w:rFonts w:ascii="Calibri" w:hAnsi="Calibri" w:eastAsia="宋体" w:cs="Times New Roman"/>
      <w:szCs w:val="24"/>
    </w:rPr>
  </w:style>
  <w:style w:type="character" w:customStyle="1" w:styleId="258">
    <w:name w:val="副标题 Char1"/>
    <w:qFormat/>
    <w:uiPriority w:val="0"/>
    <w:rPr>
      <w:rFonts w:ascii="Cambria" w:hAnsi="Cambria" w:cs="Times New Roman"/>
      <w:b/>
      <w:bCs/>
      <w:kern w:val="28"/>
      <w:sz w:val="32"/>
      <w:szCs w:val="32"/>
    </w:rPr>
  </w:style>
  <w:style w:type="character" w:customStyle="1" w:styleId="259">
    <w:name w:val="Char Char34"/>
    <w:qFormat/>
    <w:uiPriority w:val="0"/>
    <w:rPr>
      <w:rFonts w:ascii="仿宋_GB2312" w:eastAsia="仿宋_GB2312" w:cs="MingLiU"/>
      <w:b/>
      <w:spacing w:val="1"/>
      <w:w w:val="99"/>
      <w:sz w:val="28"/>
      <w:szCs w:val="32"/>
    </w:rPr>
  </w:style>
  <w:style w:type="character" w:customStyle="1" w:styleId="260">
    <w:name w:val="Char Char22"/>
    <w:qFormat/>
    <w:uiPriority w:val="0"/>
    <w:rPr>
      <w:b/>
      <w:bCs/>
      <w:kern w:val="2"/>
      <w:sz w:val="32"/>
      <w:szCs w:val="32"/>
    </w:rPr>
  </w:style>
  <w:style w:type="character" w:customStyle="1" w:styleId="261">
    <w:name w:val="正文文本缩进 2 Char3"/>
    <w:qFormat/>
    <w:uiPriority w:val="0"/>
    <w:rPr>
      <w:rFonts w:eastAsia="宋体"/>
      <w:sz w:val="28"/>
      <w:szCs w:val="24"/>
      <w:lang w:val="en-US" w:eastAsia="zh-CN" w:bidi="ar-SA"/>
    </w:rPr>
  </w:style>
  <w:style w:type="character" w:customStyle="1" w:styleId="262">
    <w:name w:val="标题 5 Char1"/>
    <w:qFormat/>
    <w:uiPriority w:val="0"/>
    <w:rPr>
      <w:rFonts w:ascii="宋体" w:hAnsi="宋体" w:eastAsia="宋体" w:cs="宋体"/>
      <w:b/>
      <w:bCs/>
      <w:sz w:val="20"/>
      <w:szCs w:val="20"/>
    </w:rPr>
  </w:style>
  <w:style w:type="character" w:customStyle="1" w:styleId="263">
    <w:name w:val="明显强调2"/>
    <w:qFormat/>
    <w:uiPriority w:val="0"/>
    <w:rPr>
      <w:b/>
      <w:bCs/>
      <w:i/>
      <w:iCs/>
      <w:color w:val="4F81BD"/>
    </w:rPr>
  </w:style>
  <w:style w:type="character" w:customStyle="1" w:styleId="264">
    <w:name w:val="ht1"/>
    <w:qFormat/>
    <w:uiPriority w:val="0"/>
    <w:rPr>
      <w:rFonts w:ascii="黑体" w:eastAsia="黑体"/>
      <w:b/>
      <w:bCs/>
    </w:rPr>
  </w:style>
  <w:style w:type="character" w:customStyle="1" w:styleId="265">
    <w:name w:val="正文文本缩进 Char1"/>
    <w:qFormat/>
    <w:uiPriority w:val="0"/>
    <w:rPr>
      <w:kern w:val="2"/>
      <w:sz w:val="21"/>
      <w:szCs w:val="24"/>
    </w:rPr>
  </w:style>
  <w:style w:type="character" w:customStyle="1" w:styleId="266">
    <w:name w:val="脚注文本 Char1"/>
    <w:qFormat/>
    <w:uiPriority w:val="0"/>
    <w:rPr>
      <w:rFonts w:ascii="Arial" w:hAnsi="Arial" w:cs="Arial"/>
      <w:sz w:val="18"/>
      <w:szCs w:val="18"/>
      <w:lang w:eastAsia="en-US"/>
    </w:rPr>
  </w:style>
  <w:style w:type="character" w:customStyle="1" w:styleId="267">
    <w:name w:val="subhead1"/>
    <w:qFormat/>
    <w:uiPriority w:val="0"/>
    <w:rPr>
      <w:rFonts w:hint="default" w:ascii="Tahoma" w:hAnsi="Tahoma" w:cs="Tahoma"/>
      <w:color w:val="000000"/>
      <w:sz w:val="18"/>
      <w:szCs w:val="18"/>
      <w:u w:val="none"/>
      <w:shd w:val="clear" w:color="auto" w:fill="FFFFFF"/>
    </w:rPr>
  </w:style>
  <w:style w:type="character" w:customStyle="1" w:styleId="268">
    <w:name w:val="正文文本 Char1"/>
    <w:qFormat/>
    <w:uiPriority w:val="0"/>
    <w:rPr>
      <w:kern w:val="2"/>
      <w:sz w:val="21"/>
      <w:szCs w:val="22"/>
    </w:rPr>
  </w:style>
  <w:style w:type="character" w:customStyle="1" w:styleId="269">
    <w:name w:val="正文文本缩进 3 Char2"/>
    <w:semiHidden/>
    <w:qFormat/>
    <w:uiPriority w:val="99"/>
    <w:rPr>
      <w:rFonts w:ascii="Calibri" w:hAnsi="Calibri" w:eastAsia="宋体" w:cs="Times New Roman"/>
      <w:sz w:val="16"/>
      <w:szCs w:val="16"/>
    </w:rPr>
  </w:style>
  <w:style w:type="character" w:customStyle="1" w:styleId="270">
    <w:name w:val="标题 Char1"/>
    <w:qFormat/>
    <w:uiPriority w:val="10"/>
    <w:rPr>
      <w:szCs w:val="24"/>
      <w:u w:val="single"/>
      <w:lang w:eastAsia="en-US"/>
    </w:rPr>
  </w:style>
  <w:style w:type="character" w:customStyle="1" w:styleId="271">
    <w:name w:val="纯文本 Char2"/>
    <w:semiHidden/>
    <w:qFormat/>
    <w:uiPriority w:val="99"/>
    <w:rPr>
      <w:rFonts w:ascii="宋体" w:hAnsi="Courier New" w:eastAsia="宋体" w:cs="Courier New"/>
      <w:szCs w:val="21"/>
    </w:rPr>
  </w:style>
  <w:style w:type="character" w:customStyle="1" w:styleId="272">
    <w:name w:val="标题 2 Char1"/>
    <w:qFormat/>
    <w:uiPriority w:val="0"/>
    <w:rPr>
      <w:rFonts w:ascii="Cambria" w:hAnsi="Cambria" w:eastAsia="宋体" w:cs="Times New Roman"/>
      <w:b/>
      <w:bCs/>
      <w:kern w:val="2"/>
      <w:sz w:val="32"/>
      <w:szCs w:val="32"/>
    </w:rPr>
  </w:style>
  <w:style w:type="character" w:customStyle="1" w:styleId="273">
    <w:name w:val="Char Char17"/>
    <w:qFormat/>
    <w:uiPriority w:val="0"/>
    <w:rPr>
      <w:kern w:val="2"/>
      <w:sz w:val="26"/>
      <w:szCs w:val="24"/>
    </w:rPr>
  </w:style>
  <w:style w:type="paragraph" w:customStyle="1" w:styleId="274">
    <w:name w:val="Char Char Char"/>
    <w:basedOn w:val="1"/>
    <w:qFormat/>
    <w:uiPriority w:val="0"/>
    <w:rPr>
      <w:szCs w:val="24"/>
    </w:rPr>
  </w:style>
  <w:style w:type="paragraph" w:customStyle="1" w:styleId="275">
    <w:name w:val="样式1"/>
    <w:basedOn w:val="3"/>
    <w:qFormat/>
    <w:uiPriority w:val="0"/>
    <w:pPr>
      <w:keepNext/>
      <w:keepLines/>
      <w:snapToGrid/>
      <w:spacing w:before="340" w:after="330" w:line="340" w:lineRule="exact"/>
      <w:ind w:left="0" w:right="-20" w:firstLine="0"/>
    </w:pPr>
    <w:rPr>
      <w:rFonts w:ascii="宋体" w:hAnsi="宋体" w:eastAsia="仿宋_GB2312"/>
      <w:b/>
      <w:kern w:val="0"/>
      <w:sz w:val="32"/>
    </w:rPr>
  </w:style>
  <w:style w:type="paragraph" w:customStyle="1" w:styleId="276">
    <w:name w:val="TOC 标题2"/>
    <w:basedOn w:val="3"/>
    <w:next w:val="1"/>
    <w:unhideWhenUsed/>
    <w:qFormat/>
    <w:uiPriority w:val="0"/>
    <w:pPr>
      <w:keepNext/>
      <w:keepLines/>
      <w:autoSpaceDE/>
      <w:autoSpaceDN/>
      <w:adjustRightInd/>
      <w:snapToGrid/>
      <w:spacing w:before="340" w:after="330" w:line="578" w:lineRule="auto"/>
      <w:ind w:left="0" w:firstLine="0"/>
      <w:jc w:val="both"/>
      <w:outlineLvl w:val="9"/>
    </w:pPr>
    <w:rPr>
      <w:rFonts w:ascii="Calibri" w:hAnsi="Calibri" w:eastAsia="宋体"/>
      <w:b/>
      <w:bCs/>
      <w:kern w:val="44"/>
      <w:szCs w:val="44"/>
    </w:rPr>
  </w:style>
  <w:style w:type="paragraph" w:customStyle="1" w:styleId="277">
    <w:name w:val="Char Char Char Char Char Char Char"/>
    <w:basedOn w:val="1"/>
    <w:qFormat/>
    <w:uiPriority w:val="0"/>
  </w:style>
  <w:style w:type="paragraph" w:customStyle="1" w:styleId="278">
    <w:name w:val="列表段落1"/>
    <w:basedOn w:val="1"/>
    <w:qFormat/>
    <w:uiPriority w:val="99"/>
    <w:pPr>
      <w:ind w:firstLine="420" w:firstLineChars="200"/>
    </w:pPr>
    <w:rPr>
      <w:sz w:val="28"/>
    </w:rPr>
  </w:style>
  <w:style w:type="paragraph" w:customStyle="1" w:styleId="2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281">
    <w:name w:val="表格标题"/>
    <w:basedOn w:val="282"/>
    <w:qFormat/>
    <w:uiPriority w:val="0"/>
  </w:style>
  <w:style w:type="paragraph" w:customStyle="1" w:styleId="282">
    <w:name w:val="表格内容"/>
    <w:basedOn w:val="1"/>
    <w:qFormat/>
    <w:uiPriority w:val="0"/>
    <w:pPr>
      <w:suppressLineNumbers/>
      <w:suppressAutoHyphens/>
    </w:pPr>
    <w:rPr>
      <w:szCs w:val="24"/>
    </w:rPr>
  </w:style>
  <w:style w:type="paragraph" w:customStyle="1" w:styleId="283">
    <w:name w:val="Char Char1 Char Char Char Char Char Char Char"/>
    <w:basedOn w:val="1"/>
    <w:qFormat/>
    <w:uiPriority w:val="0"/>
    <w:pPr>
      <w:pageBreakBefore/>
    </w:pPr>
    <w:rPr>
      <w:rFonts w:ascii="宋体" w:eastAsia="仿宋_GB2312"/>
      <w:sz w:val="28"/>
    </w:rPr>
  </w:style>
  <w:style w:type="paragraph" w:customStyle="1" w:styleId="284">
    <w:name w:val="Char Char Char1 Char Char Char Char Char Char Char Char Char Char Char Char Char Char Char Char"/>
    <w:basedOn w:val="1"/>
    <w:qFormat/>
    <w:uiPriority w:val="0"/>
    <w:pPr>
      <w:snapToGrid w:val="0"/>
      <w:spacing w:line="360" w:lineRule="auto"/>
      <w:ind w:firstLine="200" w:firstLineChars="200"/>
    </w:pPr>
    <w:rPr>
      <w:szCs w:val="24"/>
    </w:rPr>
  </w:style>
  <w:style w:type="paragraph" w:customStyle="1" w:styleId="285">
    <w:name w:val="WW-表格内容"/>
    <w:basedOn w:val="1"/>
    <w:qFormat/>
    <w:uiPriority w:val="0"/>
    <w:pPr>
      <w:suppressLineNumbers/>
      <w:suppressAutoHyphens/>
    </w:pPr>
    <w:rPr>
      <w:szCs w:val="24"/>
    </w:rPr>
  </w:style>
  <w:style w:type="paragraph" w:customStyle="1" w:styleId="286">
    <w:name w:val="标准节"/>
    <w:basedOn w:val="147"/>
    <w:qFormat/>
    <w:uiPriority w:val="0"/>
    <w:pPr>
      <w:jc w:val="center"/>
    </w:pPr>
    <w:rPr>
      <w:sz w:val="30"/>
      <w:szCs w:val="32"/>
    </w:rPr>
  </w:style>
  <w:style w:type="paragraph" w:customStyle="1" w:styleId="287">
    <w:name w:val="正文格式"/>
    <w:qFormat/>
    <w:uiPriority w:val="0"/>
    <w:pPr>
      <w:widowControl w:val="0"/>
      <w:ind w:firstLine="420" w:firstLineChars="200"/>
      <w:jc w:val="both"/>
    </w:pPr>
    <w:rPr>
      <w:rFonts w:ascii="宋体" w:hAnsi="宋体" w:eastAsia="宋体" w:cs="Times New Roman"/>
      <w:bCs/>
      <w:snapToGrid w:val="0"/>
      <w:kern w:val="32"/>
      <w:sz w:val="21"/>
      <w:szCs w:val="21"/>
      <w:lang w:val="en-US" w:eastAsia="zh-CN" w:bidi="ar-SA"/>
    </w:rPr>
  </w:style>
  <w:style w:type="paragraph" w:customStyle="1" w:styleId="288">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8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9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91">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92">
    <w:name w:val="附件"/>
    <w:basedOn w:val="147"/>
    <w:qFormat/>
    <w:uiPriority w:val="0"/>
    <w:pPr>
      <w:spacing w:beforeLines="0" w:afterLines="0"/>
    </w:pPr>
    <w:rPr>
      <w:szCs w:val="28"/>
    </w:rPr>
  </w:style>
  <w:style w:type="paragraph" w:customStyle="1" w:styleId="293">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94">
    <w:name w:val="表格"/>
    <w:basedOn w:val="1"/>
    <w:next w:val="1"/>
    <w:qFormat/>
    <w:uiPriority w:val="0"/>
    <w:pPr>
      <w:autoSpaceDE w:val="0"/>
      <w:autoSpaceDN w:val="0"/>
      <w:snapToGrid w:val="0"/>
      <w:jc w:val="center"/>
    </w:pPr>
    <w:rPr>
      <w:rFonts w:ascii="宋体" w:hAnsi="宋体"/>
      <w:szCs w:val="21"/>
    </w:rPr>
  </w:style>
  <w:style w:type="paragraph" w:customStyle="1" w:styleId="295">
    <w:name w:val="TOC 标题1"/>
    <w:basedOn w:val="3"/>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296">
    <w:name w:val="Char Char Char Char Char Char Char Char Char Char"/>
    <w:basedOn w:val="13"/>
    <w:qFormat/>
    <w:uiPriority w:val="0"/>
    <w:pPr>
      <w:spacing w:line="360" w:lineRule="auto"/>
      <w:ind w:firstLine="200" w:firstLineChars="200"/>
    </w:pPr>
    <w:rPr>
      <w:rFonts w:ascii="Tahoma" w:hAnsi="Tahoma"/>
      <w:sz w:val="24"/>
      <w:szCs w:val="24"/>
    </w:rPr>
  </w:style>
  <w:style w:type="paragraph" w:customStyle="1" w:styleId="297">
    <w:name w:val="Char Char1 Char Char Char Char Char Char Char Char Char Char"/>
    <w:basedOn w:val="1"/>
    <w:qFormat/>
    <w:uiPriority w:val="0"/>
    <w:pPr>
      <w:autoSpaceDE w:val="0"/>
      <w:autoSpaceDN w:val="0"/>
      <w:adjustRightInd w:val="0"/>
      <w:ind w:firstLine="482"/>
    </w:pPr>
    <w:rPr>
      <w:rFonts w:ascii="Calibri" w:hAnsi="Calibri"/>
    </w:rPr>
  </w:style>
  <w:style w:type="paragraph" w:customStyle="1" w:styleId="298">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99">
    <w:name w:val="Char Char Char1"/>
    <w:basedOn w:val="1"/>
    <w:qFormat/>
    <w:uiPriority w:val="0"/>
  </w:style>
  <w:style w:type="paragraph" w:styleId="30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1">
    <w:name w:val="pa-27"/>
    <w:basedOn w:val="1"/>
    <w:qFormat/>
    <w:uiPriority w:val="0"/>
    <w:pPr>
      <w:widowControl/>
      <w:spacing w:line="360" w:lineRule="atLeast"/>
      <w:ind w:firstLine="420"/>
    </w:pPr>
    <w:rPr>
      <w:rFonts w:ascii="宋体" w:hAnsi="宋体" w:cs="宋体"/>
      <w:kern w:val="0"/>
      <w:sz w:val="24"/>
      <w:szCs w:val="24"/>
    </w:rPr>
  </w:style>
  <w:style w:type="paragraph" w:customStyle="1" w:styleId="302">
    <w:name w:val="Char Char1 Char Char"/>
    <w:basedOn w:val="13"/>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0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30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305">
    <w:name w:val="样式 标题 3 + (中文) 黑体 小四 非加粗 段前: 7.8 磅 段后: 0 磅 行距: 固定值 20 磅"/>
    <w:basedOn w:val="2"/>
    <w:next w:val="1"/>
    <w:qFormat/>
    <w:uiPriority w:val="0"/>
    <w:pPr>
      <w:keepNext/>
      <w:keepLines/>
      <w:autoSpaceDE/>
      <w:autoSpaceDN/>
      <w:adjustRightInd/>
      <w:spacing w:before="0" w:line="400" w:lineRule="exact"/>
      <w:jc w:val="both"/>
    </w:pPr>
    <w:rPr>
      <w:rFonts w:ascii="Times New Roman" w:eastAsia="黑体" w:cs="宋体"/>
      <w:b w:val="0"/>
      <w:kern w:val="2"/>
    </w:rPr>
  </w:style>
  <w:style w:type="paragraph" w:customStyle="1" w:styleId="30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07">
    <w:name w:val="Char3"/>
    <w:basedOn w:val="1"/>
    <w:qFormat/>
    <w:uiPriority w:val="0"/>
  </w:style>
  <w:style w:type="paragraph" w:customStyle="1" w:styleId="308">
    <w:name w:val="样式3"/>
    <w:basedOn w:val="2"/>
    <w:qFormat/>
    <w:uiPriority w:val="0"/>
    <w:pPr>
      <w:keepNext/>
      <w:keepLines/>
      <w:spacing w:before="0" w:line="360" w:lineRule="auto"/>
      <w:ind w:left="119" w:right="-23"/>
    </w:pPr>
    <w:rPr>
      <w:rFonts w:ascii="宋体" w:hAnsi="宋体"/>
    </w:rPr>
  </w:style>
  <w:style w:type="paragraph" w:customStyle="1" w:styleId="30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10">
    <w:name w:val="样式 标题 1 + 黑体 三号 非加粗 居中 段前: 6 磅 段后: 6 磅 行距: 固定值 20 磅"/>
    <w:basedOn w:val="3"/>
    <w:qFormat/>
    <w:uiPriority w:val="0"/>
    <w:pPr>
      <w:keepNext/>
      <w:keepLines/>
      <w:autoSpaceDE/>
      <w:autoSpaceDN/>
      <w:adjustRightInd/>
      <w:snapToGrid/>
      <w:spacing w:before="120" w:after="120" w:line="400" w:lineRule="exact"/>
      <w:ind w:left="0" w:firstLine="0"/>
    </w:pPr>
    <w:rPr>
      <w:rFonts w:ascii="黑体" w:hAnsi="黑体" w:cs="宋体"/>
      <w:kern w:val="44"/>
      <w:sz w:val="32"/>
    </w:rPr>
  </w:style>
  <w:style w:type="paragraph" w:customStyle="1" w:styleId="311">
    <w:name w:val="表格文字"/>
    <w:basedOn w:val="1"/>
    <w:qFormat/>
    <w:uiPriority w:val="0"/>
    <w:pPr>
      <w:adjustRightInd w:val="0"/>
      <w:spacing w:line="420" w:lineRule="atLeast"/>
      <w:jc w:val="left"/>
      <w:textAlignment w:val="baseline"/>
    </w:pPr>
    <w:rPr>
      <w:kern w:val="0"/>
    </w:rPr>
  </w:style>
  <w:style w:type="paragraph" w:customStyle="1" w:styleId="312">
    <w:name w:val="Char Char Char1 Char"/>
    <w:basedOn w:val="1"/>
    <w:qFormat/>
    <w:uiPriority w:val="0"/>
  </w:style>
  <w:style w:type="paragraph" w:customStyle="1" w:styleId="313">
    <w:name w:val="Char Char Char Char"/>
    <w:basedOn w:val="13"/>
    <w:qFormat/>
    <w:uiPriority w:val="0"/>
    <w:pPr>
      <w:spacing w:line="360" w:lineRule="auto"/>
      <w:ind w:firstLine="200" w:firstLineChars="200"/>
    </w:pPr>
    <w:rPr>
      <w:rFonts w:ascii="Tahoma" w:hAnsi="Tahoma"/>
      <w:sz w:val="24"/>
      <w:szCs w:val="24"/>
    </w:rPr>
  </w:style>
  <w:style w:type="paragraph" w:customStyle="1" w:styleId="314">
    <w:name w:val="Char1"/>
    <w:basedOn w:val="1"/>
    <w:qFormat/>
    <w:uiPriority w:val="0"/>
    <w:rPr>
      <w:szCs w:val="24"/>
    </w:rPr>
  </w:style>
  <w:style w:type="paragraph" w:customStyle="1" w:styleId="315">
    <w:name w:val="表体"/>
    <w:basedOn w:val="1"/>
    <w:next w:val="1"/>
    <w:qFormat/>
    <w:uiPriority w:val="0"/>
    <w:pPr>
      <w:spacing w:line="0" w:lineRule="atLeast"/>
    </w:pPr>
    <w:rPr>
      <w:rFonts w:ascii="Calibri" w:hAnsi="Calibri"/>
      <w:b/>
      <w:snapToGrid w:val="0"/>
    </w:rPr>
  </w:style>
  <w:style w:type="paragraph" w:customStyle="1" w:styleId="316">
    <w:name w:val="xl65"/>
    <w:basedOn w:val="1"/>
    <w:qFormat/>
    <w:uiPriority w:val="0"/>
    <w:pPr>
      <w:widowControl/>
      <w:spacing w:before="100" w:beforeAutospacing="1" w:after="100" w:afterAutospacing="1"/>
      <w:jc w:val="center"/>
    </w:pPr>
    <w:rPr>
      <w:rFonts w:ascii="黑体" w:hAnsi="宋体" w:eastAsia="黑体"/>
      <w:b/>
      <w:kern w:val="0"/>
      <w:sz w:val="36"/>
    </w:rPr>
  </w:style>
  <w:style w:type="paragraph" w:customStyle="1" w:styleId="317">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19">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_Style 52"/>
    <w:basedOn w:val="1"/>
    <w:qFormat/>
    <w:uiPriority w:val="0"/>
    <w:rPr>
      <w:szCs w:val="24"/>
    </w:rPr>
  </w:style>
  <w:style w:type="paragraph" w:customStyle="1" w:styleId="321">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标准样式1"/>
    <w:basedOn w:val="1"/>
    <w:qFormat/>
    <w:uiPriority w:val="0"/>
    <w:pPr>
      <w:spacing w:line="600" w:lineRule="exact"/>
      <w:ind w:firstLine="567"/>
    </w:pPr>
    <w:rPr>
      <w:rFonts w:ascii="Calibri" w:hAnsi="Calibri"/>
      <w:sz w:val="28"/>
      <w:szCs w:val="24"/>
    </w:rPr>
  </w:style>
  <w:style w:type="paragraph" w:customStyle="1" w:styleId="323">
    <w:name w:val="_Style 105"/>
    <w:basedOn w:val="3"/>
    <w:next w:val="1"/>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24">
    <w:name w:val="_Style 87"/>
    <w:basedOn w:val="1"/>
    <w:qFormat/>
    <w:uiPriority w:val="99"/>
    <w:pPr>
      <w:ind w:firstLine="420" w:firstLineChars="200"/>
    </w:pPr>
    <w:rPr>
      <w:rFonts w:ascii="Calibri" w:hAnsi="Calibri"/>
      <w:sz w:val="28"/>
      <w:szCs w:val="28"/>
    </w:rPr>
  </w:style>
  <w:style w:type="paragraph" w:customStyle="1" w:styleId="325">
    <w:name w:val="样式 标题 2 + Times New Roman 四号 非加粗 段前: 5 磅 段后: 0 磅 行距: 固定值 20..."/>
    <w:basedOn w:val="4"/>
    <w:qFormat/>
    <w:uiPriority w:val="0"/>
    <w:pPr>
      <w:keepNext/>
      <w:keepLines/>
      <w:autoSpaceDE/>
      <w:autoSpaceDN/>
      <w:adjustRightInd/>
      <w:snapToGrid/>
      <w:spacing w:before="100" w:line="400" w:lineRule="exact"/>
      <w:jc w:val="both"/>
    </w:pPr>
    <w:rPr>
      <w:rFonts w:ascii="Times New Roman" w:eastAsia="黑体" w:cs="宋体"/>
      <w:b w:val="0"/>
      <w:spacing w:val="0"/>
      <w:w w:val="100"/>
      <w:kern w:val="2"/>
    </w:rPr>
  </w:style>
  <w:style w:type="paragraph" w:customStyle="1" w:styleId="326">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2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29">
    <w:name w:val="Char2"/>
    <w:basedOn w:val="1"/>
    <w:qFormat/>
    <w:uiPriority w:val="0"/>
    <w:rPr>
      <w:rFonts w:ascii="Calibri" w:hAnsi="Calibri"/>
      <w:szCs w:val="24"/>
    </w:rPr>
  </w:style>
  <w:style w:type="paragraph" w:customStyle="1" w:styleId="330">
    <w:name w:val="Char Char Char Char Char Char"/>
    <w:basedOn w:val="1"/>
    <w:qFormat/>
    <w:uiPriority w:val="0"/>
  </w:style>
  <w:style w:type="paragraph" w:customStyle="1" w:styleId="331">
    <w:name w:val="目录"/>
    <w:basedOn w:val="1"/>
    <w:qFormat/>
    <w:uiPriority w:val="0"/>
    <w:pPr>
      <w:widowControl/>
      <w:jc w:val="center"/>
    </w:pPr>
    <w:rPr>
      <w:rFonts w:ascii="宋体"/>
      <w:b/>
      <w:kern w:val="0"/>
      <w:sz w:val="36"/>
    </w:rPr>
  </w:style>
  <w:style w:type="paragraph" w:customStyle="1" w:styleId="332">
    <w:name w:val="样式15"/>
    <w:basedOn w:val="2"/>
    <w:qFormat/>
    <w:uiPriority w:val="0"/>
    <w:pPr>
      <w:tabs>
        <w:tab w:val="left" w:pos="0"/>
        <w:tab w:val="left" w:pos="210"/>
        <w:tab w:val="left" w:pos="420"/>
        <w:tab w:val="left" w:pos="1260"/>
      </w:tabs>
      <w:autoSpaceDE/>
      <w:autoSpaceDN/>
      <w:spacing w:before="0"/>
    </w:pPr>
    <w:rPr>
      <w:rFonts w:hAnsi="Calibri"/>
      <w:kern w:val="2"/>
      <w:sz w:val="32"/>
      <w:szCs w:val="24"/>
    </w:rPr>
  </w:style>
  <w:style w:type="paragraph" w:customStyle="1" w:styleId="333">
    <w:name w:val="1"/>
    <w:basedOn w:val="1"/>
    <w:next w:val="1"/>
    <w:qFormat/>
    <w:uiPriority w:val="0"/>
    <w:rPr>
      <w:szCs w:val="24"/>
    </w:rPr>
  </w:style>
  <w:style w:type="paragraph" w:customStyle="1" w:styleId="334">
    <w:name w:val="修订1"/>
    <w:qFormat/>
    <w:uiPriority w:val="0"/>
    <w:rPr>
      <w:rFonts w:ascii="Times New Roman" w:hAnsi="Times New Roman" w:eastAsia="宋体" w:cs="Times New Roman"/>
      <w:kern w:val="2"/>
      <w:sz w:val="21"/>
      <w:lang w:val="en-US" w:eastAsia="zh-CN" w:bidi="ar-SA"/>
    </w:rPr>
  </w:style>
  <w:style w:type="paragraph" w:customStyle="1" w:styleId="335">
    <w:name w:val="样式 标题 1 + (西文) 宋体 非加粗 黑色 两端对齐 左侧:  0 厘米 首行缩进:  0.89 厘米"/>
    <w:basedOn w:val="3"/>
    <w:qFormat/>
    <w:uiPriority w:val="0"/>
    <w:pPr>
      <w:keepNext/>
      <w:tabs>
        <w:tab w:val="left" w:pos="1140"/>
      </w:tabs>
      <w:autoSpaceDE/>
      <w:autoSpaceDN/>
      <w:ind w:left="1140" w:hanging="720"/>
      <w:textAlignment w:val="baseline"/>
    </w:pPr>
    <w:rPr>
      <w:rFonts w:ascii="宋体" w:hAnsi="宋体"/>
      <w:b/>
      <w:color w:val="000000"/>
      <w:kern w:val="0"/>
      <w:sz w:val="30"/>
    </w:rPr>
  </w:style>
  <w:style w:type="paragraph" w:customStyle="1" w:styleId="336">
    <w:name w:val="样式 招标正文 + 首行缩进:  1.5 字符"/>
    <w:basedOn w:val="113"/>
    <w:qFormat/>
    <w:uiPriority w:val="0"/>
    <w:pPr>
      <w:ind w:firstLine="0" w:firstLineChars="0"/>
      <w:jc w:val="center"/>
    </w:pPr>
    <w:rPr>
      <w:rFonts w:cs="宋体"/>
      <w:szCs w:val="20"/>
    </w:rPr>
  </w:style>
  <w:style w:type="paragraph" w:customStyle="1" w:styleId="337">
    <w:name w:val="Char Char Char Char Char Char Char Char Char Char Char Char Char Char Char Char"/>
    <w:basedOn w:val="13"/>
    <w:qFormat/>
    <w:uiPriority w:val="0"/>
    <w:pPr>
      <w:spacing w:line="360" w:lineRule="auto"/>
      <w:ind w:firstLine="200" w:firstLineChars="200"/>
    </w:pPr>
    <w:rPr>
      <w:rFonts w:ascii="Tahoma" w:hAnsi="Tahoma"/>
      <w:sz w:val="24"/>
      <w:szCs w:val="24"/>
    </w:rPr>
  </w:style>
  <w:style w:type="paragraph" w:customStyle="1" w:styleId="338">
    <w:name w:val="样式2"/>
    <w:basedOn w:val="4"/>
    <w:qFormat/>
    <w:uiPriority w:val="0"/>
    <w:pPr>
      <w:keepNext/>
      <w:keepLines/>
      <w:snapToGrid/>
      <w:spacing w:before="260" w:after="260" w:line="300" w:lineRule="exact"/>
      <w:ind w:left="220" w:right="-20"/>
      <w:jc w:val="center"/>
    </w:pPr>
    <w:rPr>
      <w:rFonts w:ascii="宋体" w:hAnsi="宋体"/>
      <w:spacing w:val="0"/>
    </w:rPr>
  </w:style>
  <w:style w:type="paragraph" w:customStyle="1" w:styleId="339">
    <w:name w:val="Char9 Char Char Char Char Char Char"/>
    <w:basedOn w:val="13"/>
    <w:qFormat/>
    <w:uiPriority w:val="0"/>
    <w:pPr>
      <w:spacing w:line="360" w:lineRule="auto"/>
      <w:ind w:firstLine="200" w:firstLineChars="200"/>
    </w:pPr>
    <w:rPr>
      <w:rFonts w:ascii="Tahoma" w:hAnsi="Tahoma"/>
      <w:sz w:val="24"/>
      <w:szCs w:val="24"/>
    </w:rPr>
  </w:style>
  <w:style w:type="paragraph" w:customStyle="1" w:styleId="340">
    <w:name w:val="标题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1">
    <w:name w:val="列出段落1"/>
    <w:basedOn w:val="1"/>
    <w:qFormat/>
    <w:uiPriority w:val="0"/>
    <w:pPr>
      <w:ind w:firstLine="420" w:firstLineChars="200"/>
    </w:pPr>
    <w:rPr>
      <w:sz w:val="28"/>
      <w:szCs w:val="28"/>
    </w:rPr>
  </w:style>
  <w:style w:type="paragraph" w:customStyle="1" w:styleId="342">
    <w:name w:val="修订11"/>
    <w:qFormat/>
    <w:uiPriority w:val="0"/>
    <w:rPr>
      <w:rFonts w:ascii="Times New Roman" w:hAnsi="Times New Roman" w:eastAsia="宋体" w:cs="Times New Roman"/>
      <w:kern w:val="2"/>
      <w:sz w:val="21"/>
      <w:szCs w:val="24"/>
      <w:lang w:val="en-US" w:eastAsia="zh-CN" w:bidi="ar-SA"/>
    </w:rPr>
  </w:style>
  <w:style w:type="paragraph" w:customStyle="1" w:styleId="343">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44">
    <w:name w:val="列出段落11"/>
    <w:basedOn w:val="1"/>
    <w:qFormat/>
    <w:uiPriority w:val="0"/>
    <w:pPr>
      <w:ind w:firstLine="420" w:firstLineChars="200"/>
    </w:pPr>
    <w:rPr>
      <w:sz w:val="28"/>
      <w:szCs w:val="28"/>
    </w:rPr>
  </w:style>
  <w:style w:type="paragraph" w:customStyle="1" w:styleId="345">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46">
    <w:name w:val="TOC 标题11"/>
    <w:basedOn w:val="3"/>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4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48">
    <w:name w:val="WW-表格标题"/>
    <w:basedOn w:val="285"/>
    <w:qFormat/>
    <w:uiPriority w:val="0"/>
  </w:style>
  <w:style w:type="paragraph" w:customStyle="1" w:styleId="349">
    <w:name w:val="Char Char"/>
    <w:basedOn w:val="1"/>
    <w:qFormat/>
    <w:uiPriority w:val="0"/>
    <w:pPr>
      <w:widowControl/>
      <w:jc w:val="left"/>
    </w:pPr>
    <w:rPr>
      <w:rFonts w:ascii="Verdana" w:hAnsi="Verdana" w:eastAsia="Times New Roman"/>
      <w:kern w:val="0"/>
      <w:sz w:val="16"/>
      <w:lang w:eastAsia="en-US"/>
    </w:rPr>
  </w:style>
  <w:style w:type="paragraph" w:customStyle="1" w:styleId="350">
    <w:name w:val="自定样式1"/>
    <w:basedOn w:val="1"/>
    <w:qFormat/>
    <w:uiPriority w:val="0"/>
    <w:pPr>
      <w:suppressAutoHyphens/>
      <w:jc w:val="center"/>
    </w:pPr>
    <w:rPr>
      <w:rFonts w:ascii="宋体" w:hAnsi="宋体"/>
      <w:color w:val="000000"/>
      <w:sz w:val="18"/>
      <w:szCs w:val="24"/>
    </w:rPr>
  </w:style>
  <w:style w:type="paragraph" w:customStyle="1" w:styleId="351">
    <w:name w:val="TOC 标题3"/>
    <w:basedOn w:val="3"/>
    <w:next w:val="1"/>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color w:val="365F91"/>
      <w:kern w:val="0"/>
      <w:sz w:val="28"/>
    </w:rPr>
  </w:style>
  <w:style w:type="paragraph" w:customStyle="1" w:styleId="35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353">
    <w:name w:val="_Style 96"/>
    <w:semiHidden/>
    <w:qFormat/>
    <w:uiPriority w:val="99"/>
    <w:rPr>
      <w:rFonts w:ascii="Calibri" w:hAnsi="Calibri" w:eastAsia="宋体" w:cs="Times New Roman"/>
      <w:kern w:val="2"/>
      <w:sz w:val="21"/>
      <w:szCs w:val="24"/>
      <w:lang w:val="en-US" w:eastAsia="zh-CN" w:bidi="ar-SA"/>
    </w:rPr>
  </w:style>
  <w:style w:type="paragraph" w:customStyle="1" w:styleId="35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6">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7">
    <w:name w:val="Char Char Char Char Char Char1"/>
    <w:basedOn w:val="1"/>
    <w:qFormat/>
    <w:uiPriority w:val="0"/>
    <w:rPr>
      <w:szCs w:val="24"/>
    </w:rPr>
  </w:style>
  <w:style w:type="paragraph" w:customStyle="1" w:styleId="35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9">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60">
    <w:name w:val="p15"/>
    <w:basedOn w:val="1"/>
    <w:qFormat/>
    <w:uiPriority w:val="0"/>
    <w:pPr>
      <w:widowControl/>
      <w:spacing w:after="120"/>
    </w:pPr>
    <w:rPr>
      <w:kern w:val="0"/>
      <w:szCs w:val="21"/>
    </w:rPr>
  </w:style>
  <w:style w:type="paragraph" w:customStyle="1" w:styleId="361">
    <w:name w:val="1 Char"/>
    <w:basedOn w:val="1"/>
    <w:qFormat/>
    <w:uiPriority w:val="0"/>
    <w:pPr>
      <w:widowControl/>
      <w:spacing w:after="160" w:line="240" w:lineRule="exact"/>
      <w:jc w:val="left"/>
    </w:pPr>
    <w:rPr>
      <w:rFonts w:ascii="Calibri" w:hAnsi="Calibri"/>
    </w:rPr>
  </w:style>
  <w:style w:type="paragraph" w:customStyle="1" w:styleId="362">
    <w:name w:val="标准正文"/>
    <w:basedOn w:val="1"/>
    <w:qFormat/>
    <w:uiPriority w:val="0"/>
    <w:pPr>
      <w:tabs>
        <w:tab w:val="left" w:pos="900"/>
        <w:tab w:val="left" w:pos="1620"/>
      </w:tabs>
      <w:spacing w:line="300" w:lineRule="auto"/>
      <w:ind w:firstLine="538"/>
    </w:pPr>
    <w:rPr>
      <w:rFonts w:ascii="仿宋_GB2312" w:hAnsi="宋体" w:eastAsia="仿宋_GB2312"/>
      <w:kern w:val="0"/>
      <w:sz w:val="24"/>
    </w:rPr>
  </w:style>
  <w:style w:type="paragraph" w:customStyle="1" w:styleId="363">
    <w:name w:val="表头"/>
    <w:basedOn w:val="1"/>
    <w:qFormat/>
    <w:uiPriority w:val="0"/>
    <w:pPr>
      <w:snapToGrid w:val="0"/>
      <w:spacing w:line="360" w:lineRule="exact"/>
    </w:pPr>
    <w:rPr>
      <w:rFonts w:ascii="仿宋_GB2312" w:eastAsia="仿宋_GB2312"/>
      <w:bCs/>
      <w:kern w:val="0"/>
      <w:sz w:val="24"/>
    </w:rPr>
  </w:style>
  <w:style w:type="paragraph" w:customStyle="1" w:styleId="364">
    <w:name w:val="列表段落11"/>
    <w:basedOn w:val="1"/>
    <w:qFormat/>
    <w:uiPriority w:val="34"/>
    <w:pPr>
      <w:ind w:firstLine="420" w:firstLineChars="200"/>
    </w:pPr>
    <w:rPr>
      <w:rFonts w:ascii="Calibri" w:hAnsi="Calibri"/>
      <w:szCs w:val="24"/>
    </w:rPr>
  </w:style>
  <w:style w:type="paragraph" w:customStyle="1" w:styleId="365">
    <w:name w:val="正  文"/>
    <w:basedOn w:val="1"/>
    <w:qFormat/>
    <w:uiPriority w:val="0"/>
    <w:pPr>
      <w:spacing w:line="360" w:lineRule="auto"/>
      <w:ind w:firstLine="200" w:firstLineChars="200"/>
    </w:pPr>
    <w:rPr>
      <w:rFonts w:ascii="宋体" w:hAnsi="Calibri"/>
      <w:sz w:val="24"/>
      <w:szCs w:val="24"/>
    </w:rPr>
  </w:style>
  <w:style w:type="paragraph" w:customStyle="1" w:styleId="366">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67">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6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9">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7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71">
    <w:name w:val="p16"/>
    <w:basedOn w:val="1"/>
    <w:qFormat/>
    <w:uiPriority w:val="0"/>
    <w:pPr>
      <w:widowControl/>
    </w:pPr>
    <w:rPr>
      <w:rFonts w:ascii="Calibri" w:hAnsi="Calibri" w:cs="宋体"/>
      <w:kern w:val="0"/>
      <w:szCs w:val="21"/>
    </w:rPr>
  </w:style>
  <w:style w:type="paragraph" w:customStyle="1" w:styleId="372">
    <w:name w:val="图例"/>
    <w:basedOn w:val="1"/>
    <w:qFormat/>
    <w:uiPriority w:val="0"/>
    <w:pPr>
      <w:spacing w:before="120" w:after="120" w:line="360" w:lineRule="auto"/>
      <w:jc w:val="center"/>
    </w:pPr>
    <w:rPr>
      <w:rFonts w:eastAsia="仿宋_GB2312"/>
      <w:b/>
      <w:sz w:val="24"/>
    </w:rPr>
  </w:style>
  <w:style w:type="character" w:customStyle="1" w:styleId="373">
    <w:name w:val="font11"/>
    <w:basedOn w:val="45"/>
    <w:qFormat/>
    <w:uiPriority w:val="0"/>
    <w:rPr>
      <w:rFonts w:hint="eastAsia" w:ascii="宋体" w:hAnsi="宋体" w:eastAsia="宋体" w:cs="宋体"/>
      <w:color w:val="000000"/>
      <w:sz w:val="21"/>
      <w:szCs w:val="21"/>
      <w:u w:val="none"/>
    </w:rPr>
  </w:style>
  <w:style w:type="character" w:customStyle="1" w:styleId="374">
    <w:name w:val="font81"/>
    <w:basedOn w:val="45"/>
    <w:qFormat/>
    <w:uiPriority w:val="0"/>
    <w:rPr>
      <w:rFonts w:hint="eastAsia" w:ascii="宋体" w:hAnsi="宋体" w:eastAsia="宋体" w:cs="宋体"/>
      <w:color w:val="000000"/>
      <w:sz w:val="21"/>
      <w:szCs w:val="21"/>
      <w:u w:val="none"/>
    </w:rPr>
  </w:style>
  <w:style w:type="character" w:customStyle="1" w:styleId="375">
    <w:name w:val="font41"/>
    <w:basedOn w:val="45"/>
    <w:qFormat/>
    <w:uiPriority w:val="0"/>
    <w:rPr>
      <w:rFonts w:hint="default" w:ascii="Times New Roman" w:hAnsi="Times New Roman" w:cs="Times New Roman"/>
      <w:color w:val="000000"/>
      <w:sz w:val="21"/>
      <w:szCs w:val="21"/>
      <w:u w:val="none"/>
    </w:rPr>
  </w:style>
  <w:style w:type="paragraph" w:customStyle="1" w:styleId="376">
    <w:name w:val="_Style 6"/>
    <w:basedOn w:val="3"/>
    <w:next w:val="1"/>
    <w:qFormat/>
    <w:uiPriority w:val="0"/>
    <w:pPr>
      <w:outlineLvl w:val="9"/>
    </w:pPr>
  </w:style>
  <w:style w:type="character" w:customStyle="1" w:styleId="377">
    <w:name w:val="font71"/>
    <w:basedOn w:val="45"/>
    <w:qFormat/>
    <w:uiPriority w:val="0"/>
    <w:rPr>
      <w:rFonts w:hint="eastAsia" w:ascii="宋体" w:hAnsi="宋体" w:eastAsia="宋体" w:cs="宋体"/>
      <w:color w:val="000000"/>
      <w:sz w:val="21"/>
      <w:szCs w:val="21"/>
      <w:u w:val="none"/>
    </w:rPr>
  </w:style>
  <w:style w:type="paragraph" w:customStyle="1" w:styleId="378">
    <w:name w:val="标书正文1"/>
    <w:basedOn w:val="1"/>
    <w:qFormat/>
    <w:uiPriority w:val="0"/>
    <w:pPr>
      <w:spacing w:line="520" w:lineRule="exact"/>
      <w:ind w:firstLine="640" w:firstLineChars="200"/>
    </w:pPr>
  </w:style>
  <w:style w:type="paragraph" w:customStyle="1" w:styleId="379">
    <w:name w:val="Table Paragraph"/>
    <w:basedOn w:val="1"/>
    <w:qFormat/>
    <w:uiPriority w:val="0"/>
    <w:pPr>
      <w:autoSpaceDE w:val="0"/>
      <w:autoSpaceDN w:val="0"/>
      <w:adjustRightInd w:val="0"/>
      <w:jc w:val="left"/>
    </w:pPr>
    <w:rPr>
      <w:kern w:val="0"/>
      <w:sz w:val="24"/>
    </w:rPr>
  </w:style>
  <w:style w:type="character" w:customStyle="1" w:styleId="380">
    <w:name w:val="NormalCharacter"/>
    <w:qFormat/>
    <w:uiPriority w:val="0"/>
    <w:rPr>
      <w:rFonts w:ascii="Times New Roman" w:hAnsi="Times New Roman" w:eastAsia="宋体" w:cs="Times New Roman"/>
      <w:kern w:val="2"/>
      <w:sz w:val="21"/>
      <w:lang w:val="en-US" w:eastAsia="zh-CN" w:bidi="ar-SA"/>
    </w:rPr>
  </w:style>
  <w:style w:type="paragraph" w:customStyle="1" w:styleId="381">
    <w:name w:val="x."/>
    <w:basedOn w:val="1"/>
    <w:qFormat/>
    <w:uiPriority w:val="0"/>
    <w:pPr>
      <w:spacing w:before="120" w:beforeLines="50" w:line="360" w:lineRule="auto"/>
      <w:jc w:val="left"/>
      <w:outlineLvl w:val="1"/>
    </w:pPr>
    <w:rPr>
      <w:rFonts w:ascii="宋体" w:hAnsi="宋体"/>
      <w:b/>
      <w:snapToGrid/>
      <w:w w:val="99"/>
      <w:sz w:val="24"/>
    </w:rPr>
  </w:style>
  <w:style w:type="paragraph" w:customStyle="1" w:styleId="382">
    <w:name w:val="招标文件正文"/>
    <w:basedOn w:val="1"/>
    <w:qFormat/>
    <w:uiPriority w:val="0"/>
    <w:pPr>
      <w:spacing w:line="360" w:lineRule="auto"/>
      <w:ind w:firstLine="200" w:firstLineChars="2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31</Pages>
  <Words>1711</Words>
  <Characters>1965</Characters>
  <Lines>789</Lines>
  <Paragraphs>222</Paragraphs>
  <TotalTime>36</TotalTime>
  <ScaleCrop>false</ScaleCrop>
  <LinksUpToDate>false</LinksUpToDate>
  <CharactersWithSpaces>2171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2022-09-22T01:21:00Z</dcterms:created>
  <dc:creator>张德和</dc:creator>
  <cp:lastModifiedBy>guest</cp:lastModifiedBy>
  <cp:lastPrinted>2023-07-08T00:31:00Z</cp:lastPrinted>
  <dcterms:modified xsi:type="dcterms:W3CDTF">2026-01-05T16:03:55Z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B02224FB1ABAA564A5B93F69C83464FD_43</vt:lpwstr>
  </property>
  <property fmtid="{D5CDD505-2E9C-101B-9397-08002B2CF9AE}" pid="4" name="KSOTemplateDocerSaveRecord">
    <vt:lpwstr>eyJoZGlkIjoiYzdlZDkxNmU2OTg3NGRiMTk4NDAxZDg5NDc5MTRjNmYiLCJ1c2VySWQiOiIxMzU2OTQyNjQ0In0=</vt:lpwstr>
  </property>
</Properties>
</file>