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eastAsia" w:ascii="方正小标宋_GBK" w:hAnsi="方正小标宋_GBK" w:eastAsia="方正小标宋_GBK" w:cs="方正小标宋_GBK"/>
          <w:sz w:val="36"/>
          <w:szCs w:val="36"/>
          <w:lang w:eastAsia="zh-CN"/>
        </w:rPr>
      </w:pPr>
      <w:r>
        <w:rPr>
          <w:rFonts w:ascii="方正小标宋_GBK" w:hAnsi="方正小标宋_GBK" w:eastAsia="方正小标宋_GBK" w:cs="方正小标宋_GBK"/>
          <w:sz w:val="36"/>
          <w:szCs w:val="36"/>
        </w:rPr>
        <w:t>重庆市大足区回龙镇人民政府</w:t>
      </w:r>
      <w:r>
        <w:rPr>
          <w:rFonts w:hint="eastAsia" w:ascii="方正小标宋_GBK" w:hAnsi="方正小标宋_GBK" w:eastAsia="方正小标宋_GBK" w:cs="方正小标宋_GBK"/>
          <w:sz w:val="36"/>
          <w:szCs w:val="36"/>
          <w:lang w:eastAsia="zh-CN"/>
        </w:rPr>
        <w:t>（本级）</w:t>
      </w:r>
    </w:p>
    <w:p>
      <w:pPr>
        <w:pStyle w:val="6"/>
        <w:spacing w:before="0" w:beforeAutospacing="0"/>
        <w:jc w:val="center"/>
        <w:rPr>
          <w:rFonts w:hint="default" w:ascii="方正小标宋_GBK" w:hAnsi="方正小标宋_GBK" w:eastAsia="方正小标宋_GBK" w:cs="方正小标宋_GBK"/>
          <w:color w:val="auto"/>
          <w:sz w:val="36"/>
          <w:szCs w:val="36"/>
          <w:shd w:val="clear" w:color="auto" w:fill="FFFFFF"/>
        </w:rPr>
      </w:pPr>
      <w:r>
        <w:rPr>
          <w:rFonts w:ascii="方正小标宋_GBK" w:hAnsi="方正小标宋_GBK" w:eastAsia="方正小标宋_GBK" w:cs="方正小标宋_GBK"/>
          <w:color w:val="auto"/>
          <w:sz w:val="36"/>
          <w:szCs w:val="36"/>
          <w:shd w:val="clear" w:color="auto" w:fill="FFFFFF"/>
        </w:rPr>
        <w:t>2023年度决算公开说明</w:t>
      </w:r>
    </w:p>
    <w:p>
      <w:pPr>
        <w:pStyle w:val="6"/>
        <w:shd w:val="clear" w:color="auto" w:fill="FFFFFF"/>
        <w:rPr>
          <w:rFonts w:hint="default" w:ascii="黑体" w:hAnsi="黑体" w:eastAsia="黑体" w:cs="黑体"/>
          <w:color w:val="auto"/>
          <w:sz w:val="32"/>
          <w:szCs w:val="32"/>
        </w:rPr>
      </w:pPr>
      <w:r>
        <w:rPr>
          <w:rStyle w:val="10"/>
          <w:rFonts w:ascii="黑体" w:hAnsi="黑体" w:eastAsia="黑体" w:cs="黑体"/>
          <w:color w:val="auto"/>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color w:val="auto"/>
          <w:sz w:val="32"/>
          <w:szCs w:val="32"/>
        </w:rPr>
      </w:pPr>
      <w:r>
        <w:rPr>
          <w:rStyle w:val="10"/>
          <w:rFonts w:ascii="楷体" w:hAnsi="楷体" w:eastAsia="楷体" w:cs="楷体"/>
          <w:color w:val="auto"/>
          <w:sz w:val="32"/>
          <w:szCs w:val="32"/>
          <w:shd w:val="clear" w:color="auto" w:fill="FFFFFF"/>
        </w:rPr>
        <w:t>（一）职能职责</w:t>
      </w:r>
      <w:bookmarkStart w:id="0" w:name="_GoBack"/>
      <w:bookmarkEnd w:id="0"/>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1、负责纪检监察、机要保密、宣传、精神文明建设、督查督办、目标管理、网络安全与信息化、统战、法制、武装、机构编制、人事、民宗侨台以及综合协调、文秘等工作；负责管理公共服务中心，指导村便民服务中心工作；负责承办政协有关具体工作。</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2、负责经济发展规划、农村经营管理、经济社会统计、科学技术、商贸流通、扶贫开发、产业发展、产业扶贫、招商引资、农产品质量安全监督管理等工作；负责协调水、电、气、通信等工作。</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3、负责民政、教育、卫生健康、计生、老龄事业发展、文化旅游、体育、社会救助、残疾人事业、劳动就业、社会保障等管理工作；负责退役军人事务、拥军优属等管理工作；负责物业管理工作。</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4、负责信访、人民调解、社会治安综合治理、防范和处理邪教等工作。</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5、负责规划建设、市政公用、市容环卫、生态环境保护、交通建设等工作。</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6、负责财政收支、预决算、总会计、惠农资金兑付、财政资金监督检查、绩效评价、村级财务管理等工作。</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7、负责安全生产综合监管、应急管理等工作；负责消防、森林防火、抗洪抢险、地震和地质灾害救援、生产安全事故救援等工作；协助开展煤矿、非煤矿山、危险化学品、烟花爆竹等安全生产日常监督工作。</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8、负责基层党的建设工作及工会、共青团、妇联等群团工作。</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9、负责本级人大主席团日常工作，承办人大信访、组织协调人大代表活动、联系人大代表、人民代表大会召开的协调筹备等工作，督促办理人大代表提出的建议、批评和意见等工作。</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10、负责集中行使本级人民政府经法律法规授权或依法受委托的农林水利、规划建设、生态环境保护、卫生健康、文化旅游、民政管理、交通、消防等领域的行政法权；负责本级人民政府经法律法规授权或依法受委托其他行政领域的安全生产监管执法工作。</w:t>
      </w:r>
    </w:p>
    <w:p>
      <w:pPr>
        <w:pStyle w:val="6"/>
        <w:shd w:val="clear" w:color="auto" w:fill="FFFFFF"/>
        <w:ind w:firstLine="420"/>
        <w:rPr>
          <w:rFonts w:hint="default" w:ascii="楷体" w:hAnsi="楷体" w:eastAsia="楷体" w:cs="楷体"/>
          <w:color w:val="auto"/>
          <w:sz w:val="32"/>
          <w:szCs w:val="32"/>
        </w:rPr>
      </w:pPr>
      <w:r>
        <w:rPr>
          <w:rStyle w:val="10"/>
          <w:rFonts w:ascii="楷体" w:hAnsi="楷体" w:eastAsia="楷体" w:cs="楷体"/>
          <w:color w:val="auto"/>
          <w:sz w:val="32"/>
          <w:szCs w:val="32"/>
          <w:shd w:val="clear" w:color="auto" w:fill="FFFFFF"/>
        </w:rPr>
        <w:t>（二）机构设置</w:t>
      </w:r>
    </w:p>
    <w:p>
      <w:pPr>
        <w:pStyle w:val="6"/>
        <w:shd w:val="clear" w:color="auto" w:fill="FFFFFF"/>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重庆市大足区回龙镇人民政府下设综合办事机构10个，事业单位7个。分别是：党政办公室、经济发展办公室、民政和社会事务办公室、平安建设办公室、规划建设管理环保办公室、财政办公室、应急管理办公室、党群工作办公室、人大办公室、综合行政执法办公室、农业服务中心、文化服务中心、劳动就业和社会保障服务所、退役军人服务站、综合行政执法大队、产业服务中心、村镇建设服务中心。</w:t>
      </w:r>
    </w:p>
    <w:p>
      <w:pPr>
        <w:pStyle w:val="6"/>
        <w:shd w:val="clear" w:color="auto" w:fill="FFFFFF"/>
        <w:rPr>
          <w:rStyle w:val="10"/>
          <w:rFonts w:hint="default" w:ascii="黑体" w:hAnsi="黑体" w:eastAsia="黑体" w:cs="黑体"/>
          <w:color w:val="auto"/>
          <w:sz w:val="32"/>
          <w:szCs w:val="32"/>
          <w:shd w:val="clear" w:color="auto" w:fill="FFFFFF"/>
        </w:rPr>
      </w:pPr>
      <w:r>
        <w:rPr>
          <w:rStyle w:val="10"/>
          <w:rFonts w:ascii="黑体" w:hAnsi="黑体" w:eastAsia="黑体" w:cs="黑体"/>
          <w:color w:val="auto"/>
          <w:sz w:val="32"/>
          <w:szCs w:val="32"/>
          <w:shd w:val="clear" w:color="auto" w:fill="FFFFFF"/>
        </w:rPr>
        <w:t>二、单位决算情况说明</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1.总体情况。</w:t>
      </w:r>
      <w:r>
        <w:rPr>
          <w:rFonts w:ascii="方正仿宋_GBK" w:hAnsi="方正仿宋_GBK" w:eastAsia="方正仿宋_GBK" w:cs="方正仿宋_GBK"/>
          <w:color w:val="auto"/>
          <w:sz w:val="32"/>
          <w:szCs w:val="32"/>
          <w:shd w:val="clear" w:color="auto" w:fill="FFFFFF"/>
        </w:rPr>
        <w:t>2023年度收入总计2326.64万元，支出总计</w:t>
      </w:r>
      <w:r>
        <w:rPr>
          <w:rFonts w:ascii="方正仿宋_GBK" w:hAnsi="方正仿宋_GBK" w:eastAsia="方正仿宋_GBK" w:cs="方正仿宋_GBK"/>
          <w:color w:val="auto"/>
          <w:sz w:val="32"/>
          <w:szCs w:val="32"/>
        </w:rPr>
        <w:t>2326.64</w:t>
      </w:r>
      <w:r>
        <w:rPr>
          <w:rFonts w:ascii="方正仿宋_GBK" w:hAnsi="方正仿宋_GBK" w:eastAsia="方正仿宋_GBK" w:cs="方正仿宋_GBK"/>
          <w:color w:val="auto"/>
          <w:sz w:val="32"/>
          <w:szCs w:val="32"/>
          <w:shd w:val="clear" w:color="auto" w:fill="FFFFFF"/>
        </w:rPr>
        <w:t>万元。收支较上年决算数减少250.12万元，下降9.71%，主要原因是</w:t>
      </w:r>
      <w:r>
        <w:rPr>
          <w:rFonts w:hint="eastAsia" w:ascii="方正仿宋_GBK" w:hAnsi="方正仿宋_GBK" w:eastAsia="方正仿宋_GBK" w:cs="方正仿宋_GBK"/>
          <w:color w:val="auto"/>
          <w:sz w:val="32"/>
          <w:szCs w:val="32"/>
          <w:shd w:val="clear" w:color="auto" w:fill="FFFFFF"/>
          <w:lang w:eastAsia="zh-CN"/>
        </w:rPr>
        <w:t>减少农村公路建设项目及农村公益事业建设</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2.收入情况。</w:t>
      </w:r>
      <w:r>
        <w:rPr>
          <w:rFonts w:ascii="方正仿宋_GBK" w:hAnsi="方正仿宋_GBK" w:eastAsia="方正仿宋_GBK" w:cs="方正仿宋_GBK"/>
          <w:color w:val="auto"/>
          <w:sz w:val="32"/>
          <w:szCs w:val="32"/>
          <w:shd w:val="clear" w:color="auto" w:fill="FFFFFF"/>
        </w:rPr>
        <w:t>2023年度收入合计2316.17万元，较上年决算数减少250.12万元，下降9.75%，主要原因是</w:t>
      </w:r>
      <w:r>
        <w:rPr>
          <w:rFonts w:hint="eastAsia" w:ascii="方正仿宋_GBK" w:hAnsi="方正仿宋_GBK" w:eastAsia="方正仿宋_GBK" w:cs="方正仿宋_GBK"/>
          <w:color w:val="auto"/>
          <w:sz w:val="32"/>
          <w:szCs w:val="32"/>
          <w:shd w:val="clear" w:color="auto" w:fill="FFFFFF"/>
        </w:rPr>
        <w:t>减少农村公路建设项目</w:t>
      </w:r>
      <w:r>
        <w:rPr>
          <w:rFonts w:hint="eastAsia" w:ascii="方正仿宋_GBK" w:hAnsi="方正仿宋_GBK" w:eastAsia="方正仿宋_GBK" w:cs="方正仿宋_GBK"/>
          <w:color w:val="auto"/>
          <w:sz w:val="32"/>
          <w:szCs w:val="32"/>
          <w:shd w:val="clear" w:color="auto" w:fill="FFFFFF"/>
          <w:lang w:eastAsia="zh-CN"/>
        </w:rPr>
        <w:t>收入</w:t>
      </w:r>
      <w:r>
        <w:rPr>
          <w:rFonts w:hint="eastAsia" w:ascii="方正仿宋_GBK" w:hAnsi="方正仿宋_GBK" w:eastAsia="方正仿宋_GBK" w:cs="方正仿宋_GBK"/>
          <w:color w:val="auto"/>
          <w:sz w:val="32"/>
          <w:szCs w:val="32"/>
          <w:shd w:val="clear" w:color="auto" w:fill="FFFFFF"/>
        </w:rPr>
        <w:t>及农村公益事业建设</w:t>
      </w:r>
      <w:r>
        <w:rPr>
          <w:rFonts w:hint="eastAsia" w:ascii="方正仿宋_GBK" w:hAnsi="方正仿宋_GBK" w:eastAsia="方正仿宋_GBK" w:cs="方正仿宋_GBK"/>
          <w:color w:val="auto"/>
          <w:sz w:val="32"/>
          <w:szCs w:val="32"/>
          <w:shd w:val="clear" w:color="auto" w:fill="FFFFFF"/>
          <w:lang w:eastAsia="zh-CN"/>
        </w:rPr>
        <w:t>收入</w:t>
      </w:r>
      <w:r>
        <w:rPr>
          <w:rFonts w:ascii="方正仿宋_GBK" w:hAnsi="方正仿宋_GBK" w:eastAsia="方正仿宋_GBK" w:cs="方正仿宋_GBK"/>
          <w:color w:val="auto"/>
          <w:sz w:val="32"/>
          <w:szCs w:val="32"/>
          <w:shd w:val="clear" w:color="auto" w:fill="FFFFFF"/>
        </w:rPr>
        <w:t>。其中：财政拨款收入</w:t>
      </w:r>
      <w:r>
        <w:rPr>
          <w:rFonts w:ascii="方正仿宋_GBK" w:hAnsi="方正仿宋_GBK" w:eastAsia="方正仿宋_GBK" w:cs="方正仿宋_GBK"/>
          <w:color w:val="auto"/>
          <w:sz w:val="32"/>
          <w:szCs w:val="32"/>
        </w:rPr>
        <w:t>2316.17</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%；事业收入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万元，占0.00%；其他收入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万元，占0.00%。此外，使用非财政拨款结余和专用结余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万元，年初结转和结余</w:t>
      </w:r>
      <w:r>
        <w:rPr>
          <w:rFonts w:ascii="方正仿宋_GBK" w:hAnsi="方正仿宋_GBK" w:eastAsia="方正仿宋_GBK" w:cs="方正仿宋_GBK"/>
          <w:color w:val="auto"/>
          <w:sz w:val="32"/>
          <w:szCs w:val="32"/>
        </w:rPr>
        <w:t>10.46</w:t>
      </w:r>
      <w:r>
        <w:rPr>
          <w:rFonts w:ascii="方正仿宋_GBK" w:hAnsi="方正仿宋_GBK" w:eastAsia="方正仿宋_GBK" w:cs="方正仿宋_GBK"/>
          <w:color w:val="auto"/>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3.支出情况。</w:t>
      </w:r>
      <w:r>
        <w:rPr>
          <w:rFonts w:ascii="方正仿宋_GBK" w:hAnsi="方正仿宋_GBK" w:eastAsia="方正仿宋_GBK" w:cs="方正仿宋_GBK"/>
          <w:color w:val="auto"/>
          <w:sz w:val="32"/>
          <w:szCs w:val="32"/>
          <w:shd w:val="clear" w:color="auto" w:fill="FFFFFF"/>
        </w:rPr>
        <w:t>2023年度支出合计</w:t>
      </w:r>
      <w:r>
        <w:rPr>
          <w:rFonts w:ascii="方正仿宋_GBK" w:hAnsi="方正仿宋_GBK" w:eastAsia="方正仿宋_GBK" w:cs="方正仿宋_GBK"/>
          <w:color w:val="auto"/>
          <w:sz w:val="32"/>
          <w:szCs w:val="32"/>
        </w:rPr>
        <w:t>2316.17</w:t>
      </w:r>
      <w:r>
        <w:rPr>
          <w:rFonts w:ascii="方正仿宋_GBK" w:hAnsi="方正仿宋_GBK" w:eastAsia="方正仿宋_GBK" w:cs="方正仿宋_GBK"/>
          <w:color w:val="auto"/>
          <w:sz w:val="32"/>
          <w:szCs w:val="32"/>
          <w:shd w:val="clear" w:color="auto" w:fill="FFFFFF"/>
        </w:rPr>
        <w:t>万元，较上年决算数减少250.12万元，下降9.75%，主要原因是</w:t>
      </w:r>
      <w:r>
        <w:rPr>
          <w:rFonts w:hint="eastAsia" w:ascii="方正仿宋_GBK" w:hAnsi="方正仿宋_GBK" w:eastAsia="方正仿宋_GBK" w:cs="方正仿宋_GBK"/>
          <w:color w:val="auto"/>
          <w:sz w:val="32"/>
          <w:szCs w:val="32"/>
          <w:shd w:val="clear" w:color="auto" w:fill="FFFFFF"/>
        </w:rPr>
        <w:t>减少农村公路建设项目</w:t>
      </w:r>
      <w:r>
        <w:rPr>
          <w:rFonts w:hint="eastAsia" w:ascii="方正仿宋_GBK" w:hAnsi="方正仿宋_GBK" w:eastAsia="方正仿宋_GBK" w:cs="方正仿宋_GBK"/>
          <w:color w:val="auto"/>
          <w:sz w:val="32"/>
          <w:szCs w:val="32"/>
          <w:shd w:val="clear" w:color="auto" w:fill="FFFFFF"/>
          <w:lang w:eastAsia="zh-CN"/>
        </w:rPr>
        <w:t>支出</w:t>
      </w:r>
      <w:r>
        <w:rPr>
          <w:rFonts w:hint="eastAsia" w:ascii="方正仿宋_GBK" w:hAnsi="方正仿宋_GBK" w:eastAsia="方正仿宋_GBK" w:cs="方正仿宋_GBK"/>
          <w:color w:val="auto"/>
          <w:sz w:val="32"/>
          <w:szCs w:val="32"/>
          <w:shd w:val="clear" w:color="auto" w:fill="FFFFFF"/>
        </w:rPr>
        <w:t>及农村公益事业建设</w:t>
      </w:r>
      <w:r>
        <w:rPr>
          <w:rFonts w:hint="eastAsia" w:ascii="方正仿宋_GBK" w:hAnsi="方正仿宋_GBK" w:eastAsia="方正仿宋_GBK" w:cs="方正仿宋_GBK"/>
          <w:color w:val="auto"/>
          <w:sz w:val="32"/>
          <w:szCs w:val="32"/>
          <w:shd w:val="clear" w:color="auto" w:fill="FFFFFF"/>
          <w:lang w:eastAsia="zh-CN"/>
        </w:rPr>
        <w:t>支出</w:t>
      </w:r>
      <w:r>
        <w:rPr>
          <w:rFonts w:ascii="方正仿宋_GBK" w:hAnsi="方正仿宋_GBK" w:eastAsia="方正仿宋_GBK" w:cs="方正仿宋_GBK"/>
          <w:color w:val="auto"/>
          <w:sz w:val="32"/>
          <w:szCs w:val="32"/>
          <w:shd w:val="clear" w:color="auto" w:fill="FFFFFF"/>
        </w:rPr>
        <w:t>。其中：基本支出</w:t>
      </w:r>
      <w:r>
        <w:rPr>
          <w:rFonts w:ascii="方正仿宋_GBK" w:hAnsi="方正仿宋_GBK" w:eastAsia="方正仿宋_GBK" w:cs="方正仿宋_GBK"/>
          <w:color w:val="auto"/>
          <w:sz w:val="32"/>
          <w:szCs w:val="32"/>
        </w:rPr>
        <w:t>910.88</w:t>
      </w:r>
      <w:r>
        <w:rPr>
          <w:rFonts w:ascii="方正仿宋_GBK" w:hAnsi="方正仿宋_GBK" w:eastAsia="方正仿宋_GBK" w:cs="方正仿宋_GBK"/>
          <w:color w:val="auto"/>
          <w:sz w:val="32"/>
          <w:szCs w:val="32"/>
          <w:shd w:val="clear" w:color="auto" w:fill="FFFFFF"/>
        </w:rPr>
        <w:t>万元，占39.33%；项目支出</w:t>
      </w:r>
      <w:r>
        <w:rPr>
          <w:rFonts w:ascii="方正仿宋_GBK" w:hAnsi="方正仿宋_GBK" w:eastAsia="方正仿宋_GBK" w:cs="方正仿宋_GBK"/>
          <w:color w:val="auto"/>
          <w:sz w:val="32"/>
          <w:szCs w:val="32"/>
        </w:rPr>
        <w:t>1405.29</w:t>
      </w:r>
      <w:r>
        <w:rPr>
          <w:rFonts w:ascii="方正仿宋_GBK" w:hAnsi="方正仿宋_GBK" w:eastAsia="方正仿宋_GBK" w:cs="方正仿宋_GBK"/>
          <w:color w:val="auto"/>
          <w:sz w:val="32"/>
          <w:szCs w:val="32"/>
          <w:shd w:val="clear" w:color="auto" w:fill="FFFFFF"/>
        </w:rPr>
        <w:t>万元，占60.67%；经营支出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万元，占0.00%。此外，结余分配</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lang w:eastAsia="zh-CN"/>
        </w:rPr>
      </w:pPr>
      <w:r>
        <w:rPr>
          <w:rStyle w:val="10"/>
          <w:rFonts w:ascii="方正仿宋_GBK" w:hAnsi="方正仿宋_GBK" w:eastAsia="方正仿宋_GBK" w:cs="方正仿宋_GBK"/>
          <w:color w:val="auto"/>
          <w:sz w:val="32"/>
          <w:szCs w:val="32"/>
          <w:shd w:val="clear" w:color="auto" w:fill="FFFFFF"/>
        </w:rPr>
        <w:t>4.结转结余情况。</w:t>
      </w:r>
      <w:r>
        <w:rPr>
          <w:rFonts w:ascii="方正仿宋_GBK" w:hAnsi="方正仿宋_GBK" w:eastAsia="方正仿宋_GBK" w:cs="方正仿宋_GBK"/>
          <w:color w:val="auto"/>
          <w:sz w:val="32"/>
          <w:szCs w:val="32"/>
          <w:shd w:val="clear" w:color="auto" w:fill="FFFFFF"/>
        </w:rPr>
        <w:t>2023年度年末结转和结余</w:t>
      </w:r>
      <w:r>
        <w:rPr>
          <w:rFonts w:ascii="方正仿宋_GBK" w:hAnsi="方正仿宋_GBK" w:eastAsia="方正仿宋_GBK" w:cs="方正仿宋_GBK"/>
          <w:color w:val="auto"/>
          <w:sz w:val="32"/>
          <w:szCs w:val="32"/>
        </w:rPr>
        <w:t>10.46</w:t>
      </w:r>
      <w:r>
        <w:rPr>
          <w:rFonts w:ascii="方正仿宋_GBK" w:hAnsi="方正仿宋_GBK" w:eastAsia="方正仿宋_GBK" w:cs="方正仿宋_GBK"/>
          <w:color w:val="auto"/>
          <w:sz w:val="32"/>
          <w:szCs w:val="32"/>
          <w:shd w:val="clear" w:color="auto" w:fill="FFFFFF"/>
        </w:rPr>
        <w:t>万元，较上年决算数无增减，主要原因是</w:t>
      </w:r>
      <w:r>
        <w:rPr>
          <w:rFonts w:hint="eastAsia" w:ascii="方正仿宋_GBK" w:hAnsi="方正仿宋_GBK" w:eastAsia="方正仿宋_GBK" w:cs="方正仿宋_GBK"/>
          <w:color w:val="auto"/>
          <w:sz w:val="32"/>
          <w:szCs w:val="32"/>
          <w:shd w:val="clear" w:color="auto" w:fill="FFFFFF"/>
          <w:lang w:eastAsia="zh-CN"/>
        </w:rPr>
        <w:t>历年结转结余未消化。</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2023年度财政拨款收、支总计2326.64万元。与2022年相比，财政拨款收、支总计各减少250.12万元，下降9.71%。主要原因是</w:t>
      </w:r>
      <w:r>
        <w:rPr>
          <w:rFonts w:hint="eastAsia" w:ascii="方正仿宋_GBK" w:hAnsi="方正仿宋_GBK" w:eastAsia="方正仿宋_GBK" w:cs="方正仿宋_GBK"/>
          <w:color w:val="auto"/>
          <w:sz w:val="32"/>
          <w:szCs w:val="32"/>
          <w:shd w:val="clear" w:color="auto" w:fill="FFFFFF"/>
        </w:rPr>
        <w:t>减少农村公路建设项目</w:t>
      </w:r>
      <w:r>
        <w:rPr>
          <w:rFonts w:hint="eastAsia" w:ascii="方正仿宋_GBK" w:hAnsi="方正仿宋_GBK" w:eastAsia="方正仿宋_GBK" w:cs="方正仿宋_GBK"/>
          <w:color w:val="auto"/>
          <w:sz w:val="32"/>
          <w:szCs w:val="32"/>
          <w:shd w:val="clear" w:color="auto" w:fill="FFFFFF"/>
          <w:lang w:eastAsia="zh-CN"/>
        </w:rPr>
        <w:t>收支</w:t>
      </w:r>
      <w:r>
        <w:rPr>
          <w:rFonts w:hint="eastAsia" w:ascii="方正仿宋_GBK" w:hAnsi="方正仿宋_GBK" w:eastAsia="方正仿宋_GBK" w:cs="方正仿宋_GBK"/>
          <w:color w:val="auto"/>
          <w:sz w:val="32"/>
          <w:szCs w:val="32"/>
          <w:shd w:val="clear" w:color="auto" w:fill="FFFFFF"/>
        </w:rPr>
        <w:t>及农村公益事业建设</w:t>
      </w:r>
      <w:r>
        <w:rPr>
          <w:rFonts w:hint="eastAsia" w:ascii="方正仿宋_GBK" w:hAnsi="方正仿宋_GBK" w:eastAsia="方正仿宋_GBK" w:cs="方正仿宋_GBK"/>
          <w:color w:val="auto"/>
          <w:sz w:val="32"/>
          <w:szCs w:val="32"/>
          <w:shd w:val="clear" w:color="auto" w:fill="FFFFFF"/>
          <w:lang w:eastAsia="zh-CN"/>
        </w:rPr>
        <w:t>收支</w:t>
      </w:r>
      <w:r>
        <w:rPr>
          <w:rFonts w:ascii="方正仿宋_GBK" w:hAnsi="方正仿宋_GBK" w:eastAsia="方正仿宋_GBK" w:cs="方正仿宋_GBK"/>
          <w:color w:val="auto"/>
          <w:sz w:val="32"/>
          <w:szCs w:val="32"/>
          <w:shd w:val="clear" w:color="auto" w:fill="FFFFFF"/>
        </w:rPr>
        <w:t>。</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1.收入情况。</w:t>
      </w:r>
      <w:r>
        <w:rPr>
          <w:rFonts w:ascii="方正仿宋_GBK" w:hAnsi="方正仿宋_GBK" w:eastAsia="方正仿宋_GBK" w:cs="方正仿宋_GBK"/>
          <w:color w:val="auto"/>
          <w:sz w:val="32"/>
          <w:szCs w:val="32"/>
          <w:shd w:val="clear" w:color="auto" w:fill="FFFFFF"/>
        </w:rPr>
        <w:t>2023年度一般公共预算财政拨款收入</w:t>
      </w:r>
      <w:r>
        <w:rPr>
          <w:rFonts w:ascii="方正仿宋_GBK" w:hAnsi="方正仿宋_GBK" w:eastAsia="方正仿宋_GBK" w:cs="方正仿宋_GBK"/>
          <w:color w:val="auto"/>
          <w:sz w:val="32"/>
          <w:szCs w:val="32"/>
        </w:rPr>
        <w:t>2033.58</w:t>
      </w:r>
      <w:r>
        <w:rPr>
          <w:rFonts w:ascii="方正仿宋_GBK" w:hAnsi="方正仿宋_GBK" w:eastAsia="方正仿宋_GBK" w:cs="方正仿宋_GBK"/>
          <w:color w:val="auto"/>
          <w:sz w:val="32"/>
          <w:szCs w:val="32"/>
          <w:shd w:val="clear" w:color="auto" w:fill="FFFFFF"/>
        </w:rPr>
        <w:t>万元，较上年决算数减少392.10万元，下降16.16%。主要原因是</w:t>
      </w:r>
      <w:r>
        <w:rPr>
          <w:rFonts w:hint="eastAsia" w:ascii="方正仿宋_GBK" w:hAnsi="方正仿宋_GBK" w:eastAsia="方正仿宋_GBK" w:cs="方正仿宋_GBK"/>
          <w:color w:val="auto"/>
          <w:sz w:val="32"/>
          <w:szCs w:val="32"/>
          <w:shd w:val="clear" w:color="auto" w:fill="FFFFFF"/>
          <w:lang w:eastAsia="zh-CN"/>
        </w:rPr>
        <w:t>减少人大会议经费、文化免费开放经费、文物安全管理经费、新冠疫情防控经费、创建全国文明城区文明劝导员和管理员经费、四好农村公路建设经费</w:t>
      </w:r>
      <w:r>
        <w:rPr>
          <w:rFonts w:ascii="方正仿宋_GBK" w:hAnsi="方正仿宋_GBK" w:eastAsia="方正仿宋_GBK" w:cs="方正仿宋_GBK"/>
          <w:color w:val="auto"/>
          <w:sz w:val="32"/>
          <w:szCs w:val="32"/>
          <w:shd w:val="clear" w:color="auto" w:fill="FFFFFF"/>
        </w:rPr>
        <w:t>。较年初预算数增加303.14万元，增长17.52%。主要原因是</w:t>
      </w:r>
      <w:r>
        <w:rPr>
          <w:rFonts w:hint="eastAsia" w:ascii="方正仿宋_GBK" w:hAnsi="方正仿宋_GBK" w:eastAsia="方正仿宋_GBK" w:cs="方正仿宋_GBK"/>
          <w:color w:val="auto"/>
          <w:sz w:val="32"/>
          <w:szCs w:val="32"/>
          <w:shd w:val="clear" w:color="auto" w:fill="FFFFFF"/>
          <w:lang w:eastAsia="zh-CN"/>
        </w:rPr>
        <w:t>调整预算增加耕地“非粮化”整治项目、四好农村公路项目、绿色示范村补助项目、农村综合改革项目、镇街超收分成、临时救助等</w:t>
      </w:r>
      <w:r>
        <w:rPr>
          <w:rFonts w:ascii="方正仿宋_GBK" w:hAnsi="方正仿宋_GBK" w:eastAsia="方正仿宋_GBK" w:cs="方正仿宋_GBK"/>
          <w:color w:val="auto"/>
          <w:sz w:val="32"/>
          <w:szCs w:val="32"/>
          <w:shd w:val="clear" w:color="auto" w:fill="FFFFFF"/>
        </w:rPr>
        <w:t>。此外，年初财政拨款结转和结余</w:t>
      </w:r>
      <w:r>
        <w:rPr>
          <w:rFonts w:ascii="方正仿宋_GBK" w:hAnsi="方正仿宋_GBK" w:eastAsia="方正仿宋_GBK" w:cs="方正仿宋_GBK"/>
          <w:color w:val="auto"/>
          <w:sz w:val="32"/>
          <w:szCs w:val="32"/>
        </w:rPr>
        <w:t>10.46</w:t>
      </w:r>
      <w:r>
        <w:rPr>
          <w:rFonts w:ascii="方正仿宋_GBK" w:hAnsi="方正仿宋_GBK" w:eastAsia="方正仿宋_GBK" w:cs="方正仿宋_GBK"/>
          <w:color w:val="auto"/>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2.支出情况。</w:t>
      </w:r>
      <w:r>
        <w:rPr>
          <w:rFonts w:ascii="方正仿宋_GBK" w:hAnsi="方正仿宋_GBK" w:eastAsia="方正仿宋_GBK" w:cs="方正仿宋_GBK"/>
          <w:color w:val="auto"/>
          <w:sz w:val="32"/>
          <w:szCs w:val="32"/>
          <w:shd w:val="clear" w:color="auto" w:fill="FFFFFF"/>
        </w:rPr>
        <w:t>2023年度一般公共预算财政拨款支出</w:t>
      </w:r>
      <w:r>
        <w:rPr>
          <w:rFonts w:ascii="方正仿宋_GBK" w:hAnsi="方正仿宋_GBK" w:eastAsia="方正仿宋_GBK" w:cs="方正仿宋_GBK"/>
          <w:color w:val="auto"/>
          <w:sz w:val="32"/>
          <w:szCs w:val="32"/>
        </w:rPr>
        <w:t>2033.58</w:t>
      </w:r>
      <w:r>
        <w:rPr>
          <w:rFonts w:ascii="方正仿宋_GBK" w:hAnsi="方正仿宋_GBK" w:eastAsia="方正仿宋_GBK" w:cs="方正仿宋_GBK"/>
          <w:color w:val="auto"/>
          <w:sz w:val="32"/>
          <w:szCs w:val="32"/>
          <w:shd w:val="clear" w:color="auto" w:fill="FFFFFF"/>
        </w:rPr>
        <w:t>万元，较上年决算数减少392.10万元，下降16.16%。主要原因是</w:t>
      </w:r>
      <w:r>
        <w:rPr>
          <w:rFonts w:hint="eastAsia" w:ascii="方正仿宋_GBK" w:hAnsi="方正仿宋_GBK" w:eastAsia="方正仿宋_GBK" w:cs="方正仿宋_GBK"/>
          <w:color w:val="auto"/>
          <w:sz w:val="32"/>
          <w:szCs w:val="32"/>
          <w:shd w:val="clear" w:color="auto" w:fill="FFFFFF"/>
        </w:rPr>
        <w:t>减少人大会议经费、文化免费开放经费、文物安全管理经费、新冠疫情防控经费、创建全国文明城区文明劝导员和管理员经费、四好农村公路建设经费</w:t>
      </w:r>
      <w:r>
        <w:rPr>
          <w:rFonts w:hint="eastAsia" w:ascii="方正仿宋_GBK" w:hAnsi="方正仿宋_GBK" w:eastAsia="方正仿宋_GBK" w:cs="方正仿宋_GBK"/>
          <w:color w:val="auto"/>
          <w:sz w:val="32"/>
          <w:szCs w:val="32"/>
          <w:shd w:val="clear" w:color="auto" w:fill="FFFFFF"/>
          <w:lang w:eastAsia="zh-CN"/>
        </w:rPr>
        <w:t>等项目经费支出</w:t>
      </w:r>
      <w:r>
        <w:rPr>
          <w:rFonts w:ascii="方正仿宋_GBK" w:hAnsi="方正仿宋_GBK" w:eastAsia="方正仿宋_GBK" w:cs="方正仿宋_GBK"/>
          <w:color w:val="auto"/>
          <w:sz w:val="32"/>
          <w:szCs w:val="32"/>
          <w:shd w:val="clear" w:color="auto" w:fill="FFFFFF"/>
        </w:rPr>
        <w:t>。较年初预算数增加303.14万元，增长17.52%。主要原因是</w:t>
      </w:r>
      <w:r>
        <w:rPr>
          <w:rFonts w:hint="eastAsia" w:ascii="方正仿宋_GBK" w:hAnsi="方正仿宋_GBK" w:eastAsia="方正仿宋_GBK" w:cs="方正仿宋_GBK"/>
          <w:color w:val="auto"/>
          <w:sz w:val="32"/>
          <w:szCs w:val="32"/>
          <w:shd w:val="clear" w:color="auto" w:fill="FFFFFF"/>
        </w:rPr>
        <w:t>调整预算增加耕地“非粮化”整治项目、四好农村公路项目、绿色示范村补助项目、农村综合改革项目、镇街超收分成、临时救助等</w:t>
      </w:r>
      <w:r>
        <w:rPr>
          <w:rFonts w:hint="eastAsia" w:ascii="方正仿宋_GBK" w:hAnsi="方正仿宋_GBK" w:eastAsia="方正仿宋_GBK" w:cs="方正仿宋_GBK"/>
          <w:color w:val="auto"/>
          <w:sz w:val="32"/>
          <w:szCs w:val="32"/>
          <w:shd w:val="clear" w:color="auto" w:fill="FFFFFF"/>
          <w:lang w:eastAsia="zh-CN"/>
        </w:rPr>
        <w:t>项目支出</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3.结转结余情况。</w:t>
      </w:r>
      <w:r>
        <w:rPr>
          <w:rFonts w:ascii="方正仿宋_GBK" w:hAnsi="方正仿宋_GBK" w:eastAsia="方正仿宋_GBK" w:cs="方正仿宋_GBK"/>
          <w:color w:val="auto"/>
          <w:sz w:val="32"/>
          <w:szCs w:val="32"/>
          <w:shd w:val="clear" w:color="auto" w:fill="FFFFFF"/>
        </w:rPr>
        <w:t>2023年度年末一般公共预算财政拨款结转和结余</w:t>
      </w:r>
      <w:r>
        <w:rPr>
          <w:rFonts w:ascii="方正仿宋_GBK" w:hAnsi="方正仿宋_GBK" w:eastAsia="方正仿宋_GBK" w:cs="方正仿宋_GBK"/>
          <w:color w:val="auto"/>
          <w:sz w:val="32"/>
          <w:szCs w:val="32"/>
        </w:rPr>
        <w:t>10.46</w:t>
      </w:r>
      <w:r>
        <w:rPr>
          <w:rFonts w:ascii="方正仿宋_GBK" w:hAnsi="方正仿宋_GBK" w:eastAsia="方正仿宋_GBK" w:cs="方正仿宋_GBK"/>
          <w:color w:val="auto"/>
          <w:sz w:val="32"/>
          <w:szCs w:val="32"/>
          <w:shd w:val="clear" w:color="auto" w:fill="FFFFFF"/>
        </w:rPr>
        <w:t>万元，较上年决算数无增减，主要原因是</w:t>
      </w:r>
      <w:r>
        <w:rPr>
          <w:rFonts w:hint="eastAsia" w:ascii="方正仿宋_GBK" w:hAnsi="方正仿宋_GBK" w:eastAsia="方正仿宋_GBK" w:cs="方正仿宋_GBK"/>
          <w:color w:val="auto"/>
          <w:sz w:val="32"/>
          <w:szCs w:val="32"/>
          <w:shd w:val="clear" w:color="auto" w:fill="FFFFFF"/>
          <w:lang w:eastAsia="zh-CN"/>
        </w:rPr>
        <w:t>历年结转结余未消化</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cyan"/>
          <w:shd w:val="clear" w:color="auto" w:fill="FFFFFF"/>
        </w:rPr>
      </w:pPr>
      <w:r>
        <w:rPr>
          <w:rStyle w:val="10"/>
          <w:rFonts w:ascii="方正仿宋_GBK" w:hAnsi="方正仿宋_GBK" w:eastAsia="方正仿宋_GBK" w:cs="方正仿宋_GBK"/>
          <w:color w:val="auto"/>
          <w:sz w:val="32"/>
          <w:szCs w:val="32"/>
          <w:shd w:val="clear" w:color="auto" w:fill="FFFFFF"/>
        </w:rPr>
        <w:t xml:space="preserve"> 4.比较情况。</w:t>
      </w:r>
      <w:r>
        <w:rPr>
          <w:rFonts w:ascii="方正仿宋_GBK" w:hAnsi="方正仿宋_GBK" w:eastAsia="方正仿宋_GBK" w:cs="方正仿宋_GBK"/>
          <w:color w:val="auto"/>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lang w:eastAsia="zh-CN"/>
        </w:rPr>
      </w:pPr>
      <w:r>
        <w:rPr>
          <w:rFonts w:ascii="方正仿宋_GBK" w:hAnsi="方正仿宋_GBK" w:eastAsia="方正仿宋_GBK" w:cs="方正仿宋_GBK"/>
          <w:color w:val="auto"/>
          <w:sz w:val="32"/>
          <w:szCs w:val="32"/>
          <w:shd w:val="clear" w:color="auto" w:fill="FFFFFF"/>
        </w:rPr>
        <w:t>（1）一般公共服务支出</w:t>
      </w:r>
      <w:r>
        <w:rPr>
          <w:rFonts w:ascii="方正仿宋_GBK" w:hAnsi="方正仿宋_GBK" w:eastAsia="方正仿宋_GBK" w:cs="方正仿宋_GBK"/>
          <w:color w:val="auto"/>
          <w:sz w:val="32"/>
          <w:szCs w:val="32"/>
        </w:rPr>
        <w:t>864.71</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42.52</w:t>
      </w:r>
      <w:r>
        <w:rPr>
          <w:rFonts w:ascii="方正仿宋_GBK" w:hAnsi="方正仿宋_GBK" w:eastAsia="方正仿宋_GBK" w:cs="方正仿宋_GBK"/>
          <w:color w:val="auto"/>
          <w:sz w:val="32"/>
          <w:szCs w:val="32"/>
          <w:shd w:val="clear" w:color="auto" w:fill="FFFFFF"/>
        </w:rPr>
        <w:t>%，较年初预算数增加54.46万元，增长6.72%，主要原因是</w:t>
      </w:r>
      <w:r>
        <w:rPr>
          <w:rFonts w:hint="eastAsia" w:ascii="方正仿宋_GBK" w:hAnsi="方正仿宋_GBK" w:eastAsia="方正仿宋_GBK" w:cs="方正仿宋_GBK"/>
          <w:color w:val="auto"/>
          <w:sz w:val="32"/>
          <w:szCs w:val="32"/>
          <w:shd w:val="clear" w:color="auto" w:fill="FFFFFF"/>
          <w:lang w:eastAsia="zh-CN"/>
        </w:rPr>
        <w:t>调整预算增加妇女、儿童友好社区创建项目及镇街超收分成。</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）文化旅游体育与传媒支出</w:t>
      </w:r>
      <w:r>
        <w:rPr>
          <w:rFonts w:ascii="方正仿宋_GBK" w:hAnsi="方正仿宋_GBK" w:eastAsia="方正仿宋_GBK" w:cs="方正仿宋_GBK"/>
          <w:color w:val="auto"/>
          <w:sz w:val="32"/>
          <w:szCs w:val="32"/>
        </w:rPr>
        <w:t>10.18</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0.50</w:t>
      </w:r>
      <w:r>
        <w:rPr>
          <w:rFonts w:ascii="方正仿宋_GBK" w:hAnsi="方正仿宋_GBK" w:eastAsia="方正仿宋_GBK" w:cs="方正仿宋_GBK"/>
          <w:color w:val="auto"/>
          <w:sz w:val="32"/>
          <w:szCs w:val="32"/>
          <w:shd w:val="clear" w:color="auto" w:fill="FFFFFF"/>
        </w:rPr>
        <w:t>%，较年初预算数增加3.98万元，增长64.19%，主要原因是</w:t>
      </w:r>
      <w:r>
        <w:rPr>
          <w:rFonts w:hint="eastAsia" w:ascii="方正仿宋_GBK" w:hAnsi="方正仿宋_GBK" w:eastAsia="方正仿宋_GBK" w:cs="方正仿宋_GBK"/>
          <w:color w:val="auto"/>
          <w:sz w:val="32"/>
          <w:szCs w:val="32"/>
          <w:shd w:val="clear" w:color="auto" w:fill="FFFFFF"/>
          <w:lang w:eastAsia="zh-CN"/>
        </w:rPr>
        <w:t>调整预算增加文化免费开放经费及文物安全管理经费支出。</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）社会保障与就业支出</w:t>
      </w:r>
      <w:r>
        <w:rPr>
          <w:rFonts w:ascii="方正仿宋_GBK" w:hAnsi="方正仿宋_GBK" w:eastAsia="方正仿宋_GBK" w:cs="方正仿宋_GBK"/>
          <w:color w:val="auto"/>
          <w:sz w:val="32"/>
          <w:szCs w:val="32"/>
        </w:rPr>
        <w:t>167.05</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8.21</w:t>
      </w:r>
      <w:r>
        <w:rPr>
          <w:rFonts w:ascii="方正仿宋_GBK" w:hAnsi="方正仿宋_GBK" w:eastAsia="方正仿宋_GBK" w:cs="方正仿宋_GBK"/>
          <w:color w:val="auto"/>
          <w:sz w:val="32"/>
          <w:szCs w:val="32"/>
          <w:shd w:val="clear" w:color="auto" w:fill="FFFFFF"/>
        </w:rPr>
        <w:t>%，较年初预算数增加45.52万元，增长37.46%，主要原因是</w:t>
      </w:r>
      <w:r>
        <w:rPr>
          <w:rFonts w:hint="eastAsia" w:ascii="方正仿宋_GBK" w:hAnsi="方正仿宋_GBK" w:eastAsia="方正仿宋_GBK" w:cs="方正仿宋_GBK"/>
          <w:color w:val="auto"/>
          <w:sz w:val="32"/>
          <w:szCs w:val="32"/>
          <w:shd w:val="clear" w:color="auto" w:fill="FFFFFF"/>
          <w:lang w:eastAsia="zh-CN"/>
        </w:rPr>
        <w:t>调整预算增加临时救助项目、退役士兵再就业帮扶项目、特困人员区域性供养项目支出。</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）卫生健康支出</w:t>
      </w:r>
      <w:r>
        <w:rPr>
          <w:rFonts w:ascii="方正仿宋_GBK" w:hAnsi="方正仿宋_GBK" w:eastAsia="方正仿宋_GBK" w:cs="方正仿宋_GBK"/>
          <w:color w:val="auto"/>
          <w:sz w:val="32"/>
          <w:szCs w:val="32"/>
        </w:rPr>
        <w:t>38.45</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1.89</w:t>
      </w:r>
      <w:r>
        <w:rPr>
          <w:rFonts w:ascii="方正仿宋_GBK" w:hAnsi="方正仿宋_GBK" w:eastAsia="方正仿宋_GBK" w:cs="方正仿宋_GBK"/>
          <w:color w:val="auto"/>
          <w:sz w:val="32"/>
          <w:szCs w:val="32"/>
          <w:shd w:val="clear" w:color="auto" w:fill="FFFFFF"/>
        </w:rPr>
        <w:t>%，较年初预算数减少4.95万元，下降11.41%，主要原因是</w:t>
      </w:r>
      <w:r>
        <w:rPr>
          <w:rFonts w:hint="eastAsia" w:ascii="方正仿宋_GBK" w:hAnsi="方正仿宋_GBK" w:eastAsia="方正仿宋_GBK" w:cs="方正仿宋_GBK"/>
          <w:color w:val="auto"/>
          <w:sz w:val="32"/>
          <w:szCs w:val="32"/>
          <w:shd w:val="clear" w:color="auto" w:fill="FFFFFF"/>
          <w:lang w:eastAsia="zh-CN"/>
        </w:rPr>
        <w:t>减少新冠疫情防控经费支出。</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5</w:t>
      </w:r>
      <w:r>
        <w:rPr>
          <w:rFonts w:ascii="方正仿宋_GBK" w:hAnsi="方正仿宋_GBK" w:eastAsia="方正仿宋_GBK" w:cs="方正仿宋_GBK"/>
          <w:color w:val="auto"/>
          <w:sz w:val="32"/>
          <w:szCs w:val="32"/>
          <w:shd w:val="clear" w:color="auto" w:fill="FFFFFF"/>
        </w:rPr>
        <w:t>）城乡社区支出</w:t>
      </w:r>
      <w:r>
        <w:rPr>
          <w:rFonts w:ascii="方正仿宋_GBK" w:hAnsi="方正仿宋_GBK" w:eastAsia="方正仿宋_GBK" w:cs="方正仿宋_GBK"/>
          <w:color w:val="auto"/>
          <w:sz w:val="32"/>
          <w:szCs w:val="32"/>
        </w:rPr>
        <w:t>2.00</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0.10</w:t>
      </w:r>
      <w:r>
        <w:rPr>
          <w:rFonts w:ascii="方正仿宋_GBK" w:hAnsi="方正仿宋_GBK" w:eastAsia="方正仿宋_GBK" w:cs="方正仿宋_GBK"/>
          <w:color w:val="auto"/>
          <w:sz w:val="32"/>
          <w:szCs w:val="32"/>
          <w:shd w:val="clear" w:color="auto" w:fill="FFFFFF"/>
        </w:rPr>
        <w:t>%，较年初预算数增加2.00万元，增长100.00%，主要原因是</w:t>
      </w:r>
      <w:r>
        <w:rPr>
          <w:rFonts w:hint="eastAsia" w:ascii="方正仿宋_GBK" w:hAnsi="方正仿宋_GBK" w:eastAsia="方正仿宋_GBK" w:cs="方正仿宋_GBK"/>
          <w:color w:val="auto"/>
          <w:sz w:val="32"/>
          <w:szCs w:val="32"/>
          <w:shd w:val="clear" w:color="auto" w:fill="FFFFFF"/>
          <w:lang w:eastAsia="zh-CN"/>
        </w:rPr>
        <w:t>调整预算增加创建全国文明城区文明劝导员和管理员经费支出。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6</w:t>
      </w:r>
      <w:r>
        <w:rPr>
          <w:rFonts w:ascii="方正仿宋_GBK" w:hAnsi="方正仿宋_GBK" w:eastAsia="方正仿宋_GBK" w:cs="方正仿宋_GBK"/>
          <w:color w:val="auto"/>
          <w:sz w:val="32"/>
          <w:szCs w:val="32"/>
          <w:shd w:val="clear" w:color="auto" w:fill="FFFFFF"/>
        </w:rPr>
        <w:t>）农林水支出</w:t>
      </w:r>
      <w:r>
        <w:rPr>
          <w:rFonts w:ascii="方正仿宋_GBK" w:hAnsi="方正仿宋_GBK" w:eastAsia="方正仿宋_GBK" w:cs="方正仿宋_GBK"/>
          <w:color w:val="auto"/>
          <w:sz w:val="32"/>
          <w:szCs w:val="32"/>
        </w:rPr>
        <w:t>743.22</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36.55</w:t>
      </w:r>
      <w:r>
        <w:rPr>
          <w:rFonts w:ascii="方正仿宋_GBK" w:hAnsi="方正仿宋_GBK" w:eastAsia="方正仿宋_GBK" w:cs="方正仿宋_GBK"/>
          <w:color w:val="auto"/>
          <w:sz w:val="32"/>
          <w:szCs w:val="32"/>
          <w:shd w:val="clear" w:color="auto" w:fill="FFFFFF"/>
        </w:rPr>
        <w:t>%，较年初预算数增加182.64万元，增长32.58%，主要原因是</w:t>
      </w:r>
      <w:r>
        <w:rPr>
          <w:rFonts w:hint="eastAsia" w:ascii="方正仿宋_GBK" w:hAnsi="方正仿宋_GBK" w:eastAsia="方正仿宋_GBK" w:cs="方正仿宋_GBK"/>
          <w:color w:val="auto"/>
          <w:sz w:val="32"/>
          <w:szCs w:val="32"/>
          <w:shd w:val="clear" w:color="auto" w:fill="FFFFFF"/>
          <w:lang w:eastAsia="zh-CN"/>
        </w:rPr>
        <w:t>调整预算增加农村综合改革项目、脱贫人口产业到户补助项目、绿色示范村补助项目、中央造林“四旁”植树补助项目、耕地“非粮化”整治项目支出</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7</w:t>
      </w:r>
      <w:r>
        <w:rPr>
          <w:rFonts w:ascii="方正仿宋_GBK" w:hAnsi="方正仿宋_GBK" w:eastAsia="方正仿宋_GBK" w:cs="方正仿宋_GBK"/>
          <w:color w:val="auto"/>
          <w:sz w:val="32"/>
          <w:szCs w:val="32"/>
          <w:shd w:val="clear" w:color="auto" w:fill="FFFFFF"/>
        </w:rPr>
        <w:t>）交通运输支出</w:t>
      </w:r>
      <w:r>
        <w:rPr>
          <w:rFonts w:ascii="方正仿宋_GBK" w:hAnsi="方正仿宋_GBK" w:eastAsia="方正仿宋_GBK" w:cs="方正仿宋_GBK"/>
          <w:color w:val="auto"/>
          <w:sz w:val="32"/>
          <w:szCs w:val="32"/>
        </w:rPr>
        <w:t>160.20</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7.88</w:t>
      </w:r>
      <w:r>
        <w:rPr>
          <w:rFonts w:ascii="方正仿宋_GBK" w:hAnsi="方正仿宋_GBK" w:eastAsia="方正仿宋_GBK" w:cs="方正仿宋_GBK"/>
          <w:color w:val="auto"/>
          <w:sz w:val="32"/>
          <w:szCs w:val="32"/>
          <w:shd w:val="clear" w:color="auto" w:fill="FFFFFF"/>
        </w:rPr>
        <w:t>%，较年初预算数增加16.20万元，增长11.25%，主要原因是</w:t>
      </w:r>
      <w:r>
        <w:rPr>
          <w:rFonts w:hint="eastAsia" w:ascii="方正仿宋_GBK" w:hAnsi="方正仿宋_GBK" w:eastAsia="方正仿宋_GBK" w:cs="方正仿宋_GBK"/>
          <w:color w:val="auto"/>
          <w:sz w:val="32"/>
          <w:szCs w:val="32"/>
          <w:shd w:val="clear" w:color="auto" w:fill="FFFFFF"/>
          <w:lang w:eastAsia="zh-CN"/>
        </w:rPr>
        <w:t>调整预算增加交通安全劝导员补助项目、四好农村公路项目支出。</w:t>
      </w:r>
    </w:p>
    <w:p>
      <w:pPr>
        <w:ind w:firstLine="640" w:firstLineChars="200"/>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8</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住房保障支出44.57</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2.19</w:t>
      </w:r>
      <w:r>
        <w:rPr>
          <w:rFonts w:ascii="方正仿宋_GBK" w:hAnsi="方正仿宋_GBK" w:eastAsia="方正仿宋_GBK" w:cs="方正仿宋_GBK"/>
          <w:color w:val="auto"/>
          <w:sz w:val="32"/>
          <w:szCs w:val="32"/>
          <w:shd w:val="clear" w:color="auto" w:fill="FFFFFF"/>
        </w:rPr>
        <w:t>%，较年初预算数增加0.09万元，增长0.20%，主要原因是</w:t>
      </w:r>
      <w:r>
        <w:rPr>
          <w:rFonts w:hint="eastAsia" w:ascii="方正仿宋_GBK" w:hAnsi="方正仿宋_GBK" w:eastAsia="方正仿宋_GBK" w:cs="方正仿宋_GBK"/>
          <w:color w:val="auto"/>
          <w:sz w:val="32"/>
          <w:szCs w:val="32"/>
          <w:shd w:val="clear" w:color="auto" w:fill="FFFFFF"/>
          <w:lang w:eastAsia="zh-CN"/>
        </w:rPr>
        <w:t>调整预算增加农村危房改造补助项目支出。</w:t>
      </w:r>
    </w:p>
    <w:p>
      <w:pPr>
        <w:ind w:firstLine="640" w:firstLineChars="200"/>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9</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灾害防治及应急管理支出3.20</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0.16</w:t>
      </w:r>
      <w:r>
        <w:rPr>
          <w:rFonts w:ascii="方正仿宋_GBK" w:hAnsi="方正仿宋_GBK" w:eastAsia="方正仿宋_GBK" w:cs="方正仿宋_GBK"/>
          <w:color w:val="auto"/>
          <w:sz w:val="32"/>
          <w:szCs w:val="32"/>
          <w:shd w:val="clear" w:color="auto" w:fill="FFFFFF"/>
        </w:rPr>
        <w:t>%，较年初预算数增加3.20万元，增长100.00%，主要原因是</w:t>
      </w:r>
      <w:r>
        <w:rPr>
          <w:rFonts w:hint="eastAsia" w:ascii="方正仿宋_GBK" w:hAnsi="方正仿宋_GBK" w:eastAsia="方正仿宋_GBK" w:cs="方正仿宋_GBK"/>
          <w:color w:val="auto"/>
          <w:sz w:val="32"/>
          <w:szCs w:val="32"/>
          <w:shd w:val="clear" w:color="auto" w:fill="FFFFFF"/>
          <w:lang w:eastAsia="zh-CN"/>
        </w:rPr>
        <w:t>调整预算增加自然灾害防治体系项目支出</w:t>
      </w:r>
      <w:r>
        <w:rPr>
          <w:rFonts w:ascii="方正仿宋_GBK" w:hAnsi="方正仿宋_GBK" w:eastAsia="方正仿宋_GBK" w:cs="方正仿宋_GBK"/>
          <w:color w:val="auto"/>
          <w:sz w:val="32"/>
          <w:szCs w:val="32"/>
          <w:shd w:val="clear" w:color="auto" w:fill="FFFFFF"/>
        </w:rPr>
        <w:t>。</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2023年度一般公共财政拨款基本支出</w:t>
      </w:r>
      <w:r>
        <w:rPr>
          <w:rFonts w:ascii="方正仿宋_GBK" w:hAnsi="方正仿宋_GBK" w:eastAsia="方正仿宋_GBK" w:cs="方正仿宋_GBK"/>
          <w:color w:val="auto"/>
          <w:sz w:val="32"/>
          <w:szCs w:val="32"/>
        </w:rPr>
        <w:t>910.88</w:t>
      </w:r>
      <w:r>
        <w:rPr>
          <w:rFonts w:ascii="方正仿宋_GBK" w:hAnsi="方正仿宋_GBK" w:eastAsia="方正仿宋_GBK" w:cs="方正仿宋_GBK"/>
          <w:color w:val="auto"/>
          <w:sz w:val="32"/>
          <w:szCs w:val="32"/>
          <w:shd w:val="clear" w:color="auto" w:fill="FFFFFF"/>
        </w:rPr>
        <w:t>万元。其中：人员经费</w:t>
      </w:r>
      <w:r>
        <w:rPr>
          <w:rFonts w:ascii="方正仿宋_GBK" w:hAnsi="方正仿宋_GBK" w:eastAsia="方正仿宋_GBK" w:cs="方正仿宋_GBK"/>
          <w:color w:val="auto"/>
          <w:sz w:val="32"/>
          <w:szCs w:val="32"/>
        </w:rPr>
        <w:t>705.37</w:t>
      </w:r>
      <w:r>
        <w:rPr>
          <w:rFonts w:ascii="方正仿宋_GBK" w:hAnsi="方正仿宋_GBK" w:eastAsia="方正仿宋_GBK" w:cs="方正仿宋_GBK"/>
          <w:color w:val="auto"/>
          <w:sz w:val="32"/>
          <w:szCs w:val="32"/>
          <w:shd w:val="clear" w:color="auto" w:fill="FFFFFF"/>
        </w:rPr>
        <w:t>万元，较上年决算数减少469.46万元，下降39.96%，主要原因是</w:t>
      </w:r>
      <w:r>
        <w:rPr>
          <w:rFonts w:hint="eastAsia" w:ascii="方正仿宋_GBK" w:hAnsi="方正仿宋_GBK" w:eastAsia="方正仿宋_GBK" w:cs="方正仿宋_GBK"/>
          <w:color w:val="auto"/>
          <w:sz w:val="32"/>
          <w:szCs w:val="32"/>
          <w:shd w:val="clear" w:color="auto" w:fill="FFFFFF"/>
          <w:lang w:eastAsia="zh-CN"/>
        </w:rPr>
        <w:t>减少人员及工资改革一次性清算支出</w:t>
      </w:r>
      <w:r>
        <w:rPr>
          <w:rFonts w:ascii="方正仿宋_GBK" w:hAnsi="方正仿宋_GBK" w:eastAsia="方正仿宋_GBK" w:cs="方正仿宋_GBK"/>
          <w:color w:val="auto"/>
          <w:sz w:val="32"/>
          <w:szCs w:val="32"/>
          <w:shd w:val="clear" w:color="auto" w:fill="FFFFFF"/>
        </w:rPr>
        <w:t>。人员经费用途主要包括</w:t>
      </w:r>
      <w:r>
        <w:rPr>
          <w:rFonts w:hint="eastAsia" w:ascii="方正仿宋_GBK" w:hAnsi="方正仿宋_GBK" w:eastAsia="方正仿宋_GBK" w:cs="方正仿宋_GBK"/>
          <w:color w:val="auto"/>
          <w:sz w:val="32"/>
          <w:szCs w:val="32"/>
          <w:shd w:val="clear" w:color="auto" w:fill="FFFFFF"/>
        </w:rPr>
        <w:t>基本工资、津贴补贴、奖金、绩效工资、社会保障缴费、住房公积金、其他对个人和家庭补助支</w:t>
      </w:r>
      <w:r>
        <w:rPr>
          <w:rFonts w:hint="eastAsia" w:ascii="方正仿宋_GBK" w:hAnsi="方正仿宋_GBK" w:eastAsia="方正仿宋_GBK" w:cs="方正仿宋_GBK"/>
          <w:color w:val="auto"/>
          <w:sz w:val="32"/>
          <w:szCs w:val="32"/>
          <w:shd w:val="clear" w:color="auto" w:fill="FFFFFF"/>
          <w:lang w:eastAsia="zh-CN"/>
        </w:rPr>
        <w:t>出</w:t>
      </w:r>
      <w:r>
        <w:rPr>
          <w:rFonts w:ascii="方正仿宋_GBK" w:hAnsi="方正仿宋_GBK" w:eastAsia="方正仿宋_GBK" w:cs="方正仿宋_GBK"/>
          <w:color w:val="auto"/>
          <w:sz w:val="32"/>
          <w:szCs w:val="32"/>
          <w:shd w:val="clear" w:color="auto" w:fill="FFFFFF"/>
        </w:rPr>
        <w:t>。公用经费</w:t>
      </w:r>
      <w:r>
        <w:rPr>
          <w:rFonts w:ascii="方正仿宋_GBK" w:hAnsi="方正仿宋_GBK" w:eastAsia="方正仿宋_GBK" w:cs="方正仿宋_GBK"/>
          <w:color w:val="auto"/>
          <w:sz w:val="32"/>
          <w:szCs w:val="32"/>
        </w:rPr>
        <w:t>205.51</w:t>
      </w:r>
      <w:r>
        <w:rPr>
          <w:rFonts w:ascii="方正仿宋_GBK" w:hAnsi="方正仿宋_GBK" w:eastAsia="方正仿宋_GBK" w:cs="方正仿宋_GBK"/>
          <w:color w:val="auto"/>
          <w:sz w:val="32"/>
          <w:szCs w:val="32"/>
          <w:shd w:val="clear" w:color="auto" w:fill="FFFFFF"/>
        </w:rPr>
        <w:t>万元，较上年决算数增加4.26万元，增长2.12%，主要原因是</w:t>
      </w:r>
      <w:r>
        <w:rPr>
          <w:rFonts w:hint="eastAsia" w:ascii="方正仿宋_GBK" w:hAnsi="方正仿宋_GBK" w:eastAsia="方正仿宋_GBK" w:cs="方正仿宋_GBK"/>
          <w:color w:val="auto"/>
          <w:sz w:val="32"/>
          <w:szCs w:val="32"/>
          <w:shd w:val="clear" w:color="auto" w:fill="FFFFFF"/>
          <w:lang w:eastAsia="zh-CN"/>
        </w:rPr>
        <w:t>劳务费增加</w:t>
      </w:r>
      <w:r>
        <w:rPr>
          <w:rFonts w:ascii="方正仿宋_GBK" w:hAnsi="方正仿宋_GBK" w:eastAsia="方正仿宋_GBK" w:cs="方正仿宋_GBK"/>
          <w:color w:val="auto"/>
          <w:sz w:val="32"/>
          <w:szCs w:val="32"/>
          <w:shd w:val="clear" w:color="auto" w:fill="FFFFFF"/>
        </w:rPr>
        <w:t>。公用经费用途主要包括</w:t>
      </w:r>
      <w:r>
        <w:rPr>
          <w:rFonts w:hint="eastAsia" w:ascii="方正仿宋_GBK" w:hAnsi="方正仿宋_GBK" w:eastAsia="方正仿宋_GBK" w:cs="方正仿宋_GBK"/>
          <w:color w:val="auto"/>
          <w:sz w:val="32"/>
          <w:szCs w:val="32"/>
          <w:shd w:val="clear" w:color="auto" w:fill="FFFFFF"/>
        </w:rPr>
        <w:t>包括办公费、水电费、邮电费、差旅费、维修（护）费、会议费、培训费、公务接待费、劳务费、公务用车运行维护费、其他交通费、其他商品和服务支出</w:t>
      </w:r>
      <w:r>
        <w:rPr>
          <w:rFonts w:hint="eastAsia" w:ascii="方正仿宋_GBK" w:hAnsi="方正仿宋_GBK" w:eastAsia="方正仿宋_GBK" w:cs="方正仿宋_GBK"/>
          <w:color w:val="auto"/>
          <w:sz w:val="32"/>
          <w:szCs w:val="32"/>
          <w:shd w:val="clear" w:color="auto" w:fill="FFFFFF"/>
          <w:lang w:eastAsia="zh-CN"/>
        </w:rPr>
        <w:t>等</w:t>
      </w:r>
      <w:r>
        <w:rPr>
          <w:rFonts w:ascii="方正仿宋_GBK" w:hAnsi="方正仿宋_GBK" w:eastAsia="方正仿宋_GBK" w:cs="方正仿宋_GBK"/>
          <w:color w:val="auto"/>
          <w:sz w:val="32"/>
          <w:szCs w:val="32"/>
          <w:shd w:val="clear" w:color="auto" w:fill="FFFFFF"/>
        </w:rPr>
        <w:t>。</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2023年度政府性基金预算财政拨款年初结转结余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万元，年末结转结余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万元。本年收入</w:t>
      </w:r>
      <w:r>
        <w:rPr>
          <w:rFonts w:ascii="方正仿宋_GBK" w:hAnsi="方正仿宋_GBK" w:eastAsia="方正仿宋_GBK" w:cs="方正仿宋_GBK"/>
          <w:color w:val="auto"/>
          <w:sz w:val="32"/>
          <w:szCs w:val="32"/>
        </w:rPr>
        <w:t>282.59</w:t>
      </w:r>
      <w:r>
        <w:rPr>
          <w:rFonts w:ascii="方正仿宋_GBK" w:hAnsi="方正仿宋_GBK" w:eastAsia="方正仿宋_GBK" w:cs="方正仿宋_GBK"/>
          <w:color w:val="auto"/>
          <w:sz w:val="32"/>
          <w:szCs w:val="32"/>
          <w:shd w:val="clear" w:color="auto" w:fill="FFFFFF"/>
        </w:rPr>
        <w:t>万元，较上年决算数增加141.98万元，增长100.97%，主要原因是</w:t>
      </w:r>
      <w:r>
        <w:rPr>
          <w:rFonts w:hint="eastAsia" w:ascii="方正仿宋_GBK" w:hAnsi="方正仿宋_GBK" w:eastAsia="方正仿宋_GBK" w:cs="方正仿宋_GBK"/>
          <w:color w:val="auto"/>
          <w:sz w:val="32"/>
          <w:szCs w:val="32"/>
          <w:shd w:val="clear" w:color="auto" w:fill="FFFFFF"/>
          <w:lang w:eastAsia="zh-CN"/>
        </w:rPr>
        <w:t>调整预算增加地质灾害群测群防人员补助项目、建新拆旧复垦项目、公路日常养护补助项目、回国路升级改造土地补偿项目等收入</w:t>
      </w:r>
      <w:r>
        <w:rPr>
          <w:rFonts w:ascii="方正仿宋_GBK" w:hAnsi="方正仿宋_GBK" w:eastAsia="方正仿宋_GBK" w:cs="方正仿宋_GBK"/>
          <w:color w:val="auto"/>
          <w:sz w:val="32"/>
          <w:szCs w:val="32"/>
          <w:shd w:val="clear" w:color="auto" w:fill="FFFFFF"/>
        </w:rPr>
        <w:t>。本年支出</w:t>
      </w:r>
      <w:r>
        <w:rPr>
          <w:rFonts w:ascii="方正仿宋_GBK" w:hAnsi="方正仿宋_GBK" w:eastAsia="方正仿宋_GBK" w:cs="方正仿宋_GBK"/>
          <w:color w:val="auto"/>
          <w:sz w:val="32"/>
          <w:szCs w:val="32"/>
        </w:rPr>
        <w:t>282.59</w:t>
      </w:r>
      <w:r>
        <w:rPr>
          <w:rFonts w:ascii="方正仿宋_GBK" w:hAnsi="方正仿宋_GBK" w:eastAsia="方正仿宋_GBK" w:cs="方正仿宋_GBK"/>
          <w:color w:val="auto"/>
          <w:sz w:val="32"/>
          <w:szCs w:val="32"/>
          <w:shd w:val="clear" w:color="auto" w:fill="FFFFFF"/>
        </w:rPr>
        <w:t>万元，较上年决算数增加141.98万元，增长100.97%，主要原因是</w:t>
      </w:r>
      <w:r>
        <w:rPr>
          <w:rFonts w:hint="eastAsia" w:ascii="方正仿宋_GBK" w:hAnsi="方正仿宋_GBK" w:eastAsia="方正仿宋_GBK" w:cs="方正仿宋_GBK"/>
          <w:color w:val="auto"/>
          <w:sz w:val="32"/>
          <w:szCs w:val="32"/>
          <w:shd w:val="clear" w:color="auto" w:fill="FFFFFF"/>
        </w:rPr>
        <w:t>调整预算增加地质灾害群测群防人员补助项目、建新拆旧复垦项目、公路日常养护补助项目、回国路升级改造土地补偿项目等</w:t>
      </w:r>
      <w:r>
        <w:rPr>
          <w:rFonts w:hint="eastAsia" w:ascii="方正仿宋_GBK" w:hAnsi="方正仿宋_GBK" w:eastAsia="方正仿宋_GBK" w:cs="方正仿宋_GBK"/>
          <w:color w:val="auto"/>
          <w:sz w:val="32"/>
          <w:szCs w:val="32"/>
          <w:shd w:val="clear" w:color="auto" w:fill="FFFFFF"/>
          <w:lang w:eastAsia="zh-CN"/>
        </w:rPr>
        <w:t>支出。</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楷体" w:hAnsi="楷体" w:eastAsia="楷体" w:cs="楷体"/>
          <w:b/>
          <w:bCs/>
          <w:color w:val="auto"/>
          <w:sz w:val="32"/>
          <w:szCs w:val="32"/>
          <w:shd w:val="clear" w:color="auto" w:fill="FFFFFF"/>
          <w:lang w:val="en-US" w:eastAsia="zh-CN" w:bidi="ar-SA"/>
        </w:rPr>
      </w:pPr>
      <w:r>
        <w:rPr>
          <w:rFonts w:ascii="方正仿宋_GBK" w:hAnsi="方正仿宋_GBK" w:eastAsia="方正仿宋_GBK" w:cs="方正仿宋_GBK"/>
          <w:color w:val="auto"/>
          <w:sz w:val="32"/>
          <w:szCs w:val="32"/>
          <w:shd w:val="clear" w:color="FFFFFF" w:fill="D9D9D9"/>
        </w:rPr>
        <w:t> </w:t>
      </w:r>
      <w:r>
        <w:rPr>
          <w:rFonts w:hint="eastAsia" w:ascii="楷体" w:hAnsi="楷体" w:eastAsia="楷体" w:cs="楷体"/>
          <w:b/>
          <w:bCs/>
          <w:color w:val="auto"/>
          <w:sz w:val="32"/>
          <w:szCs w:val="32"/>
          <w:shd w:val="clear" w:color="auto" w:fill="FFFFFF"/>
          <w:lang w:val="en-US" w:eastAsia="zh-CN" w:bidi="ar-SA"/>
        </w:rPr>
        <w:t>本单位2023年度无国有资本经营预算财政拨款支出。</w:t>
      </w:r>
    </w:p>
    <w:p>
      <w:pPr>
        <w:pStyle w:val="6"/>
        <w:shd w:val="clear" w:color="auto" w:fill="FFFFFF"/>
        <w:rPr>
          <w:rStyle w:val="10"/>
          <w:rFonts w:hint="default" w:ascii="黑体" w:hAnsi="黑体" w:eastAsia="黑体" w:cs="黑体"/>
          <w:color w:val="auto"/>
          <w:sz w:val="32"/>
          <w:szCs w:val="32"/>
          <w:shd w:val="clear" w:color="auto" w:fill="FFFFFF"/>
        </w:rPr>
      </w:pPr>
      <w:r>
        <w:rPr>
          <w:rStyle w:val="10"/>
          <w:rFonts w:ascii="黑体" w:hAnsi="黑体" w:eastAsia="黑体" w:cs="黑体"/>
          <w:color w:val="auto"/>
          <w:sz w:val="32"/>
          <w:szCs w:val="32"/>
          <w:shd w:val="clear" w:color="auto" w:fill="FFFFFF"/>
        </w:rPr>
        <w:t>三、“三公”经费情况说明</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2023年度“三公”经费支出共计</w:t>
      </w:r>
      <w:r>
        <w:rPr>
          <w:rFonts w:ascii="方正仿宋_GBK" w:hAnsi="方正仿宋_GBK" w:eastAsia="方正仿宋_GBK" w:cs="方正仿宋_GBK"/>
          <w:color w:val="auto"/>
          <w:sz w:val="32"/>
          <w:szCs w:val="32"/>
        </w:rPr>
        <w:t>12.08</w:t>
      </w:r>
      <w:r>
        <w:rPr>
          <w:rFonts w:ascii="方正仿宋_GBK" w:hAnsi="方正仿宋_GBK" w:eastAsia="方正仿宋_GBK" w:cs="方正仿宋_GBK"/>
          <w:color w:val="auto"/>
          <w:sz w:val="32"/>
          <w:szCs w:val="32"/>
          <w:shd w:val="clear" w:color="auto" w:fill="FFFFFF"/>
        </w:rPr>
        <w:t>万元，较年初预算数减少17.05万元，下降58.53%，主要原因是</w:t>
      </w:r>
      <w:r>
        <w:rPr>
          <w:rFonts w:hint="eastAsia" w:ascii="方正仿宋_GBK" w:hAnsi="方正仿宋_GBK" w:eastAsia="方正仿宋_GBK" w:cs="方正仿宋_GBK"/>
          <w:color w:val="auto"/>
          <w:sz w:val="32"/>
          <w:szCs w:val="32"/>
          <w:shd w:val="clear" w:color="auto" w:fill="FFFFFF"/>
        </w:rPr>
        <w:t>压减一般性支出，集中财力保工资、保运转、保基本民生</w:t>
      </w:r>
      <w:r>
        <w:rPr>
          <w:rFonts w:ascii="方正仿宋_GBK" w:hAnsi="方正仿宋_GBK" w:eastAsia="方正仿宋_GBK" w:cs="方正仿宋_GBK"/>
          <w:color w:val="auto"/>
          <w:sz w:val="32"/>
          <w:szCs w:val="32"/>
          <w:shd w:val="clear" w:color="auto" w:fill="FFFFFF"/>
        </w:rPr>
        <w:t>。较上年支出数</w:t>
      </w:r>
      <w:r>
        <w:rPr>
          <w:rFonts w:hint="eastAsia" w:ascii="方正仿宋_GBK" w:hAnsi="方正仿宋_GBK" w:eastAsia="方正仿宋_GBK" w:cs="方正仿宋_GBK"/>
          <w:color w:val="auto"/>
          <w:sz w:val="32"/>
          <w:szCs w:val="32"/>
          <w:shd w:val="clear" w:color="auto" w:fill="FFFFFF"/>
          <w:lang w:eastAsia="zh-CN"/>
        </w:rPr>
        <w:t>基本持平</w:t>
      </w:r>
      <w:r>
        <w:rPr>
          <w:rFonts w:ascii="方正仿宋_GBK" w:hAnsi="方正仿宋_GBK" w:eastAsia="方正仿宋_GBK" w:cs="方正仿宋_GBK"/>
          <w:color w:val="auto"/>
          <w:sz w:val="32"/>
          <w:szCs w:val="32"/>
          <w:shd w:val="clear" w:color="auto" w:fill="FFFFFF"/>
        </w:rPr>
        <w:t>。</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 202</w:t>
      </w:r>
      <w:r>
        <w:rPr>
          <w:rFonts w:hint="eastAsia" w:ascii="方正仿宋_GBK" w:hAnsi="方正仿宋_GBK" w:eastAsia="方正仿宋_GBK" w:cs="方正仿宋_GBK"/>
          <w:color w:val="auto"/>
          <w:sz w:val="32"/>
          <w:szCs w:val="32"/>
          <w:shd w:val="clear" w:color="auto" w:fill="FFFFFF"/>
          <w:lang w:val="en-US" w:eastAsia="zh-CN"/>
        </w:rPr>
        <w:t>3</w:t>
      </w:r>
      <w:r>
        <w:rPr>
          <w:rFonts w:hint="eastAsia" w:ascii="方正仿宋_GBK" w:hAnsi="方正仿宋_GBK" w:eastAsia="方正仿宋_GBK" w:cs="方正仿宋_GBK"/>
          <w:color w:val="auto"/>
          <w:sz w:val="32"/>
          <w:szCs w:val="32"/>
          <w:shd w:val="clear" w:color="auto" w:fill="FFFFFF"/>
        </w:rPr>
        <w:t>年度本部门未发生因公出国（境）费用。</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 202</w:t>
      </w:r>
      <w:r>
        <w:rPr>
          <w:rFonts w:hint="eastAsia" w:ascii="方正仿宋_GBK" w:hAnsi="方正仿宋_GBK" w:eastAsia="方正仿宋_GBK" w:cs="方正仿宋_GBK"/>
          <w:color w:val="auto"/>
          <w:sz w:val="32"/>
          <w:szCs w:val="32"/>
          <w:shd w:val="clear" w:color="auto" w:fill="FFFFFF"/>
          <w:lang w:val="en-US" w:eastAsia="zh-CN"/>
        </w:rPr>
        <w:t>3</w:t>
      </w:r>
      <w:r>
        <w:rPr>
          <w:rFonts w:hint="eastAsia" w:ascii="方正仿宋_GBK" w:hAnsi="方正仿宋_GBK" w:eastAsia="方正仿宋_GBK" w:cs="方正仿宋_GBK"/>
          <w:color w:val="auto"/>
          <w:sz w:val="32"/>
          <w:szCs w:val="32"/>
          <w:shd w:val="clear" w:color="auto" w:fill="FFFFFF"/>
        </w:rPr>
        <w:t>年度本部门未发生公务车购置费用。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公务车运行维护费</w:t>
      </w:r>
      <w:r>
        <w:rPr>
          <w:rFonts w:ascii="方正仿宋_GBK" w:hAnsi="方正仿宋_GBK" w:eastAsia="方正仿宋_GBK" w:cs="方正仿宋_GBK"/>
          <w:color w:val="auto"/>
          <w:sz w:val="32"/>
          <w:szCs w:val="32"/>
        </w:rPr>
        <w:t>5.95</w:t>
      </w:r>
      <w:r>
        <w:rPr>
          <w:rFonts w:ascii="方正仿宋_GBK" w:hAnsi="方正仿宋_GBK" w:eastAsia="方正仿宋_GBK" w:cs="方正仿宋_GBK"/>
          <w:color w:val="auto"/>
          <w:sz w:val="32"/>
          <w:szCs w:val="32"/>
          <w:shd w:val="clear" w:color="auto" w:fill="FFFFFF"/>
        </w:rPr>
        <w:t>万元，主要用于</w:t>
      </w:r>
      <w:r>
        <w:rPr>
          <w:rFonts w:hint="eastAsia" w:ascii="方正仿宋_GBK" w:hAnsi="方正仿宋_GBK" w:eastAsia="方正仿宋_GBK" w:cs="方正仿宋_GBK"/>
          <w:color w:val="auto"/>
          <w:sz w:val="32"/>
          <w:szCs w:val="32"/>
          <w:shd w:val="clear" w:color="auto" w:fill="FFFFFF"/>
        </w:rPr>
        <w:t>公车油费、维修费、保险费</w:t>
      </w:r>
      <w:r>
        <w:rPr>
          <w:rFonts w:ascii="方正仿宋_GBK" w:hAnsi="方正仿宋_GBK" w:eastAsia="方正仿宋_GBK" w:cs="方正仿宋_GBK"/>
          <w:color w:val="auto"/>
          <w:sz w:val="32"/>
          <w:szCs w:val="32"/>
          <w:shd w:val="clear" w:color="auto" w:fill="FFFFFF"/>
        </w:rPr>
        <w:t>。费用支出较年初预算数减少17.05万元，下降74.13%，主要原因是</w:t>
      </w:r>
      <w:r>
        <w:rPr>
          <w:rFonts w:hint="eastAsia" w:ascii="方正仿宋_GBK" w:hAnsi="方正仿宋_GBK" w:eastAsia="方正仿宋_GBK" w:cs="方正仿宋_GBK"/>
          <w:color w:val="auto"/>
          <w:sz w:val="32"/>
          <w:szCs w:val="32"/>
          <w:shd w:val="clear" w:color="auto" w:fill="FFFFFF"/>
        </w:rPr>
        <w:t>本着厉行节约的原则，强化公务车运行管理减少支出。较上年支出数基本持平</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 公务接待费</w:t>
      </w:r>
      <w:r>
        <w:rPr>
          <w:rFonts w:ascii="方正仿宋_GBK" w:hAnsi="方正仿宋_GBK" w:eastAsia="方正仿宋_GBK" w:cs="方正仿宋_GBK"/>
          <w:color w:val="auto"/>
          <w:sz w:val="32"/>
          <w:szCs w:val="32"/>
        </w:rPr>
        <w:t>6.13</w:t>
      </w:r>
      <w:r>
        <w:rPr>
          <w:rFonts w:ascii="方正仿宋_GBK" w:hAnsi="方正仿宋_GBK" w:eastAsia="方正仿宋_GBK" w:cs="方正仿宋_GBK"/>
          <w:color w:val="auto"/>
          <w:sz w:val="32"/>
          <w:szCs w:val="32"/>
          <w:shd w:val="clear" w:color="auto" w:fill="FFFFFF"/>
        </w:rPr>
        <w:t>万元，主要用于</w:t>
      </w:r>
      <w:r>
        <w:rPr>
          <w:rFonts w:hint="eastAsia" w:ascii="方正仿宋_GBK" w:hAnsi="方正仿宋_GBK" w:eastAsia="方正仿宋_GBK" w:cs="方正仿宋_GBK"/>
          <w:color w:val="auto"/>
          <w:sz w:val="32"/>
          <w:szCs w:val="32"/>
          <w:shd w:val="clear" w:color="auto" w:fill="FFFFFF"/>
        </w:rPr>
        <w:t>接待相关部门检查指导工作及招商引资</w:t>
      </w:r>
      <w:r>
        <w:rPr>
          <w:rFonts w:ascii="方正仿宋_GBK" w:hAnsi="方正仿宋_GBK" w:eastAsia="方正仿宋_GBK" w:cs="方正仿宋_GBK"/>
          <w:color w:val="auto"/>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rPr>
        <w:t>本着厉行节约的原则，强化公务接待支出管理，严格执行公务接待开支范围和开支标准。较上年支出数基本持平。</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2023年度本单位因公出国（境）共计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个团组，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人；公务用车购置</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辆，公务车保有量为</w:t>
      </w:r>
      <w:r>
        <w:rPr>
          <w:rFonts w:ascii="方正仿宋_GBK" w:hAnsi="方正仿宋_GBK" w:eastAsia="方正仿宋_GBK" w:cs="方正仿宋_GBK"/>
          <w:color w:val="auto"/>
          <w:sz w:val="32"/>
          <w:szCs w:val="32"/>
        </w:rPr>
        <w:t>2</w:t>
      </w:r>
      <w:r>
        <w:rPr>
          <w:rFonts w:ascii="方正仿宋_GBK" w:hAnsi="方正仿宋_GBK" w:eastAsia="方正仿宋_GBK" w:cs="方正仿宋_GBK"/>
          <w:color w:val="auto"/>
          <w:sz w:val="32"/>
          <w:szCs w:val="32"/>
          <w:shd w:val="clear" w:color="auto" w:fill="FFFFFF"/>
        </w:rPr>
        <w:t>辆；国内公务接待</w:t>
      </w:r>
      <w:r>
        <w:rPr>
          <w:rFonts w:ascii="方正仿宋_GBK" w:hAnsi="方正仿宋_GBK" w:eastAsia="方正仿宋_GBK" w:cs="方正仿宋_GBK"/>
          <w:color w:val="auto"/>
          <w:sz w:val="32"/>
          <w:szCs w:val="32"/>
        </w:rPr>
        <w:t>280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2986</w:t>
      </w:r>
      <w:r>
        <w:rPr>
          <w:rFonts w:ascii="方正仿宋_GBK" w:hAnsi="方正仿宋_GBK" w:eastAsia="方正仿宋_GBK" w:cs="方正仿宋_GBK"/>
          <w:color w:val="auto"/>
          <w:sz w:val="32"/>
          <w:szCs w:val="32"/>
          <w:shd w:val="clear" w:color="auto" w:fill="FFFFFF"/>
        </w:rPr>
        <w:t>人，其中：国内外事接待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人；国（境）外公务接待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人。2023年本单位人均接待费</w:t>
      </w:r>
      <w:r>
        <w:rPr>
          <w:rFonts w:ascii="方正仿宋_GBK" w:hAnsi="方正仿宋_GBK" w:eastAsia="方正仿宋_GBK" w:cs="方正仿宋_GBK"/>
          <w:color w:val="auto"/>
          <w:sz w:val="32"/>
          <w:szCs w:val="32"/>
        </w:rPr>
        <w:t>20.53</w:t>
      </w:r>
      <w:r>
        <w:rPr>
          <w:rFonts w:ascii="方正仿宋_GBK" w:hAnsi="方正仿宋_GBK" w:eastAsia="方正仿宋_GBK" w:cs="方正仿宋_GBK"/>
          <w:color w:val="auto"/>
          <w:sz w:val="32"/>
          <w:szCs w:val="32"/>
          <w:shd w:val="clear" w:color="auto" w:fill="FFFFFF"/>
        </w:rPr>
        <w:t>元，车均购置费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万元，车均维护费</w:t>
      </w:r>
      <w:r>
        <w:rPr>
          <w:rFonts w:ascii="方正仿宋_GBK" w:hAnsi="方正仿宋_GBK" w:eastAsia="方正仿宋_GBK" w:cs="方正仿宋_GBK"/>
          <w:color w:val="auto"/>
          <w:sz w:val="32"/>
          <w:szCs w:val="32"/>
        </w:rPr>
        <w:t>2.97</w:t>
      </w:r>
      <w:r>
        <w:rPr>
          <w:rFonts w:ascii="方正仿宋_GBK" w:hAnsi="方正仿宋_GBK" w:eastAsia="方正仿宋_GBK" w:cs="方正仿宋_GBK"/>
          <w:color w:val="auto"/>
          <w:sz w:val="32"/>
          <w:szCs w:val="32"/>
          <w:shd w:val="clear" w:color="auto" w:fill="FFFFFF"/>
        </w:rPr>
        <w:t>万元。</w:t>
      </w:r>
    </w:p>
    <w:p>
      <w:pPr>
        <w:pStyle w:val="6"/>
        <w:shd w:val="clear" w:color="auto" w:fill="FFFFFF"/>
        <w:rPr>
          <w:rStyle w:val="10"/>
          <w:rFonts w:hint="default" w:ascii="方正仿宋_GBK" w:hAnsi="方正仿宋_GBK" w:eastAsia="方正仿宋_GBK" w:cs="方正仿宋_GBK"/>
          <w:color w:val="auto"/>
          <w:sz w:val="32"/>
          <w:szCs w:val="32"/>
          <w:shd w:val="clear" w:color="auto" w:fill="FFFFFF"/>
        </w:rPr>
      </w:pPr>
      <w:r>
        <w:rPr>
          <w:rStyle w:val="10"/>
          <w:rFonts w:ascii="黑体" w:hAnsi="黑体" w:eastAsia="黑体" w:cs="黑体"/>
          <w:color w:val="auto"/>
          <w:sz w:val="32"/>
          <w:szCs w:val="32"/>
          <w:shd w:val="clear" w:color="auto" w:fill="FFFFFF"/>
        </w:rPr>
        <w:t>四、其他需要说明的事项</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本年度会议费支出</w:t>
      </w:r>
      <w:r>
        <w:rPr>
          <w:rFonts w:ascii="方正仿宋_GBK" w:hAnsi="方正仿宋_GBK" w:eastAsia="方正仿宋_GBK" w:cs="方正仿宋_GBK"/>
          <w:color w:val="auto"/>
          <w:sz w:val="32"/>
          <w:szCs w:val="32"/>
        </w:rPr>
        <w:t>8.27</w:t>
      </w:r>
      <w:r>
        <w:rPr>
          <w:rFonts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rPr>
        <w:t>较上年决算数基本持平</w:t>
      </w:r>
      <w:r>
        <w:rPr>
          <w:rFonts w:ascii="方正仿宋_GBK" w:hAnsi="方正仿宋_GBK" w:eastAsia="方正仿宋_GBK" w:cs="方正仿宋_GBK"/>
          <w:color w:val="auto"/>
          <w:sz w:val="32"/>
          <w:szCs w:val="32"/>
          <w:shd w:val="clear" w:color="auto" w:fill="FFFFFF"/>
        </w:rPr>
        <w:t>。本年度培训费支出</w:t>
      </w:r>
      <w:r>
        <w:rPr>
          <w:rFonts w:ascii="方正仿宋_GBK" w:hAnsi="方正仿宋_GBK" w:eastAsia="方正仿宋_GBK" w:cs="方正仿宋_GBK"/>
          <w:color w:val="auto"/>
          <w:sz w:val="32"/>
          <w:szCs w:val="32"/>
        </w:rPr>
        <w:t>1.96</w:t>
      </w:r>
      <w:r>
        <w:rPr>
          <w:rFonts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rPr>
        <w:t>较上年决算数基本持平</w:t>
      </w:r>
      <w:r>
        <w:rPr>
          <w:rFonts w:ascii="方正仿宋_GBK" w:hAnsi="方正仿宋_GBK" w:eastAsia="方正仿宋_GBK" w:cs="方正仿宋_GBK"/>
          <w:color w:val="auto"/>
          <w:sz w:val="32"/>
          <w:szCs w:val="32"/>
          <w:shd w:val="clear" w:color="auto" w:fill="FFFFFF"/>
        </w:rPr>
        <w:t>。</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2023年度本单位机关运行经费支出</w:t>
      </w:r>
      <w:r>
        <w:rPr>
          <w:rFonts w:ascii="方正仿宋_GBK" w:hAnsi="方正仿宋_GBK" w:eastAsia="方正仿宋_GBK" w:cs="方正仿宋_GBK"/>
          <w:color w:val="auto"/>
          <w:sz w:val="32"/>
          <w:szCs w:val="32"/>
        </w:rPr>
        <w:t>205.51</w:t>
      </w:r>
      <w:r>
        <w:rPr>
          <w:rFonts w:ascii="方正仿宋_GBK" w:hAnsi="方正仿宋_GBK" w:eastAsia="方正仿宋_GBK" w:cs="方正仿宋_GBK"/>
          <w:color w:val="auto"/>
          <w:sz w:val="32"/>
          <w:szCs w:val="32"/>
          <w:shd w:val="clear" w:color="auto" w:fill="FFFFFF"/>
        </w:rPr>
        <w:t>万元，机关运行经费主要用于开支</w:t>
      </w:r>
      <w:r>
        <w:rPr>
          <w:rFonts w:hint="eastAsia" w:ascii="方正仿宋_GBK" w:hAnsi="方正仿宋_GBK" w:eastAsia="方正仿宋_GBK" w:cs="方正仿宋_GBK"/>
          <w:color w:val="auto"/>
          <w:sz w:val="32"/>
          <w:szCs w:val="32"/>
          <w:shd w:val="clear" w:color="auto" w:fill="FFFFFF"/>
        </w:rPr>
        <w:t>办公费、水电费、邮电费、差旅费、维修（护）费、租赁费、会议费、培训费、公务接待费、劳务费、工会经费、公务用车运行维护费、其他交通费、其他商品和服务支出等</w:t>
      </w:r>
      <w:r>
        <w:rPr>
          <w:rFonts w:ascii="方正仿宋_GBK" w:hAnsi="方正仿宋_GBK" w:eastAsia="方正仿宋_GBK" w:cs="方正仿宋_GBK"/>
          <w:color w:val="auto"/>
          <w:sz w:val="32"/>
          <w:szCs w:val="32"/>
          <w:shd w:val="clear" w:color="auto" w:fill="FFFFFF"/>
        </w:rPr>
        <w:t>。机关运行经费较上年支出数增加107.25万元，增长109.15%，主要原因是</w:t>
      </w:r>
      <w:r>
        <w:rPr>
          <w:rFonts w:hint="eastAsia" w:ascii="方正仿宋_GBK" w:hAnsi="方正仿宋_GBK" w:eastAsia="方正仿宋_GBK" w:cs="方正仿宋_GBK"/>
          <w:color w:val="auto"/>
          <w:sz w:val="32"/>
          <w:szCs w:val="32"/>
          <w:shd w:val="clear" w:color="auto" w:fill="FFFFFF"/>
          <w:lang w:eastAsia="zh-CN"/>
        </w:rPr>
        <w:t>办公设备老化，维修“护”费用增加及规范账务经济科目使用，以前年度将部分劳务费归入个人及家庭生活补助类经济科目使用</w:t>
      </w:r>
      <w:r>
        <w:rPr>
          <w:rFonts w:ascii="方正仿宋_GBK" w:hAnsi="方正仿宋_GBK" w:eastAsia="方正仿宋_GBK" w:cs="方正仿宋_GBK"/>
          <w:color w:val="auto"/>
          <w:sz w:val="32"/>
          <w:szCs w:val="32"/>
          <w:shd w:val="clear" w:color="auto" w:fill="FFFFFF"/>
        </w:rPr>
        <w:t>。</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截至2023年12月31日，本单位共有车辆</w:t>
      </w:r>
      <w:r>
        <w:rPr>
          <w:rFonts w:ascii="方正仿宋_GBK" w:hAnsi="方正仿宋_GBK" w:eastAsia="方正仿宋_GBK" w:cs="方正仿宋_GBK"/>
          <w:color w:val="auto"/>
          <w:sz w:val="32"/>
          <w:szCs w:val="32"/>
        </w:rPr>
        <w:t>2</w:t>
      </w:r>
      <w:r>
        <w:rPr>
          <w:rFonts w:ascii="方正仿宋_GBK" w:hAnsi="方正仿宋_GBK" w:eastAsia="方正仿宋_GBK" w:cs="方正仿宋_GBK"/>
          <w:color w:val="auto"/>
          <w:sz w:val="32"/>
          <w:szCs w:val="32"/>
          <w:shd w:val="clear" w:color="auto" w:fill="FFFFFF"/>
        </w:rPr>
        <w:t>辆，其中，副部（省）级及以上领导用车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辆、主要负责人用车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辆、机要通信用车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辆、应急保障用车</w:t>
      </w:r>
      <w:r>
        <w:rPr>
          <w:rFonts w:ascii="方正仿宋_GBK" w:hAnsi="方正仿宋_GBK" w:eastAsia="方正仿宋_GBK" w:cs="方正仿宋_GBK"/>
          <w:color w:val="auto"/>
          <w:sz w:val="32"/>
          <w:szCs w:val="32"/>
        </w:rPr>
        <w:t>2</w:t>
      </w:r>
      <w:r>
        <w:rPr>
          <w:rFonts w:ascii="方正仿宋_GBK" w:hAnsi="方正仿宋_GBK" w:eastAsia="方正仿宋_GBK" w:cs="方正仿宋_GBK"/>
          <w:color w:val="auto"/>
          <w:sz w:val="32"/>
          <w:szCs w:val="32"/>
          <w:shd w:val="clear" w:color="auto" w:fill="FFFFFF"/>
        </w:rPr>
        <w:t>辆、执法执勤用车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辆，特种专业技术用车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辆，离退休干部用车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辆。单价100万元（含）以上专用设备</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台（套）。</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  2023年度本单位政府采购支出总额</w:t>
      </w:r>
      <w:r>
        <w:rPr>
          <w:rFonts w:ascii="方正仿宋_GBK" w:hAnsi="方正仿宋_GBK" w:eastAsia="方正仿宋_GBK" w:cs="方正仿宋_GBK"/>
          <w:color w:val="auto"/>
          <w:sz w:val="32"/>
          <w:szCs w:val="32"/>
        </w:rPr>
        <w:t>334.87</w:t>
      </w:r>
      <w:r>
        <w:rPr>
          <w:rFonts w:ascii="方正仿宋_GBK" w:hAnsi="方正仿宋_GBK" w:eastAsia="方正仿宋_GBK" w:cs="方正仿宋_GBK"/>
          <w:color w:val="auto"/>
          <w:sz w:val="32"/>
          <w:szCs w:val="32"/>
          <w:shd w:val="clear" w:color="auto" w:fill="FFFFFF"/>
        </w:rPr>
        <w:t>万元，其中：政府采购货物支出</w:t>
      </w:r>
      <w:r>
        <w:rPr>
          <w:rFonts w:ascii="方正仿宋_GBK" w:hAnsi="方正仿宋_GBK" w:eastAsia="方正仿宋_GBK" w:cs="方正仿宋_GBK"/>
          <w:color w:val="auto"/>
          <w:sz w:val="32"/>
          <w:szCs w:val="32"/>
        </w:rPr>
        <w:t>8.64</w:t>
      </w:r>
      <w:r>
        <w:rPr>
          <w:rFonts w:ascii="方正仿宋_GBK" w:hAnsi="方正仿宋_GBK" w:eastAsia="方正仿宋_GBK" w:cs="方正仿宋_GBK"/>
          <w:color w:val="auto"/>
          <w:sz w:val="32"/>
          <w:szCs w:val="32"/>
          <w:shd w:val="clear" w:color="auto" w:fill="FFFFFF"/>
        </w:rPr>
        <w:t>万元、政府采购工程支出</w:t>
      </w:r>
      <w:r>
        <w:rPr>
          <w:rFonts w:ascii="方正仿宋_GBK" w:hAnsi="方正仿宋_GBK" w:eastAsia="方正仿宋_GBK" w:cs="方正仿宋_GBK"/>
          <w:color w:val="auto"/>
          <w:sz w:val="32"/>
          <w:szCs w:val="32"/>
        </w:rPr>
        <w:t>326.24</w:t>
      </w:r>
      <w:r>
        <w:rPr>
          <w:rFonts w:ascii="方正仿宋_GBK" w:hAnsi="方正仿宋_GBK" w:eastAsia="方正仿宋_GBK" w:cs="方正仿宋_GBK"/>
          <w:color w:val="auto"/>
          <w:sz w:val="32"/>
          <w:szCs w:val="32"/>
          <w:shd w:val="clear" w:color="auto" w:fill="FFFFFF"/>
        </w:rPr>
        <w:t>万元、政府采购服务支出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万元。授予中小企业合同金额</w:t>
      </w:r>
      <w:r>
        <w:rPr>
          <w:rFonts w:ascii="方正仿宋_GBK" w:hAnsi="方正仿宋_GBK" w:eastAsia="方正仿宋_GBK" w:cs="方正仿宋_GBK"/>
          <w:color w:val="auto"/>
          <w:sz w:val="32"/>
          <w:szCs w:val="32"/>
        </w:rPr>
        <w:t>334.87万</w:t>
      </w:r>
      <w:r>
        <w:rPr>
          <w:rFonts w:ascii="方正仿宋_GBK" w:hAnsi="方正仿宋_GBK" w:eastAsia="方正仿宋_GBK" w:cs="方正仿宋_GBK"/>
          <w:color w:val="auto"/>
          <w:sz w:val="32"/>
          <w:szCs w:val="32"/>
          <w:shd w:val="clear" w:color="auto" w:fill="FFFFFF"/>
        </w:rPr>
        <w:t>元，占政府采购支出总额的</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%，其中：授予小微企业合同金额</w:t>
      </w:r>
      <w:r>
        <w:rPr>
          <w:rFonts w:ascii="方正仿宋_GBK" w:hAnsi="方正仿宋_GBK" w:eastAsia="方正仿宋_GBK" w:cs="方正仿宋_GBK"/>
          <w:color w:val="auto"/>
          <w:sz w:val="32"/>
          <w:szCs w:val="32"/>
        </w:rPr>
        <w:t>147.09</w:t>
      </w:r>
      <w:r>
        <w:rPr>
          <w:rFonts w:ascii="方正仿宋_GBK" w:hAnsi="方正仿宋_GBK" w:eastAsia="方正仿宋_GBK" w:cs="方正仿宋_GBK"/>
          <w:color w:val="auto"/>
          <w:sz w:val="32"/>
          <w:szCs w:val="32"/>
          <w:shd w:val="clear" w:color="auto" w:fill="FFFFFF"/>
        </w:rPr>
        <w:t>万元，占政府采购支出总额的</w:t>
      </w:r>
      <w:r>
        <w:rPr>
          <w:rFonts w:ascii="方正仿宋_GBK" w:hAnsi="方正仿宋_GBK" w:eastAsia="方正仿宋_GBK" w:cs="方正仿宋_GBK"/>
          <w:color w:val="auto"/>
          <w:sz w:val="32"/>
          <w:szCs w:val="32"/>
        </w:rPr>
        <w:t>43.93</w:t>
      </w:r>
      <w:r>
        <w:rPr>
          <w:rFonts w:ascii="方正仿宋_GBK" w:hAnsi="方正仿宋_GBK" w:eastAsia="方正仿宋_GBK" w:cs="方正仿宋_GBK"/>
          <w:color w:val="auto"/>
          <w:sz w:val="32"/>
          <w:szCs w:val="32"/>
          <w:shd w:val="clear" w:color="auto" w:fill="FFFFFF"/>
        </w:rPr>
        <w:t xml:space="preserve"> %。主要用于采购</w:t>
      </w:r>
      <w:r>
        <w:rPr>
          <w:rFonts w:hint="eastAsia" w:ascii="方正仿宋_GBK" w:hAnsi="方正仿宋_GBK" w:eastAsia="方正仿宋_GBK" w:cs="方正仿宋_GBK"/>
          <w:color w:val="auto"/>
          <w:sz w:val="32"/>
          <w:szCs w:val="32"/>
          <w:shd w:val="clear" w:color="auto" w:fill="FFFFFF"/>
          <w:lang w:eastAsia="zh-CN"/>
        </w:rPr>
        <w:t>广告服务、办公设备及演出服务等</w:t>
      </w:r>
      <w:r>
        <w:rPr>
          <w:rFonts w:ascii="方正仿宋_GBK" w:hAnsi="方正仿宋_GBK" w:eastAsia="方正仿宋_GBK" w:cs="方正仿宋_GBK"/>
          <w:color w:val="auto"/>
          <w:sz w:val="32"/>
          <w:szCs w:val="32"/>
          <w:shd w:val="clear" w:color="auto" w:fill="FFFFFF"/>
        </w:rPr>
        <w:t>。</w:t>
      </w:r>
    </w:p>
    <w:p>
      <w:pPr>
        <w:pStyle w:val="6"/>
        <w:numPr>
          <w:ilvl w:val="0"/>
          <w:numId w:val="1"/>
        </w:numPr>
        <w:shd w:val="clear" w:color="auto" w:fill="FFFFFF"/>
        <w:rPr>
          <w:rStyle w:val="10"/>
          <w:rFonts w:hint="default" w:ascii="黑体" w:hAnsi="黑体" w:eastAsia="黑体" w:cs="黑体"/>
          <w:color w:val="auto"/>
          <w:sz w:val="32"/>
          <w:szCs w:val="32"/>
          <w:shd w:val="clear" w:color="auto" w:fill="FFFFFF"/>
        </w:rPr>
      </w:pPr>
      <w:r>
        <w:rPr>
          <w:rStyle w:val="10"/>
          <w:rFonts w:ascii="黑体" w:hAnsi="黑体" w:eastAsia="黑体" w:cs="黑体"/>
          <w:color w:val="auto"/>
          <w:sz w:val="32"/>
          <w:szCs w:val="32"/>
          <w:shd w:val="clear" w:color="auto" w:fill="FFFFFF"/>
        </w:rPr>
        <w:t>预算绩效管理情况说明</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（一）单位自评情况</w:t>
      </w:r>
    </w:p>
    <w:p>
      <w:pPr>
        <w:pStyle w:val="12"/>
        <w:autoSpaceDE w:val="0"/>
        <w:spacing w:before="0" w:beforeAutospacing="0" w:line="600" w:lineRule="exact"/>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color w:val="auto"/>
          <w:sz w:val="32"/>
          <w:szCs w:val="32"/>
          <w:shd w:val="clear" w:color="auto" w:fill="FFFFFF"/>
        </w:rPr>
        <w:t>根据预算绩效管理要求，我单位对部门整体和</w:t>
      </w:r>
      <w:r>
        <w:rPr>
          <w:rFonts w:hint="eastAsia" w:ascii="方正仿宋_GBK" w:hAnsi="方正仿宋_GBK" w:eastAsia="方正仿宋_GBK" w:cs="方正仿宋_GBK"/>
          <w:color w:val="auto"/>
          <w:sz w:val="32"/>
          <w:szCs w:val="32"/>
          <w:shd w:val="clear" w:color="auto" w:fill="FFFFFF"/>
          <w:lang w:val="en-US" w:eastAsia="zh-CN"/>
        </w:rPr>
        <w:t>54</w:t>
      </w:r>
      <w:r>
        <w:rPr>
          <w:rFonts w:hint="eastAsia" w:ascii="方正仿宋_GBK" w:hAnsi="方正仿宋_GBK" w:eastAsia="方正仿宋_GBK" w:cs="方正仿宋_GBK"/>
          <w:color w:val="auto"/>
          <w:sz w:val="32"/>
          <w:szCs w:val="32"/>
          <w:shd w:val="clear" w:color="auto" w:fill="FFFFFF"/>
        </w:rPr>
        <w:t>个二级项目开展了绩效自评，涉及财政拨款项目支出资金</w:t>
      </w:r>
      <w:r>
        <w:rPr>
          <w:rFonts w:hint="eastAsia" w:ascii="方正仿宋_GBK" w:hAnsi="方正仿宋_GBK" w:eastAsia="方正仿宋_GBK" w:cs="方正仿宋_GBK"/>
          <w:color w:val="auto"/>
          <w:sz w:val="32"/>
          <w:szCs w:val="32"/>
          <w:shd w:val="clear" w:color="auto" w:fill="FFFFFF"/>
          <w:lang w:val="en-US" w:eastAsia="zh-CN"/>
        </w:rPr>
        <w:t>1608.4</w:t>
      </w:r>
      <w:r>
        <w:rPr>
          <w:rFonts w:hint="eastAsia"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w:t>
      </w:r>
    </w:p>
    <w:p>
      <w:pPr>
        <w:rPr>
          <w:rFonts w:hint="eastAsia" w:ascii="方正仿宋_GBK" w:hAnsi="方正仿宋_GBK" w:eastAsia="方正仿宋_GBK" w:cs="方正仿宋_GBK"/>
          <w:color w:val="auto"/>
          <w:sz w:val="32"/>
          <w:szCs w:val="32"/>
          <w:shd w:val="clear" w:color="auto" w:fill="FFFFFF"/>
          <w:lang w:eastAsia="zh-CN"/>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eastAsia" w:ascii="方正仿宋_GBK" w:hAnsi="方正仿宋_GBK" w:eastAsia="方正仿宋_GBK" w:cs="方正仿宋_GBK"/>
          <w:color w:val="auto"/>
          <w:sz w:val="32"/>
          <w:szCs w:val="32"/>
          <w:shd w:val="clear" w:color="auto" w:fill="FFFFFF"/>
          <w:lang w:eastAsia="zh-CN"/>
        </w:rPr>
      </w:pPr>
    </w:p>
    <w:p>
      <w:pPr>
        <w:rPr>
          <w:rFonts w:hint="eastAsia" w:ascii="方正仿宋_GBK" w:hAnsi="方正仿宋_GBK" w:eastAsia="方正仿宋_GBK" w:cs="方正仿宋_GBK"/>
          <w:color w:val="auto"/>
          <w:sz w:val="32"/>
          <w:szCs w:val="32"/>
          <w:shd w:val="clear" w:color="auto" w:fill="FFFFFF"/>
        </w:rPr>
        <w:sectPr>
          <w:pgSz w:w="16840" w:h="11915" w:orient="landscape"/>
          <w:pgMar w:top="720" w:right="720" w:bottom="720" w:left="720" w:header="851" w:footer="992" w:gutter="0"/>
          <w:pgNumType w:fmt="numberInDash"/>
          <w:cols w:space="720" w:num="1"/>
          <w:docGrid w:type="lines" w:linePitch="312" w:charSpace="0"/>
        </w:sectPr>
      </w:pPr>
      <w:r>
        <w:rPr>
          <w:rFonts w:hint="eastAsia" w:ascii="方正仿宋_GBK" w:hAnsi="方正仿宋_GBK" w:eastAsia="方正仿宋_GBK" w:cs="方正仿宋_GBK"/>
          <w:color w:val="auto"/>
          <w:sz w:val="32"/>
          <w:szCs w:val="32"/>
          <w:shd w:val="clear" w:color="auto" w:fill="FFFFFF"/>
        </w:rPr>
        <w:object>
          <v:shape id="_x0000_i1038" o:spt="75" type="#_x0000_t75" style="height:411.25pt;width:769.85pt;" o:ole="t" filled="f" o:preferrelative="t" stroked="f" coordsize="21600,21600">
            <v:path/>
            <v:fill on="f" focussize="0,0"/>
            <v:stroke on="f"/>
            <v:imagedata r:id="rId8" o:title=""/>
            <o:lock v:ext="edit" aspectratio="f"/>
            <w10:wrap type="none"/>
            <w10:anchorlock/>
          </v:shape>
          <o:OLEObject Type="Embed" ProgID="Excel.Sheet.12" ShapeID="_x0000_i1038" DrawAspect="Content" ObjectID="_1468075725" r:id="rId7">
            <o:LockedField>false</o:LockedField>
          </o:OLEObject>
        </w:object>
      </w:r>
      <w:r>
        <w:rPr>
          <w:rFonts w:hint="eastAsia" w:ascii="方正仿宋_GBK" w:hAnsi="方正仿宋_GBK" w:eastAsia="方正仿宋_GBK" w:cs="方正仿宋_GBK"/>
          <w:color w:val="auto"/>
          <w:sz w:val="32"/>
          <w:szCs w:val="32"/>
          <w:shd w:val="clear" w:color="auto" w:fill="FFFFFF"/>
        </w:rPr>
        <w:object>
          <v:shape id="_x0000_i1039" o:spt="75" type="#_x0000_t75" style="height:447.85pt;width:769.85pt;" o:ole="t" filled="f" o:preferrelative="t" stroked="f" coordsize="21600,21600">
            <v:path/>
            <v:fill on="f" focussize="0,0"/>
            <v:stroke on="f"/>
            <v:imagedata r:id="rId10" o:title=""/>
            <o:lock v:ext="edit" aspectratio="f"/>
            <w10:wrap type="none"/>
            <w10:anchorlock/>
          </v:shape>
          <o:OLEObject Type="Embed" ProgID="Excel.Sheet.12" ShapeID="_x0000_i1039" DrawAspect="Content" ObjectID="_1468075726" r:id="rId9">
            <o:LockedField>false</o:LockedField>
          </o:OLEObject>
        </w:object>
      </w:r>
      <w:r>
        <w:rPr>
          <w:rFonts w:hint="eastAsia" w:ascii="方正仿宋_GBK" w:hAnsi="方正仿宋_GBK" w:eastAsia="方正仿宋_GBK" w:cs="方正仿宋_GBK"/>
          <w:color w:val="auto"/>
          <w:sz w:val="32"/>
          <w:szCs w:val="32"/>
          <w:shd w:val="clear" w:color="auto" w:fill="FFFFFF"/>
        </w:rPr>
        <w:object>
          <v:shape id="_x0000_i1040" o:spt="75" type="#_x0000_t75" style="height:411.25pt;width:769.85pt;" o:ole="t" filled="f" o:preferrelative="t" stroked="f" coordsize="21600,21600">
            <v:path/>
            <v:fill on="f" focussize="0,0"/>
            <v:stroke on="f"/>
            <v:imagedata r:id="rId12" o:title=""/>
            <o:lock v:ext="edit" aspectratio="f"/>
            <w10:wrap type="none"/>
            <w10:anchorlock/>
          </v:shape>
          <o:OLEObject Type="Embed" ProgID="Excel.Sheet.12" ShapeID="_x0000_i1040" DrawAspect="Content" ObjectID="_1468075727" r:id="rId11">
            <o:LockedField>false</o:LockedField>
          </o:OLEObject>
        </w:object>
      </w:r>
      <w:r>
        <w:rPr>
          <w:rFonts w:hint="eastAsia" w:ascii="方正仿宋_GBK" w:hAnsi="方正仿宋_GBK" w:eastAsia="方正仿宋_GBK" w:cs="方正仿宋_GBK"/>
          <w:color w:val="auto"/>
          <w:sz w:val="32"/>
          <w:szCs w:val="32"/>
          <w:shd w:val="clear" w:color="auto" w:fill="FFFFFF"/>
        </w:rPr>
        <w:object>
          <v:shape id="_x0000_i1041" o:spt="75" type="#_x0000_t75" style="height:429.55pt;width:769.85pt;" o:ole="t" filled="f" o:preferrelative="t" stroked="f" coordsize="21600,21600">
            <v:path/>
            <v:fill on="f" focussize="0,0"/>
            <v:stroke on="f"/>
            <v:imagedata r:id="rId14" o:title=""/>
            <o:lock v:ext="edit" aspectratio="f"/>
            <w10:wrap type="none"/>
            <w10:anchorlock/>
          </v:shape>
          <o:OLEObject Type="Embed" ProgID="Excel.Sheet.12" ShapeID="_x0000_i1041" DrawAspect="Content" ObjectID="_1468075728" r:id="rId13">
            <o:LockedField>false</o:LockedField>
          </o:OLEObject>
        </w:object>
      </w:r>
      <w:r>
        <w:rPr>
          <w:rFonts w:hint="eastAsia" w:ascii="方正仿宋_GBK" w:hAnsi="方正仿宋_GBK" w:eastAsia="方正仿宋_GBK" w:cs="方正仿宋_GBK"/>
          <w:color w:val="auto"/>
          <w:sz w:val="32"/>
          <w:szCs w:val="32"/>
          <w:shd w:val="clear" w:color="auto" w:fill="FFFFFF"/>
        </w:rPr>
        <w:object>
          <v:shape id="_x0000_i1042" o:spt="75" type="#_x0000_t75" style="height:411.25pt;width:769.85pt;" o:ole="t" filled="f" o:preferrelative="t" stroked="f" coordsize="21600,21600">
            <v:path/>
            <v:fill on="f" focussize="0,0"/>
            <v:stroke on="f"/>
            <v:imagedata r:id="rId16" o:title=""/>
            <o:lock v:ext="edit" aspectratio="f"/>
            <w10:wrap type="none"/>
            <w10:anchorlock/>
          </v:shape>
          <o:OLEObject Type="Embed" ProgID="Excel.Sheet.12" ShapeID="_x0000_i1042" DrawAspect="Content" ObjectID="_1468075729" r:id="rId15">
            <o:LockedField>false</o:LockedField>
          </o:OLEObject>
        </w:object>
      </w:r>
      <w:r>
        <w:rPr>
          <w:rFonts w:hint="eastAsia" w:ascii="方正仿宋_GBK" w:hAnsi="方正仿宋_GBK" w:eastAsia="方正仿宋_GBK" w:cs="方正仿宋_GBK"/>
          <w:color w:val="auto"/>
          <w:sz w:val="32"/>
          <w:szCs w:val="32"/>
          <w:shd w:val="clear" w:color="auto" w:fill="FFFFFF"/>
        </w:rPr>
        <w:object>
          <v:shape id="_x0000_i1043" o:spt="75" type="#_x0000_t75" style="height:411.25pt;width:769.85pt;" o:ole="t" filled="f" o:preferrelative="t" stroked="f" coordsize="21600,21600">
            <v:path/>
            <v:fill on="f" focussize="0,0"/>
            <v:stroke on="f"/>
            <v:imagedata r:id="rId18" o:title=""/>
            <o:lock v:ext="edit" aspectratio="f"/>
            <w10:wrap type="none"/>
            <w10:anchorlock/>
          </v:shape>
          <o:OLEObject Type="Embed" ProgID="Excel.Sheet.12" ShapeID="_x0000_i1043" DrawAspect="Content" ObjectID="_1468075730" r:id="rId17">
            <o:LockedField>false</o:LockedField>
          </o:OLEObject>
        </w:object>
      </w:r>
      <w:r>
        <w:rPr>
          <w:rFonts w:hint="eastAsia" w:ascii="方正仿宋_GBK" w:hAnsi="方正仿宋_GBK" w:eastAsia="方正仿宋_GBK" w:cs="方正仿宋_GBK"/>
          <w:color w:val="auto"/>
          <w:sz w:val="32"/>
          <w:szCs w:val="32"/>
          <w:shd w:val="clear" w:color="auto" w:fill="FFFFFF"/>
        </w:rPr>
        <w:object>
          <v:shape id="_x0000_i1044" o:spt="75" type="#_x0000_t75" style="height:429.55pt;width:769.85pt;" o:ole="t" filled="f" o:preferrelative="t" stroked="f" coordsize="21600,21600">
            <v:path/>
            <v:fill on="f" focussize="0,0"/>
            <v:stroke on="f"/>
            <v:imagedata r:id="rId20" o:title=""/>
            <o:lock v:ext="edit" aspectratio="f"/>
            <w10:wrap type="none"/>
            <w10:anchorlock/>
          </v:shape>
          <o:OLEObject Type="Embed" ProgID="Excel.Sheet.12" ShapeID="_x0000_i1044" DrawAspect="Content" ObjectID="_1468075731" r:id="rId19">
            <o:LockedField>false</o:LockedField>
          </o:OLEObject>
        </w:object>
      </w:r>
      <w:r>
        <w:rPr>
          <w:rFonts w:hint="eastAsia" w:ascii="方正仿宋_GBK" w:hAnsi="方正仿宋_GBK" w:eastAsia="方正仿宋_GBK" w:cs="方正仿宋_GBK"/>
          <w:color w:val="auto"/>
          <w:sz w:val="32"/>
          <w:szCs w:val="32"/>
          <w:shd w:val="clear" w:color="auto" w:fill="FFFFFF"/>
        </w:rPr>
        <w:object>
          <v:shape id="_x0000_i1045" o:spt="75" type="#_x0000_t75" style="height:411.25pt;width:769.85pt;" o:ole="t" filled="f" o:preferrelative="t" stroked="f" coordsize="21600,21600">
            <v:path/>
            <v:fill on="f" focussize="0,0"/>
            <v:stroke on="f"/>
            <v:imagedata r:id="rId22" o:title=""/>
            <o:lock v:ext="edit" aspectratio="f"/>
            <w10:wrap type="none"/>
            <w10:anchorlock/>
          </v:shape>
          <o:OLEObject Type="Embed" ProgID="Excel.Sheet.12" ShapeID="_x0000_i1045" DrawAspect="Content" ObjectID="_1468075732" r:id="rId21">
            <o:LockedField>false</o:LockedField>
          </o:OLEObject>
        </w:object>
      </w:r>
      <w:r>
        <w:rPr>
          <w:rFonts w:hint="eastAsia" w:ascii="方正仿宋_GBK" w:hAnsi="方正仿宋_GBK" w:eastAsia="方正仿宋_GBK" w:cs="方正仿宋_GBK"/>
          <w:color w:val="auto"/>
          <w:sz w:val="32"/>
          <w:szCs w:val="32"/>
          <w:shd w:val="clear" w:color="auto" w:fill="FFFFFF"/>
        </w:rPr>
        <w:object>
          <v:shape id="_x0000_i1046" o:spt="75" type="#_x0000_t75" style="height:411.25pt;width:769.85pt;" o:ole="t" filled="f" o:preferrelative="t" stroked="f" coordsize="21600,21600">
            <v:path/>
            <v:fill on="f" focussize="0,0"/>
            <v:stroke on="f"/>
            <v:imagedata r:id="rId24" o:title=""/>
            <o:lock v:ext="edit" aspectratio="f"/>
            <w10:wrap type="none"/>
            <w10:anchorlock/>
          </v:shape>
          <o:OLEObject Type="Embed" ProgID="Excel.Sheet.12" ShapeID="_x0000_i1046" DrawAspect="Content" ObjectID="_1468075733" r:id="rId23">
            <o:LockedField>false</o:LockedField>
          </o:OLEObject>
        </w:object>
      </w:r>
      <w:r>
        <w:rPr>
          <w:rFonts w:hint="eastAsia" w:ascii="方正仿宋_GBK" w:hAnsi="方正仿宋_GBK" w:eastAsia="方正仿宋_GBK" w:cs="方正仿宋_GBK"/>
          <w:color w:val="auto"/>
          <w:sz w:val="32"/>
          <w:szCs w:val="32"/>
          <w:shd w:val="clear" w:color="auto" w:fill="FFFFFF"/>
        </w:rPr>
        <w:object>
          <v:shape id="_x0000_i1047" o:spt="75" type="#_x0000_t75" style="height:411.25pt;width:769.85pt;" o:ole="t" filled="f" o:preferrelative="t" stroked="f" coordsize="21600,21600">
            <v:path/>
            <v:fill on="f" focussize="0,0"/>
            <v:stroke on="f"/>
            <v:imagedata r:id="rId26" o:title=""/>
            <o:lock v:ext="edit" aspectratio="f"/>
            <w10:wrap type="none"/>
            <w10:anchorlock/>
          </v:shape>
          <o:OLEObject Type="Embed" ProgID="Excel.Sheet.12" ShapeID="_x0000_i1047" DrawAspect="Content" ObjectID="_1468075734" r:id="rId25">
            <o:LockedField>false</o:LockedField>
          </o:OLEObject>
        </w:object>
      </w:r>
      <w:r>
        <w:rPr>
          <w:rFonts w:hint="eastAsia" w:ascii="方正仿宋_GBK" w:hAnsi="方正仿宋_GBK" w:eastAsia="方正仿宋_GBK" w:cs="方正仿宋_GBK"/>
          <w:color w:val="auto"/>
          <w:sz w:val="32"/>
          <w:szCs w:val="32"/>
          <w:shd w:val="clear" w:color="auto" w:fill="FFFFFF"/>
        </w:rPr>
        <w:object>
          <v:shape id="_x0000_i1048" o:spt="75" type="#_x0000_t75" style="height:429.55pt;width:769.85pt;" o:ole="t" filled="f" o:preferrelative="t" stroked="f" coordsize="21600,21600">
            <v:path/>
            <v:fill on="f" focussize="0,0"/>
            <v:stroke on="f"/>
            <v:imagedata r:id="rId28" o:title=""/>
            <o:lock v:ext="edit" aspectratio="f"/>
            <w10:wrap type="none"/>
            <w10:anchorlock/>
          </v:shape>
          <o:OLEObject Type="Embed" ProgID="Excel.Sheet.12" ShapeID="_x0000_i1048" DrawAspect="Content" ObjectID="_1468075735" r:id="rId27">
            <o:LockedField>false</o:LockedField>
          </o:OLEObject>
        </w:object>
      </w:r>
      <w:r>
        <w:rPr>
          <w:rFonts w:hint="eastAsia" w:ascii="方正仿宋_GBK" w:hAnsi="方正仿宋_GBK" w:eastAsia="方正仿宋_GBK" w:cs="方正仿宋_GBK"/>
          <w:color w:val="auto"/>
          <w:sz w:val="32"/>
          <w:szCs w:val="32"/>
          <w:shd w:val="clear" w:color="auto" w:fill="FFFFFF"/>
        </w:rPr>
        <w:object>
          <v:shape id="_x0000_i1049" o:spt="75" type="#_x0000_t75" style="height:411.25pt;width:769.85pt;" o:ole="t" filled="f" o:preferrelative="t" stroked="f" coordsize="21600,21600">
            <v:path/>
            <v:fill on="f" focussize="0,0"/>
            <v:stroke on="f"/>
            <v:imagedata r:id="rId30" o:title=""/>
            <o:lock v:ext="edit" aspectratio="f"/>
            <w10:wrap type="none"/>
            <w10:anchorlock/>
          </v:shape>
          <o:OLEObject Type="Embed" ProgID="Excel.Sheet.12" ShapeID="_x0000_i1049" DrawAspect="Content" ObjectID="_1468075736" r:id="rId29">
            <o:LockedField>false</o:LockedField>
          </o:OLEObject>
        </w:object>
      </w:r>
    </w:p>
    <w:p>
      <w:pPr>
        <w:rPr>
          <w:rFonts w:hint="eastAsia" w:ascii="方正仿宋_GBK" w:hAnsi="方正仿宋_GBK" w:eastAsia="方正仿宋_GBK" w:cs="方正仿宋_GBK"/>
          <w:color w:val="auto"/>
          <w:sz w:val="32"/>
          <w:szCs w:val="32"/>
          <w:shd w:val="clear" w:color="auto" w:fill="FFFFFF"/>
        </w:rPr>
      </w:pPr>
    </w:p>
    <w:p>
      <w:pPr>
        <w:rPr>
          <w:rFonts w:hint="eastAsia" w:ascii="方正仿宋_GBK" w:hAnsi="方正仿宋_GBK" w:eastAsia="方正仿宋_GBK" w:cs="方正仿宋_GBK"/>
          <w:color w:val="auto"/>
          <w:sz w:val="32"/>
          <w:szCs w:val="32"/>
          <w:shd w:val="clear" w:color="auto" w:fill="FFFFFF"/>
        </w:rPr>
      </w:pPr>
    </w:p>
    <w:p>
      <w:pPr>
        <w:pStyle w:val="11"/>
        <w:numPr>
          <w:ilvl w:val="0"/>
          <w:numId w:val="2"/>
        </w:numPr>
        <w:autoSpaceDE w:val="0"/>
        <w:ind w:firstLine="643"/>
        <w:rPr>
          <w:rFonts w:hint="eastAsia"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单位绩效评价情况</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我单位未组织开展绩效评价。</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（三）财政绩效评价情况</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lang w:eastAsia="zh-CN"/>
        </w:rPr>
        <w:t>区</w:t>
      </w:r>
      <w:r>
        <w:rPr>
          <w:rFonts w:hint="eastAsia" w:ascii="方正仿宋_GBK" w:hAnsi="方正仿宋_GBK" w:eastAsia="方正仿宋_GBK" w:cs="方正仿宋_GBK"/>
          <w:color w:val="auto"/>
          <w:sz w:val="32"/>
          <w:szCs w:val="32"/>
          <w:shd w:val="clear" w:color="auto" w:fill="FFFFFF"/>
        </w:rPr>
        <w:t>财政局未委托第三方对我单位开展绩效评价。</w:t>
      </w:r>
    </w:p>
    <w:p>
      <w:pPr>
        <w:pStyle w:val="6"/>
        <w:shd w:val="clear" w:color="auto" w:fill="FFFFFF"/>
        <w:rPr>
          <w:rStyle w:val="10"/>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 xml:space="preserve">  </w:t>
      </w:r>
      <w:r>
        <w:rPr>
          <w:rStyle w:val="10"/>
          <w:rFonts w:ascii="黑体" w:hAnsi="黑体" w:eastAsia="黑体" w:cs="黑体"/>
          <w:color w:val="auto"/>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b/>
          <w:bCs/>
          <w:color w:val="auto"/>
          <w:sz w:val="32"/>
          <w:szCs w:val="32"/>
          <w:shd w:val="clear" w:color="auto" w:fill="FFFFFF"/>
        </w:rPr>
        <w:t> </w:t>
      </w:r>
      <w:r>
        <w:rPr>
          <w:rFonts w:ascii="楷体" w:hAnsi="楷体" w:eastAsia="楷体" w:cs="楷体"/>
          <w:b/>
          <w:bCs/>
          <w:color w:val="auto"/>
          <w:sz w:val="32"/>
          <w:szCs w:val="32"/>
          <w:shd w:val="clear" w:color="auto" w:fill="FFFFFF"/>
        </w:rPr>
        <w:t>（一）财政拨款收入：</w:t>
      </w:r>
      <w:r>
        <w:rPr>
          <w:rFonts w:ascii="方正仿宋_GBK" w:hAnsi="方正仿宋_GBK" w:eastAsia="方正仿宋_GBK" w:cs="方正仿宋_GBK"/>
          <w:color w:val="auto"/>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（二）事业收入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（三）经营收入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（四）其他收入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楷体" w:hAnsi="楷体" w:eastAsia="楷体" w:cs="楷体"/>
          <w:color w:val="auto"/>
          <w:sz w:val="32"/>
          <w:szCs w:val="32"/>
          <w:shd w:val="clear" w:color="auto" w:fill="FFFFFF"/>
        </w:rPr>
        <w:t>（五）使用非财政拨款结余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（六）年初结转和结余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（七）结余分配</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（八）年末结转和结余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（九）基本支出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（十）项目支出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（十一）经营支出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（十二）“三公”经费</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（十三）机关运行经费</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（十四）工资福利支出（支出经济分类科目类级）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（十五）商品和服务支出（支出经济分类科目类级）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楷体" w:hAnsi="楷体" w:eastAsia="楷体" w:cs="楷体"/>
          <w:color w:val="auto"/>
          <w:sz w:val="32"/>
          <w:szCs w:val="32"/>
          <w:shd w:val="clear" w:color="auto" w:fill="FFFFFF"/>
        </w:rPr>
        <w:t> （十六）对个人和家庭的补助（支出经济分类科目类级）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（十七）其他资本性支出（支出经济分类科目类级）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 xml:space="preserve">  </w:t>
      </w:r>
      <w:r>
        <w:rPr>
          <w:rStyle w:val="10"/>
          <w:rFonts w:ascii="黑体" w:hAnsi="黑体" w:eastAsia="黑体" w:cs="黑体"/>
          <w:color w:val="auto"/>
          <w:sz w:val="32"/>
          <w:szCs w:val="32"/>
          <w:shd w:val="clear" w:color="auto" w:fill="FFFFFF"/>
        </w:rPr>
        <w:t>七、决算公开联系方式及信息反馈渠道</w:t>
      </w:r>
    </w:p>
    <w:p>
      <w:pPr>
        <w:pStyle w:val="11"/>
        <w:autoSpaceDE w:val="0"/>
        <w:ind w:firstLine="0" w:firstLineChars="0"/>
        <w:rPr>
          <w:rStyle w:val="10"/>
          <w:rFonts w:hint="default" w:ascii="方正仿宋_GBK" w:hAnsi="方正仿宋_GBK" w:eastAsia="方正仿宋_GBK" w:cs="方正仿宋_GBK"/>
          <w:color w:val="auto"/>
          <w:sz w:val="32"/>
          <w:szCs w:val="32"/>
          <w:shd w:val="clear" w:color="auto" w:fill="FFFF00"/>
          <w:lang w:val="en-US" w:eastAsia="zh-CN"/>
        </w:rPr>
        <w:sectPr>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color w:val="auto"/>
          <w:sz w:val="32"/>
          <w:szCs w:val="32"/>
          <w:shd w:val="clear" w:color="auto" w:fill="FFFFFF"/>
        </w:rPr>
        <w:t>本单位决算公开信息反馈和联系方式：</w:t>
      </w:r>
      <w:r>
        <w:rPr>
          <w:rFonts w:hint="eastAsia" w:ascii="方正仿宋_GBK" w:hAnsi="方正仿宋_GBK" w:eastAsia="方正仿宋_GBK" w:cs="方正仿宋_GBK"/>
          <w:color w:val="auto"/>
          <w:sz w:val="32"/>
          <w:szCs w:val="32"/>
          <w:shd w:val="clear" w:color="auto" w:fill="FFFFFF"/>
          <w:lang w:val="en-US" w:eastAsia="zh-CN"/>
        </w:rPr>
        <w:t>023-43406001</w:t>
      </w: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重庆市大足区回龙镇人民政府</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2,033.58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864.71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282.59</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10.18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167.05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38.45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284.59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743.22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160.20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44.57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3.20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2,316.17</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2,316.17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10.46</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10.46</w:t>
            </w: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2,326.64</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2,326.64</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重庆市大足区回龙镇人民政府</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2,316.17</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2,316.17</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864.71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864.71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859.71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859.71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737.88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737.88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121.83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121.83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群众团体事务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其他群众团体事务支出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文物保护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167.05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167.05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51.15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51.15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25.58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25.58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退役士兵安置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25.36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25.36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38.45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38.45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284.59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284.59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282.59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282.59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征地和拆迁补偿支出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96.54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96.54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743.22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743.22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210.96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210.96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197.26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197.26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518.34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518.34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258.00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258.00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260.34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260.34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44.57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44.57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36.07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36.07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62"/>
        <w:gridCol w:w="3630"/>
        <w:gridCol w:w="1662"/>
        <w:gridCol w:w="1662"/>
        <w:gridCol w:w="1662"/>
        <w:gridCol w:w="1646"/>
        <w:gridCol w:w="1646"/>
        <w:gridCol w:w="170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重庆市大足区回龙镇人民政府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2,316.17</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910.88</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1,405.29</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864.71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737.88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126.83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859.71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737.88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121.83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737.88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737.88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121.83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121.83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群众团体事务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其他群众团体事务支出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文物保护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167.05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101.26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65.79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100.43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100.43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51.15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51.15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25.58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25.58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退役士兵安置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25.36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25.36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25.36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0.84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0.84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38.45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35.66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35.66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35.66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32.14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32.14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284.59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284.59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282.59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282.59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征地和拆迁补偿支出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96.54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96.54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743.22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743.22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13.93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13.93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13.93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210.96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210.96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197.26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197.26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518.34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518.34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258.00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258.00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260.34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260.34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160.20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16.20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144.00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144.00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44.57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36.07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36.07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36.07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36.07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36.07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重庆市大足区回龙镇人民政府</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2,033.58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864.71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864.71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282.59</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167.05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167.05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38.45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38.45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284.59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282.59</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743.22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743.22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160.20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160.20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44.57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44.57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2,316.17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2,316.17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2,033.58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282.59</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10.46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10.46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10.46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10.46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2,326.64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2,326.64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2,044.05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282.59</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37"/>
        <w:gridCol w:w="3630"/>
        <w:gridCol w:w="3298"/>
        <w:gridCol w:w="3299"/>
        <w:gridCol w:w="331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重庆市大足区回龙镇人民政府</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2,033.58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910.88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1,122.70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864.71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737.88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126.83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859.71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737.88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121.83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737.88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737.88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121.83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121.83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群众团体事务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其他群众团体事务支出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10.18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10.18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文物保护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167.05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101.26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65.79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100.43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100.43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51.15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51.15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25.58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25.58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16.48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16.48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0.43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0.43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退役士兵安置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25.36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25.36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25.36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25.36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0.84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0.84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0.84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0.84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38.45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35.66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35.66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35.66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32.14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32.14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743.22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743.22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13.93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13.93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13.93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13.93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210.96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210.96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13.70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13.70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197.26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197.26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518.34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518.34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258.00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258.00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260.34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260.34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160.20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160.20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16.20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16.20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144.00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144.00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144.00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144.00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44.57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36.07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8.50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8.50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8.50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8.50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36.07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36.07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36.07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36.07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3.20</w:t>
            </w: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重庆市大足区回龙镇人民政府</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604.13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181.02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24.49</w:t>
            </w: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123.11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19.58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92.60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24.49</w:t>
            </w: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186.69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37.53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51.15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11.33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25.58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32.14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6.43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36.07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9.30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101.25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92.43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9.30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24.06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43.76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705.37</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205.51</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777"/>
        <w:gridCol w:w="3630"/>
        <w:gridCol w:w="1629"/>
        <w:gridCol w:w="1629"/>
        <w:gridCol w:w="1629"/>
        <w:gridCol w:w="1630"/>
        <w:gridCol w:w="1695"/>
        <w:gridCol w:w="175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重庆市大足区回龙镇人民政府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282.59</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282.59</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282.59</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282.59</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282.59</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282.59</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282.59</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282.59</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282.59</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征地和拆迁补偿支出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170.00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170.00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170.00</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2120814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农业生产发展支出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96.54</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96.54</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96.54</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16.05</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16.05</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16.05</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重庆市大足区回龙镇人民政府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重庆市大足区回龙镇人民政府</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205.51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12.08</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12.08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205.51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5.95</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5.95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2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5.95</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5.95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6.13</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6.13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6.13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280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334.87</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8.64</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2,986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326.24</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334.87</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147.09</w:t>
            </w: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8.27</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1.96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51B16A4C"/>
    <w:multiLevelType w:val="singleLevel"/>
    <w:tmpl w:val="51B16A4C"/>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M4MmIyMDUzZWVjZTVjYjMzZDAxZmRhOTAxODZjODkifQ=="/>
  </w:docVars>
  <w:rsids>
    <w:rsidRoot w:val="00172A27"/>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203079"/>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ADA22C8"/>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5F127D"/>
    <w:rsid w:val="3ADD7F09"/>
    <w:rsid w:val="3B1705E5"/>
    <w:rsid w:val="3B18334B"/>
    <w:rsid w:val="3B36794F"/>
    <w:rsid w:val="3B6F6EE0"/>
    <w:rsid w:val="3C1A101E"/>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806133"/>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BD83B2F"/>
    <w:rsid w:val="7C3A7C0B"/>
    <w:rsid w:val="7C5248E4"/>
    <w:rsid w:val="7C566698"/>
    <w:rsid w:val="7C5866A3"/>
    <w:rsid w:val="7CBD5CDF"/>
    <w:rsid w:val="7D366D5F"/>
    <w:rsid w:val="7D7406BB"/>
    <w:rsid w:val="7DE94331"/>
    <w:rsid w:val="7F1317E8"/>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5"/>
    <w:autoRedefine/>
    <w:qFormat/>
    <w:uiPriority w:val="0"/>
    <w:rPr>
      <w:sz w:val="18"/>
      <w:szCs w:val="18"/>
    </w:rPr>
  </w:style>
  <w:style w:type="paragraph" w:styleId="3">
    <w:name w:val="footer"/>
    <w:basedOn w:val="1"/>
    <w:autoRedefine/>
    <w:qFormat/>
    <w:uiPriority w:val="0"/>
    <w:pPr>
      <w:tabs>
        <w:tab w:val="center" w:pos="4153"/>
        <w:tab w:val="right" w:pos="8306"/>
      </w:tabs>
      <w:snapToGrid w:val="0"/>
    </w:pPr>
    <w:rPr>
      <w:sz w:val="18"/>
      <w:szCs w:val="18"/>
    </w:rPr>
  </w:style>
  <w:style w:type="paragraph" w:styleId="4">
    <w:name w:val="header"/>
    <w:basedOn w:val="1"/>
    <w:autoRedefine/>
    <w:qFormat/>
    <w:uiPriority w:val="0"/>
    <w:pPr>
      <w:tabs>
        <w:tab w:val="center" w:pos="4153"/>
        <w:tab w:val="right" w:pos="8306"/>
      </w:tabs>
      <w:snapToGrid w:val="0"/>
      <w:jc w:val="center"/>
    </w:pPr>
    <w:rPr>
      <w:sz w:val="18"/>
      <w:szCs w:val="18"/>
    </w:rPr>
  </w:style>
  <w:style w:type="paragraph" w:styleId="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autoRedefine/>
    <w:unhideWhenUsed/>
    <w:qFormat/>
    <w:uiPriority w:val="0"/>
    <w:pPr>
      <w:spacing w:before="100" w:beforeAutospacing="1" w:after="100" w:afterAutospacing="1"/>
    </w:p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autoRedefine/>
    <w:qFormat/>
    <w:uiPriority w:val="0"/>
    <w:rPr>
      <w:b/>
    </w:rPr>
  </w:style>
  <w:style w:type="paragraph" w:customStyle="1" w:styleId="11">
    <w:name w:val="列出段落1"/>
    <w:basedOn w:val="1"/>
    <w:autoRedefine/>
    <w:qFormat/>
    <w:uiPriority w:val="99"/>
    <w:pPr>
      <w:ind w:firstLine="420" w:firstLineChars="200"/>
    </w:pPr>
    <w:rPr>
      <w:rFonts w:hint="default"/>
    </w:rPr>
  </w:style>
  <w:style w:type="paragraph" w:customStyle="1" w:styleId="12">
    <w:name w:val="普通(网站) Char"/>
    <w:autoRedefine/>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autoRedefine/>
    <w:qFormat/>
    <w:uiPriority w:val="0"/>
    <w:rPr>
      <w:rFonts w:hint="default" w:ascii="Wingdings" w:hAnsi="Wingdings" w:cs="Wingdings"/>
      <w:b/>
      <w:bCs/>
    </w:rPr>
  </w:style>
  <w:style w:type="paragraph" w:customStyle="1" w:styleId="14">
    <w:name w:val="列出段落2"/>
    <w:autoRedefine/>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autoRedefine/>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2.emf"/><Relationship Id="rId3" Type="http://schemas.openxmlformats.org/officeDocument/2006/relationships/footer" Target="footer1.xml"/><Relationship Id="rId29" Type="http://schemas.openxmlformats.org/officeDocument/2006/relationships/oleObject" Target="embeddings/oleObject12.bin"/><Relationship Id="rId28" Type="http://schemas.openxmlformats.org/officeDocument/2006/relationships/image" Target="media/image11.emf"/><Relationship Id="rId27" Type="http://schemas.openxmlformats.org/officeDocument/2006/relationships/oleObject" Target="embeddings/oleObject11.bin"/><Relationship Id="rId26" Type="http://schemas.openxmlformats.org/officeDocument/2006/relationships/image" Target="media/image10.emf"/><Relationship Id="rId25" Type="http://schemas.openxmlformats.org/officeDocument/2006/relationships/oleObject" Target="embeddings/oleObject10.bin"/><Relationship Id="rId24" Type="http://schemas.openxmlformats.org/officeDocument/2006/relationships/image" Target="media/image9.emf"/><Relationship Id="rId23" Type="http://schemas.openxmlformats.org/officeDocument/2006/relationships/oleObject" Target="embeddings/oleObject9.bin"/><Relationship Id="rId22" Type="http://schemas.openxmlformats.org/officeDocument/2006/relationships/image" Target="media/image8.emf"/><Relationship Id="rId21" Type="http://schemas.openxmlformats.org/officeDocument/2006/relationships/oleObject" Target="embeddings/oleObject8.bin"/><Relationship Id="rId20" Type="http://schemas.openxmlformats.org/officeDocument/2006/relationships/image" Target="media/image7.e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6.emf"/><Relationship Id="rId17" Type="http://schemas.openxmlformats.org/officeDocument/2006/relationships/oleObject" Target="embeddings/oleObject6.bin"/><Relationship Id="rId16" Type="http://schemas.openxmlformats.org/officeDocument/2006/relationships/image" Target="media/image5.emf"/><Relationship Id="rId15" Type="http://schemas.openxmlformats.org/officeDocument/2006/relationships/oleObject" Target="embeddings/oleObject5.bin"/><Relationship Id="rId14" Type="http://schemas.openxmlformats.org/officeDocument/2006/relationships/image" Target="media/image4.emf"/><Relationship Id="rId13" Type="http://schemas.openxmlformats.org/officeDocument/2006/relationships/oleObject" Target="embeddings/oleObject4.bin"/><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1</TotalTime>
  <ScaleCrop>false</ScaleCrop>
  <LinksUpToDate>false</LinksUpToDate>
  <CharactersWithSpaces>26759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2024-10-17T02:34:51Z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BB46EABDBB2749749395447164B066B3_12</vt:lpwstr>
  </property>
</Properties>
</file>