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865E2">
      <w:pPr>
        <w:pStyle w:val="3"/>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jc w:val="center"/>
        <w:textAlignment w:val="auto"/>
        <w:rPr>
          <w:rFonts w:hint="eastAsia" w:ascii="方正小标宋_GBK" w:hAnsi="方正小标宋_GBK" w:eastAsia="方正小标宋_GBK" w:cs="方正小标宋_GBK"/>
          <w:b/>
          <w:bCs/>
          <w:sz w:val="44"/>
          <w:szCs w:val="44"/>
          <w:shd w:val="clear" w:color="auto" w:fill="FFFFFF"/>
        </w:rPr>
      </w:pPr>
      <w:r>
        <w:rPr>
          <w:rFonts w:hint="eastAsia" w:ascii="方正小标宋_GBK" w:hAnsi="方正小标宋_GBK" w:eastAsia="方正小标宋_GBK" w:cs="方正小标宋_GBK"/>
          <w:b/>
          <w:bCs/>
          <w:sz w:val="44"/>
          <w:szCs w:val="44"/>
        </w:rPr>
        <w:t>重庆市大足区国梁镇劳动就业和社会保障服务所</w:t>
      </w:r>
      <w:r>
        <w:rPr>
          <w:rFonts w:hint="eastAsia" w:ascii="Times New Roman" w:hAnsi="Times New Roman" w:eastAsia="方正仿宋_GBK" w:cs="宋体"/>
          <w:b/>
          <w:bCs/>
          <w:sz w:val="44"/>
          <w:szCs w:val="44"/>
          <w:lang w:val="en-US" w:eastAsia="zh-CN"/>
        </w:rPr>
        <w:t>2023</w:t>
      </w:r>
      <w:r>
        <w:rPr>
          <w:rFonts w:hint="eastAsia" w:ascii="方正小标宋_GBK" w:hAnsi="方正小标宋_GBK" w:eastAsia="方正小标宋_GBK" w:cs="方正小标宋_GBK"/>
          <w:b/>
          <w:bCs/>
          <w:sz w:val="44"/>
          <w:szCs w:val="44"/>
          <w:shd w:val="clear" w:color="auto" w:fill="FFFFFF"/>
        </w:rPr>
        <w:t>年度决算公开说明</w:t>
      </w:r>
    </w:p>
    <w:p w14:paraId="73C85F28">
      <w:pPr>
        <w:pStyle w:val="3"/>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jc w:val="center"/>
        <w:textAlignment w:val="auto"/>
        <w:rPr>
          <w:rFonts w:hint="eastAsia" w:ascii="方正小标宋_GBK" w:hAnsi="方正小标宋_GBK" w:eastAsia="方正小标宋_GBK" w:cs="方正小标宋_GBK"/>
          <w:b/>
          <w:bCs/>
          <w:sz w:val="44"/>
          <w:szCs w:val="44"/>
          <w:shd w:val="clear" w:color="auto" w:fill="FFFFFF"/>
        </w:rPr>
      </w:pPr>
    </w:p>
    <w:p w14:paraId="39C50273">
      <w:pPr>
        <w:pStyle w:val="2"/>
        <w:keepNext w:val="0"/>
        <w:keepLines w:val="0"/>
        <w:pageBreakBefore w:val="0"/>
        <w:widowControl/>
        <w:shd w:val="clear"/>
        <w:kinsoku/>
        <w:wordWrap/>
        <w:overflowPunct/>
        <w:topLinePunct w:val="0"/>
        <w:autoSpaceDN/>
        <w:bidi w:val="0"/>
        <w:adjustRightInd/>
        <w:snapToGrid/>
        <w:spacing w:before="0" w:line="594" w:lineRule="exact"/>
        <w:ind w:firstLine="640" w:firstLineChars="200"/>
        <w:textAlignment w:val="auto"/>
        <w:rPr>
          <w:rFonts w:hint="eastAsia"/>
          <w:sz w:val="32"/>
          <w:szCs w:val="32"/>
        </w:rPr>
      </w:pPr>
      <w:r>
        <w:rPr>
          <w:rFonts w:hint="eastAsia"/>
          <w:sz w:val="32"/>
          <w:szCs w:val="32"/>
        </w:rPr>
        <w:t>一、单位基本情况</w:t>
      </w:r>
    </w:p>
    <w:p w14:paraId="3EDA3F5E">
      <w:pPr>
        <w:pStyle w:val="4"/>
        <w:keepNext w:val="0"/>
        <w:keepLines w:val="0"/>
        <w:pageBreakBefore w:val="0"/>
        <w:widowControl/>
        <w:shd w:val="clear"/>
        <w:kinsoku/>
        <w:wordWrap/>
        <w:overflowPunct/>
        <w:topLinePunct w:val="0"/>
        <w:autoSpaceDN/>
        <w:bidi w:val="0"/>
        <w:adjustRightInd/>
        <w:snapToGrid/>
        <w:spacing w:line="594" w:lineRule="exact"/>
        <w:ind w:firstLine="640" w:firstLineChars="200"/>
        <w:textAlignment w:val="auto"/>
        <w:rPr>
          <w:rFonts w:hint="eastAsia"/>
          <w:sz w:val="32"/>
          <w:szCs w:val="32"/>
          <w:shd w:val="clear"/>
          <w:lang w:val="en-US" w:eastAsia="zh-CN"/>
        </w:rPr>
      </w:pPr>
      <w:r>
        <w:rPr>
          <w:rFonts w:hint="eastAsia"/>
          <w:sz w:val="32"/>
          <w:szCs w:val="32"/>
          <w:shd w:val="clear"/>
          <w:lang w:val="en-US" w:eastAsia="zh-CN"/>
        </w:rPr>
        <w:t>（一）职能职责</w:t>
      </w:r>
    </w:p>
    <w:p w14:paraId="1D77B514">
      <w:pPr>
        <w:pStyle w:val="3"/>
        <w:keepNext w:val="0"/>
        <w:keepLines w:val="0"/>
        <w:pageBreakBefore w:val="0"/>
        <w:widowControl/>
        <w:shd w:val="clear" w:color="auto"/>
        <w:kinsoku/>
        <w:wordWrap/>
        <w:overflowPunct/>
        <w:topLinePunct w:val="0"/>
        <w:autoSpaceDN/>
        <w:bidi w:val="0"/>
        <w:adjustRightInd/>
        <w:snapToGrid/>
        <w:spacing w:before="0" w:beforeAutospacing="0" w:after="0" w:afterAutospacing="0" w:line="594" w:lineRule="exact"/>
        <w:ind w:left="0"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承担劳动、就业创业、农民工综合服务、农村劳动力转移、养老保险、失业保险、医疗保险、工伤保险、生育保险、城镇居民最低生活保障、优抚救济、社会救助、医疗救助、残疾人保障、老龄工作等方面的事务性工作，人民的生活得以保障。</w:t>
      </w:r>
    </w:p>
    <w:p w14:paraId="54202F26">
      <w:pPr>
        <w:pStyle w:val="4"/>
        <w:keepNext w:val="0"/>
        <w:keepLines w:val="0"/>
        <w:pageBreakBefore w:val="0"/>
        <w:widowControl/>
        <w:shd w:val="clear"/>
        <w:kinsoku/>
        <w:wordWrap/>
        <w:overflowPunct/>
        <w:topLinePunct w:val="0"/>
        <w:autoSpaceDN/>
        <w:bidi w:val="0"/>
        <w:adjustRightInd/>
        <w:snapToGrid/>
        <w:spacing w:line="594" w:lineRule="exact"/>
        <w:ind w:firstLine="640" w:firstLineChars="200"/>
        <w:textAlignment w:val="auto"/>
        <w:rPr>
          <w:rFonts w:hint="default"/>
          <w:sz w:val="32"/>
          <w:szCs w:val="32"/>
          <w:shd w:val="clear"/>
          <w:lang w:val="en-US" w:eastAsia="zh-CN"/>
        </w:rPr>
      </w:pPr>
      <w:r>
        <w:rPr>
          <w:rFonts w:hint="eastAsia"/>
          <w:sz w:val="32"/>
          <w:szCs w:val="32"/>
          <w:shd w:val="clear"/>
          <w:lang w:val="en-US" w:eastAsia="zh-CN"/>
        </w:rPr>
        <w:t>（二）机构设置</w:t>
      </w:r>
    </w:p>
    <w:p w14:paraId="1263BC79">
      <w:pPr>
        <w:pStyle w:val="3"/>
        <w:keepNext w:val="0"/>
        <w:keepLines w:val="0"/>
        <w:pageBreakBefore w:val="0"/>
        <w:widowControl/>
        <w:shd w:val="clear" w:color="auto"/>
        <w:kinsoku/>
        <w:wordWrap/>
        <w:overflowPunct/>
        <w:topLinePunct w:val="0"/>
        <w:autoSpaceDN/>
        <w:bidi w:val="0"/>
        <w:adjustRightInd/>
        <w:snapToGrid/>
        <w:spacing w:before="0" w:beforeAutospacing="0" w:after="0" w:afterAutospacing="0" w:line="594" w:lineRule="exact"/>
        <w:ind w:left="0" w:firstLine="640" w:firstLineChars="200"/>
        <w:jc w:val="both"/>
        <w:textAlignment w:val="auto"/>
        <w:rPr>
          <w:rFonts w:hint="eastAsia" w:ascii="Times New Roman" w:hAnsi="Times New Roman" w:eastAsia="方正仿宋_GBK" w:cs="宋体"/>
          <w:sz w:val="32"/>
          <w:szCs w:val="32"/>
          <w:lang w:val="en-US" w:eastAsia="zh-CN"/>
        </w:rPr>
      </w:pPr>
      <w:r>
        <w:rPr>
          <w:rFonts w:hint="eastAsia" w:ascii="Times New Roman" w:hAnsi="Times New Roman" w:eastAsia="方正仿宋_GBK" w:cs="宋体"/>
          <w:sz w:val="32"/>
          <w:szCs w:val="32"/>
          <w:lang w:val="en-US" w:eastAsia="zh-CN"/>
        </w:rPr>
        <w:t>机构数上年度1个，本年度1个。</w:t>
      </w:r>
    </w:p>
    <w:p w14:paraId="58BA7717">
      <w:pPr>
        <w:pStyle w:val="2"/>
        <w:keepNext w:val="0"/>
        <w:keepLines w:val="0"/>
        <w:pageBreakBefore w:val="0"/>
        <w:widowControl/>
        <w:shd w:val="clear" w:color="auto"/>
        <w:kinsoku/>
        <w:wordWrap/>
        <w:overflowPunct/>
        <w:topLinePunct w:val="0"/>
        <w:autoSpaceDN/>
        <w:bidi w:val="0"/>
        <w:adjustRightInd/>
        <w:snapToGrid/>
        <w:spacing w:before="0" w:line="594" w:lineRule="exact"/>
        <w:ind w:firstLine="640" w:firstLineChars="200"/>
        <w:textAlignment w:val="auto"/>
        <w:rPr>
          <w:rFonts w:hint="default"/>
          <w:sz w:val="32"/>
          <w:szCs w:val="32"/>
          <w:shd w:val="clear"/>
        </w:rPr>
      </w:pPr>
      <w:r>
        <w:rPr>
          <w:rFonts w:hint="eastAsia"/>
          <w:sz w:val="32"/>
          <w:szCs w:val="32"/>
          <w:shd w:val="clear"/>
        </w:rPr>
        <w:t>二、单位决算情况说明</w:t>
      </w:r>
    </w:p>
    <w:p w14:paraId="576B00C8">
      <w:pPr>
        <w:pStyle w:val="4"/>
        <w:keepNext w:val="0"/>
        <w:keepLines w:val="0"/>
        <w:pageBreakBefore w:val="0"/>
        <w:widowControl/>
        <w:shd w:val="clear"/>
        <w:kinsoku/>
        <w:wordWrap/>
        <w:overflowPunct/>
        <w:topLinePunct w:val="0"/>
        <w:autoSpaceDN/>
        <w:bidi w:val="0"/>
        <w:adjustRightInd/>
        <w:snapToGrid/>
        <w:spacing w:line="594" w:lineRule="exact"/>
        <w:ind w:firstLine="640" w:firstLineChars="200"/>
        <w:textAlignment w:val="auto"/>
        <w:rPr>
          <w:rFonts w:hint="eastAsia"/>
          <w:sz w:val="32"/>
          <w:szCs w:val="32"/>
          <w:shd w:val="clear"/>
          <w:lang w:val="en-US" w:eastAsia="zh-CN"/>
        </w:rPr>
      </w:pPr>
      <w:r>
        <w:rPr>
          <w:rFonts w:hint="eastAsia"/>
          <w:sz w:val="32"/>
          <w:szCs w:val="32"/>
          <w:shd w:val="clear"/>
          <w:lang w:val="en-US" w:eastAsia="zh-CN"/>
        </w:rPr>
        <w:t>（一）收入支出决算总体情况说明</w:t>
      </w:r>
    </w:p>
    <w:p w14:paraId="085FE004">
      <w:pPr>
        <w:pStyle w:val="3"/>
        <w:keepNext w:val="0"/>
        <w:keepLines w:val="0"/>
        <w:pageBreakBefore w:val="0"/>
        <w:widowControl/>
        <w:shd w:val="clear" w:color="auto"/>
        <w:kinsoku/>
        <w:wordWrap/>
        <w:overflowPunct/>
        <w:topLinePunct w:val="0"/>
        <w:autoSpaceDN/>
        <w:bidi w:val="0"/>
        <w:adjustRightInd/>
        <w:snapToGrid/>
        <w:spacing w:before="0" w:beforeAutospacing="0" w:after="0" w:afterAutospacing="0" w:line="594" w:lineRule="exact"/>
        <w:ind w:leftChars="0" w:firstLine="643" w:firstLineChars="200"/>
        <w:jc w:val="both"/>
        <w:textAlignment w:val="auto"/>
        <w:rPr>
          <w:rFonts w:hint="default" w:ascii="Times New Roman" w:hAnsi="Times New Roman" w:eastAsia="方正仿宋_GBK" w:cs="方正仿宋_GBK"/>
          <w:sz w:val="32"/>
          <w:szCs w:val="32"/>
        </w:rPr>
      </w:pPr>
      <w:r>
        <w:rPr>
          <w:rStyle w:val="13"/>
          <w:rFonts w:ascii="Times New Roman" w:hAnsi="Times New Roman" w:eastAsia="方正仿宋_GBK" w:cs="方正仿宋_GBK"/>
          <w:sz w:val="32"/>
          <w:szCs w:val="32"/>
          <w:shd w:val="clear" w:color="auto" w:fill="FFFFFF"/>
        </w:rPr>
        <w:t>1.总体情况。</w:t>
      </w:r>
      <w:r>
        <w:rPr>
          <w:rFonts w:ascii="Times New Roman" w:hAnsi="Times New Roman" w:eastAsia="方正仿宋_GBK" w:cs="方正仿宋_GBK"/>
          <w:sz w:val="32"/>
          <w:szCs w:val="32"/>
          <w:shd w:val="clear" w:color="auto" w:fill="FFFFFF"/>
        </w:rPr>
        <w:t>2023年度收入总计62.16万元，支出总计</w:t>
      </w:r>
      <w:r>
        <w:rPr>
          <w:rFonts w:ascii="Times New Roman" w:hAnsi="Times New Roman" w:eastAsia="方正仿宋_GBK" w:cs="方正仿宋_GBK"/>
          <w:sz w:val="32"/>
          <w:szCs w:val="32"/>
        </w:rPr>
        <w:t>62.16</w:t>
      </w:r>
      <w:r>
        <w:rPr>
          <w:rFonts w:ascii="Times New Roman" w:hAnsi="Times New Roman" w:eastAsia="方正仿宋_GBK" w:cs="方正仿宋_GBK"/>
          <w:sz w:val="32"/>
          <w:szCs w:val="32"/>
          <w:shd w:val="clear" w:color="auto" w:fill="FFFFFF"/>
        </w:rPr>
        <w:t>万元。收支较上年决算数增加62.16万元，增长100.00%，主要原因是</w:t>
      </w:r>
      <w:r>
        <w:rPr>
          <w:rFonts w:hint="eastAsia" w:ascii="Times New Roman" w:hAnsi="Times New Roman" w:eastAsia="方正仿宋_GBK" w:cs="方正仿宋_GBK"/>
          <w:sz w:val="32"/>
          <w:szCs w:val="32"/>
          <w:shd w:val="clear" w:color="auto" w:fill="FFFFFF"/>
          <w:lang w:val="en-US" w:eastAsia="zh-CN"/>
        </w:rPr>
        <w:t>2022</w:t>
      </w:r>
      <w:r>
        <w:rPr>
          <w:rFonts w:hint="eastAsia" w:ascii="仿宋_GB2312" w:hAnsi="仿宋" w:eastAsia="仿宋_GB2312" w:cs="宋体"/>
          <w:sz w:val="32"/>
          <w:szCs w:val="32"/>
          <w:lang w:val="en-US" w:eastAsia="zh-CN"/>
        </w:rPr>
        <w:t>年为合并报表，</w:t>
      </w:r>
      <w:r>
        <w:rPr>
          <w:rFonts w:hint="eastAsia" w:ascii="Times New Roman" w:hAnsi="Times New Roman" w:eastAsia="方正仿宋_GBK" w:cs="方正仿宋_GBK"/>
          <w:sz w:val="32"/>
          <w:szCs w:val="32"/>
          <w:shd w:val="clear" w:color="auto" w:fill="FFFFFF"/>
          <w:lang w:val="en-US" w:eastAsia="zh-CN"/>
        </w:rPr>
        <w:t>2023</w:t>
      </w:r>
      <w:r>
        <w:rPr>
          <w:rFonts w:hint="eastAsia" w:ascii="仿宋_GB2312" w:hAnsi="仿宋" w:eastAsia="仿宋_GB2312" w:cs="宋体"/>
          <w:sz w:val="32"/>
          <w:szCs w:val="32"/>
          <w:lang w:val="en-US" w:eastAsia="zh-CN"/>
        </w:rPr>
        <w:t>年事业单位分开填报。</w:t>
      </w:r>
    </w:p>
    <w:p w14:paraId="5E0C5EEC">
      <w:pPr>
        <w:pStyle w:val="5"/>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left="0" w:firstLine="643" w:firstLineChars="200"/>
        <w:textAlignment w:val="auto"/>
        <w:rPr>
          <w:rFonts w:ascii="Times New Roman" w:hAnsi="Times New Roman" w:eastAsia="方正仿宋_GBK" w:cs="方正仿宋_GBK"/>
          <w:sz w:val="32"/>
          <w:szCs w:val="32"/>
          <w:shd w:val="clear" w:color="auto" w:fill="FFFFFF"/>
        </w:rPr>
      </w:pPr>
      <w:r>
        <w:rPr>
          <w:rStyle w:val="13"/>
          <w:rFonts w:ascii="Times New Roman" w:hAnsi="Times New Roman" w:eastAsia="方正仿宋_GBK" w:cs="方正仿宋_GBK"/>
          <w:sz w:val="32"/>
          <w:szCs w:val="32"/>
          <w:shd w:val="clear" w:color="auto" w:fill="FFFFFF"/>
        </w:rPr>
        <w:t>2.收入情况。</w:t>
      </w:r>
      <w:r>
        <w:rPr>
          <w:rFonts w:ascii="Times New Roman" w:hAnsi="Times New Roman" w:eastAsia="方正仿宋_GBK" w:cs="方正仿宋_GBK"/>
          <w:sz w:val="32"/>
          <w:szCs w:val="32"/>
          <w:shd w:val="clear" w:color="auto" w:fill="FFFFFF"/>
        </w:rPr>
        <w:t>2023年度收入合计62.16万元，较上年决算数增加62.16万元，增长100.00%</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其中：财政拨款收入</w:t>
      </w:r>
      <w:r>
        <w:rPr>
          <w:rFonts w:ascii="Times New Roman" w:hAnsi="Times New Roman" w:eastAsia="方正仿宋_GBK" w:cs="方正仿宋_GBK"/>
          <w:sz w:val="32"/>
          <w:szCs w:val="32"/>
        </w:rPr>
        <w:t>62.16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100.00</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万元，占0.00%；其他收入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w:t>
      </w:r>
    </w:p>
    <w:p w14:paraId="3E12E33A">
      <w:pPr>
        <w:keepNext w:val="0"/>
        <w:keepLines w:val="0"/>
        <w:pageBreakBefore w:val="0"/>
        <w:widowControl/>
        <w:shd w:val="clear"/>
        <w:tabs>
          <w:tab w:val="left" w:pos="1782"/>
        </w:tabs>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外，使用非财政拨款结余和专用结余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eastAsia="zh-CN"/>
        </w:rPr>
        <w:t>年初结转和结</w:t>
      </w:r>
    </w:p>
    <w:p w14:paraId="3BB6CBF0">
      <w:pPr>
        <w:keepNext w:val="0"/>
        <w:keepLines w:val="0"/>
        <w:pageBreakBefore w:val="0"/>
        <w:shd w:val="clear"/>
        <w:kinsoku/>
        <w:wordWrap/>
        <w:overflowPunct/>
        <w:topLinePunct w:val="0"/>
        <w:autoSpaceDN/>
        <w:bidi w:val="0"/>
        <w:adjustRightInd/>
        <w:spacing w:line="594" w:lineRule="exact"/>
        <w:ind w:firstLine="640" w:firstLineChars="200"/>
        <w:jc w:val="left"/>
        <w:textAlignment w:val="auto"/>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2201142B">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shd w:val="clear" w:color="auto" w:fill="FFFFFF"/>
        </w:rPr>
      </w:pPr>
      <w:r>
        <w:rPr>
          <w:rStyle w:val="13"/>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62.16</w:t>
      </w:r>
      <w:r>
        <w:rPr>
          <w:rFonts w:ascii="Times New Roman" w:hAnsi="Times New Roman" w:eastAsia="方正仿宋_GBK" w:cs="方正仿宋_GBK"/>
          <w:sz w:val="32"/>
          <w:szCs w:val="32"/>
          <w:shd w:val="clear" w:color="auto" w:fill="FFFFFF"/>
        </w:rPr>
        <w:t>万元，较上年决算数增加62.16万元，增长100.00%</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其中：基本支出</w:t>
      </w:r>
      <w:r>
        <w:rPr>
          <w:rFonts w:ascii="Times New Roman" w:hAnsi="Times New Roman" w:eastAsia="方正仿宋_GBK" w:cs="方正仿宋_GBK"/>
          <w:sz w:val="32"/>
          <w:szCs w:val="32"/>
        </w:rPr>
        <w:t>62.16</w:t>
      </w:r>
      <w:r>
        <w:rPr>
          <w:rFonts w:ascii="Times New Roman" w:hAnsi="Times New Roman" w:eastAsia="方正仿宋_GBK" w:cs="方正仿宋_GBK"/>
          <w:sz w:val="32"/>
          <w:szCs w:val="32"/>
          <w:shd w:val="clear" w:color="auto" w:fill="FFFFFF"/>
        </w:rPr>
        <w:t>万元，占100.00%；项目支出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万元，占0.00%。此外，结余分配</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125A145D">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3"/>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万元，较上年决算数无增减，主要原因是</w:t>
      </w:r>
      <w:r>
        <w:rPr>
          <w:rFonts w:hint="eastAsia" w:ascii="Times New Roman" w:hAnsi="Times New Roman" w:eastAsia="方正仿宋_GBK" w:cs="方正仿宋_GBK"/>
          <w:sz w:val="32"/>
          <w:szCs w:val="32"/>
          <w:shd w:val="clear" w:color="auto" w:fill="FFFFFF"/>
          <w:lang w:val="en-US" w:eastAsia="zh-CN"/>
        </w:rPr>
        <w:t>本年度收支平衡。</w:t>
      </w:r>
    </w:p>
    <w:p w14:paraId="74A9520D">
      <w:pPr>
        <w:pStyle w:val="4"/>
        <w:keepNext w:val="0"/>
        <w:keepLines w:val="0"/>
        <w:pageBreakBefore w:val="0"/>
        <w:widowControl/>
        <w:shd w:val="clear"/>
        <w:kinsoku/>
        <w:wordWrap/>
        <w:overflowPunct/>
        <w:topLinePunct w:val="0"/>
        <w:autoSpaceDN/>
        <w:bidi w:val="0"/>
        <w:adjustRightInd/>
        <w:spacing w:line="594" w:lineRule="exact"/>
        <w:ind w:firstLine="640" w:firstLineChars="200"/>
        <w:textAlignment w:val="auto"/>
        <w:rPr>
          <w:rFonts w:hint="eastAsia"/>
          <w:sz w:val="32"/>
          <w:szCs w:val="32"/>
          <w:shd w:val="clear"/>
          <w:lang w:val="en-US" w:eastAsia="zh-CN"/>
        </w:rPr>
      </w:pPr>
      <w:r>
        <w:rPr>
          <w:rFonts w:hint="eastAsia"/>
          <w:sz w:val="32"/>
          <w:szCs w:val="32"/>
          <w:shd w:val="clear"/>
          <w:lang w:val="en-US" w:eastAsia="zh-CN"/>
        </w:rPr>
        <w:t>（二）财政拨款收入支出决算总体情况说明</w:t>
      </w:r>
    </w:p>
    <w:p w14:paraId="068959A8">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2023年度财政拨款收、支总计62.16万元。与2022年相比，财政拨款收、支总计各增加62.16万元，增长100.00%。主要原因是</w:t>
      </w:r>
      <w:r>
        <w:rPr>
          <w:rFonts w:hint="eastAsia" w:ascii="Times New Roman" w:hAnsi="Times New Roman" w:eastAsia="方正仿宋_GBK" w:cs="方正仿宋_GBK"/>
          <w:sz w:val="32"/>
          <w:szCs w:val="32"/>
          <w:lang w:val="en-US" w:eastAsia="zh-CN"/>
        </w:rPr>
        <w:t>2022</w:t>
      </w:r>
      <w:r>
        <w:rPr>
          <w:rFonts w:hint="eastAsia" w:ascii="仿宋_GB2312" w:hAnsi="仿宋" w:eastAsia="仿宋_GB2312" w:cs="宋体"/>
          <w:sz w:val="32"/>
          <w:szCs w:val="32"/>
          <w:lang w:val="en-US" w:eastAsia="zh-CN"/>
        </w:rPr>
        <w:t>年为合并报表，</w:t>
      </w:r>
      <w:r>
        <w:rPr>
          <w:rFonts w:hint="eastAsia" w:ascii="Times New Roman" w:hAnsi="Times New Roman" w:eastAsia="方正仿宋_GBK" w:cs="方正仿宋_GBK"/>
          <w:sz w:val="32"/>
          <w:szCs w:val="32"/>
          <w:lang w:val="en-US" w:eastAsia="zh-CN"/>
        </w:rPr>
        <w:t>2023</w:t>
      </w:r>
      <w:r>
        <w:rPr>
          <w:rFonts w:hint="eastAsia" w:ascii="仿宋_GB2312" w:hAnsi="仿宋" w:eastAsia="仿宋_GB2312" w:cs="宋体"/>
          <w:sz w:val="32"/>
          <w:szCs w:val="32"/>
          <w:lang w:val="en-US" w:eastAsia="zh-CN"/>
        </w:rPr>
        <w:t>年事业单位分开填报。</w:t>
      </w:r>
    </w:p>
    <w:p w14:paraId="3142E961">
      <w:pPr>
        <w:pStyle w:val="4"/>
        <w:keepNext w:val="0"/>
        <w:keepLines w:val="0"/>
        <w:pageBreakBefore w:val="0"/>
        <w:widowControl/>
        <w:shd w:val="clear"/>
        <w:kinsoku/>
        <w:wordWrap/>
        <w:overflowPunct/>
        <w:topLinePunct w:val="0"/>
        <w:autoSpaceDN/>
        <w:bidi w:val="0"/>
        <w:adjustRightInd/>
        <w:spacing w:line="594" w:lineRule="exact"/>
        <w:ind w:firstLine="640" w:firstLineChars="200"/>
        <w:textAlignment w:val="auto"/>
        <w:rPr>
          <w:rFonts w:hint="eastAsia"/>
          <w:sz w:val="32"/>
          <w:szCs w:val="32"/>
          <w:shd w:val="clear"/>
          <w:lang w:val="en-US" w:eastAsia="zh-CN"/>
        </w:rPr>
      </w:pPr>
      <w:r>
        <w:rPr>
          <w:rFonts w:hint="eastAsia"/>
          <w:sz w:val="32"/>
          <w:szCs w:val="32"/>
          <w:shd w:val="clear"/>
          <w:lang w:val="en-US" w:eastAsia="zh-CN"/>
        </w:rPr>
        <w:t>（三）一般公共预算财政拨款收入支出决算情况说明</w:t>
      </w:r>
    </w:p>
    <w:p w14:paraId="14FA525F">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3"/>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62.16</w:t>
      </w:r>
      <w:r>
        <w:rPr>
          <w:rFonts w:ascii="Times New Roman" w:hAnsi="Times New Roman" w:eastAsia="方正仿宋_GBK" w:cs="方正仿宋_GBK"/>
          <w:sz w:val="32"/>
          <w:szCs w:val="32"/>
          <w:shd w:val="clear" w:color="auto" w:fill="FFFFFF"/>
        </w:rPr>
        <w:t>万元，较上年决算数增加62.16万元，增长100.00%。较年初预算数增加2.82万元，增长4.75%。主要原因是</w:t>
      </w:r>
      <w:r>
        <w:rPr>
          <w:rFonts w:hint="eastAsia" w:ascii="Times New Roman" w:hAnsi="Times New Roman" w:eastAsia="方正仿宋_GBK" w:cs="方正仿宋_GBK"/>
          <w:sz w:val="32"/>
          <w:szCs w:val="32"/>
          <w:shd w:val="clear" w:color="auto" w:fill="FFFFFF"/>
          <w:lang w:val="en-US" w:eastAsia="zh-CN"/>
        </w:rPr>
        <w:t>增加了社会保障和就业方面的支出。</w:t>
      </w:r>
      <w:r>
        <w:rPr>
          <w:rFonts w:ascii="Times New Roman" w:hAnsi="Times New Roman" w:eastAsia="方正仿宋_GBK" w:cs="方正仿宋_GBK"/>
          <w:sz w:val="32"/>
          <w:szCs w:val="32"/>
          <w:shd w:val="clear" w:color="auto" w:fill="FFFFFF"/>
        </w:rPr>
        <w:t>此外，年初财政拨款结转和结余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2BD6D648">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lang w:val="en-US" w:eastAsia="zh-CN"/>
        </w:rPr>
      </w:pPr>
      <w:r>
        <w:rPr>
          <w:rStyle w:val="13"/>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62.16</w:t>
      </w:r>
      <w:r>
        <w:rPr>
          <w:rFonts w:ascii="Times New Roman" w:hAnsi="Times New Roman" w:eastAsia="方正仿宋_GBK" w:cs="方正仿宋_GBK"/>
          <w:sz w:val="32"/>
          <w:szCs w:val="32"/>
          <w:shd w:val="clear" w:color="auto" w:fill="FFFFFF"/>
        </w:rPr>
        <w:t>万元，较上年决算数增加62.16万元，增长100.00%。较年初预算数增加2.82万元，增长4.75%。主要原因是</w:t>
      </w:r>
      <w:r>
        <w:rPr>
          <w:rFonts w:hint="eastAsia" w:ascii="Times New Roman" w:hAnsi="Times New Roman" w:eastAsia="方正仿宋_GBK" w:cs="方正仿宋_GBK"/>
          <w:sz w:val="32"/>
          <w:szCs w:val="32"/>
          <w:shd w:val="clear" w:color="auto" w:fill="FFFFFF"/>
          <w:lang w:val="en-US" w:eastAsia="zh-CN"/>
        </w:rPr>
        <w:t>增加了社会保障和就业方面的支出。</w:t>
      </w:r>
      <w:r>
        <w:rPr>
          <w:rFonts w:hint="eastAsia" w:ascii="Times New Roman" w:hAnsi="Times New Roman" w:eastAsia="方正仿宋_GBK" w:cs="方正仿宋_GBK"/>
          <w:sz w:val="32"/>
          <w:szCs w:val="32"/>
          <w:shd w:val="clear" w:color="auto" w:fill="FFFFFF"/>
          <w:lang w:val="en-US" w:eastAsia="zh-CN"/>
        </w:rPr>
        <w:br w:type="textWrapping"/>
      </w:r>
      <w:r>
        <w:rPr>
          <w:rFonts w:hint="eastAsia" w:ascii="Times New Roman" w:hAnsi="Times New Roman" w:eastAsia="方正仿宋_GBK" w:cs="方正仿宋_GBK"/>
          <w:sz w:val="32"/>
          <w:szCs w:val="32"/>
          <w:shd w:val="clear" w:color="auto" w:fill="FFFFFF"/>
          <w:lang w:val="en-US" w:eastAsia="zh-CN"/>
        </w:rPr>
        <w:t>　　</w:t>
      </w:r>
      <w:r>
        <w:rPr>
          <w:rStyle w:val="13"/>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万元，较上年决算数无增减，主要原因是</w:t>
      </w:r>
      <w:r>
        <w:rPr>
          <w:rFonts w:hint="eastAsia" w:ascii="Times New Roman" w:hAnsi="Times New Roman" w:eastAsia="方正仿宋_GBK" w:cs="方正仿宋_GBK"/>
          <w:sz w:val="32"/>
          <w:szCs w:val="32"/>
          <w:shd w:val="clear" w:color="auto" w:fill="FFFFFF"/>
          <w:lang w:val="en-US" w:eastAsia="zh-CN"/>
        </w:rPr>
        <w:t>本年度收支平衡。</w:t>
      </w:r>
    </w:p>
    <w:p w14:paraId="41CEC78E">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color w:val="FF0000"/>
          <w:sz w:val="32"/>
          <w:szCs w:val="32"/>
          <w:highlight w:val="cyan"/>
          <w:shd w:val="clear" w:color="auto" w:fill="FFFFFF"/>
        </w:rPr>
      </w:pPr>
      <w:r>
        <w:rPr>
          <w:rStyle w:val="13"/>
          <w:rFonts w:ascii="Times New Roman" w:hAnsi="Times New Roman" w:eastAsia="方正仿宋_GBK" w:cs="方正仿宋_GBK"/>
          <w:sz w:val="32"/>
          <w:szCs w:val="32"/>
          <w:shd w:val="clear" w:color="auto" w:fill="FFFFFF"/>
        </w:rPr>
        <w:t>4.比较情况。</w:t>
      </w:r>
      <w:r>
        <w:rPr>
          <w:rFonts w:ascii="Times New Roman" w:hAnsi="Times New Roman" w:eastAsia="方正仿宋_GBK" w:cs="方正仿宋_GBK"/>
          <w:sz w:val="32"/>
          <w:szCs w:val="32"/>
          <w:shd w:val="clear" w:color="auto" w:fill="FFFFFF"/>
        </w:rPr>
        <w:t>本单位2023年度一般公共预算财政拨款支出主要用于以下几个方面：</w:t>
      </w:r>
    </w:p>
    <w:p w14:paraId="4439E799">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shd w:val="clear" w:color="auto" w:fill="FFFFFF"/>
          <w:lang w:val="en-US"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1</w:t>
      </w:r>
      <w:r>
        <w:rPr>
          <w:rFonts w:ascii="Times New Roman" w:hAnsi="Times New Roman" w:eastAsia="方正仿宋_GBK" w:cs="方正仿宋_GBK"/>
          <w:sz w:val="32"/>
          <w:szCs w:val="32"/>
          <w:shd w:val="clear" w:color="auto" w:fill="FFFFFF"/>
        </w:rPr>
        <w:t>）社会保障与就业支出</w:t>
      </w:r>
      <w:r>
        <w:rPr>
          <w:rFonts w:ascii="Times New Roman" w:hAnsi="Times New Roman" w:eastAsia="方正仿宋_GBK" w:cs="方正仿宋_GBK"/>
          <w:sz w:val="32"/>
          <w:szCs w:val="32"/>
        </w:rPr>
        <w:t>55.97</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90.04</w:t>
      </w:r>
      <w:r>
        <w:rPr>
          <w:rFonts w:ascii="Times New Roman" w:hAnsi="Times New Roman" w:eastAsia="方正仿宋_GBK" w:cs="方正仿宋_GBK"/>
          <w:sz w:val="32"/>
          <w:szCs w:val="32"/>
          <w:shd w:val="clear" w:color="auto" w:fill="FFFFFF"/>
        </w:rPr>
        <w:t>%，较年初预算数增加2.82万元，增长5.31%，主要原因是</w:t>
      </w:r>
      <w:r>
        <w:rPr>
          <w:rFonts w:hint="eastAsia" w:ascii="Times New Roman" w:hAnsi="Times New Roman" w:eastAsia="方正仿宋_GBK" w:cs="方正仿宋_GBK"/>
          <w:sz w:val="32"/>
          <w:szCs w:val="32"/>
          <w:shd w:val="clear" w:color="auto" w:fill="FFFFFF"/>
          <w:lang w:val="en-US" w:eastAsia="zh-CN"/>
        </w:rPr>
        <w:t>增加了社会保障与就业支出。</w:t>
      </w:r>
    </w:p>
    <w:p w14:paraId="3D061DF5">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w:t>
      </w:r>
      <w:r>
        <w:rPr>
          <w:rFonts w:ascii="Times New Roman" w:hAnsi="Times New Roman" w:eastAsia="方正仿宋_GBK" w:cs="方正仿宋_GBK"/>
          <w:sz w:val="32"/>
          <w:szCs w:val="32"/>
          <w:shd w:val="clear" w:color="auto" w:fill="FFFFFF"/>
        </w:rPr>
        <w:t>）卫生健康支出</w:t>
      </w:r>
      <w:r>
        <w:rPr>
          <w:rFonts w:ascii="Times New Roman" w:hAnsi="Times New Roman" w:eastAsia="方正仿宋_GBK" w:cs="方正仿宋_GBK"/>
          <w:sz w:val="32"/>
          <w:szCs w:val="32"/>
        </w:rPr>
        <w:t>3.08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4.95</w:t>
      </w:r>
      <w:r>
        <w:rPr>
          <w:rFonts w:ascii="Times New Roman" w:hAnsi="Times New Roman" w:eastAsia="方正仿宋_GBK" w:cs="方正仿宋_GBK"/>
          <w:sz w:val="32"/>
          <w:szCs w:val="32"/>
          <w:shd w:val="clear" w:color="auto" w:fill="FFFFFF"/>
        </w:rPr>
        <w:t>%，较年初预算数无增减，主要原因是</w:t>
      </w:r>
      <w:r>
        <w:rPr>
          <w:rFonts w:hint="eastAsia" w:ascii="Times New Roman" w:hAnsi="Times New Roman" w:eastAsia="方正仿宋_GBK" w:cs="方正仿宋_GBK"/>
          <w:color w:val="auto"/>
          <w:sz w:val="32"/>
          <w:szCs w:val="32"/>
          <w:shd w:val="clear" w:color="auto" w:fill="FFFFFF"/>
          <w:lang w:val="en-US" w:eastAsia="zh-CN"/>
        </w:rPr>
        <w:t>本年度严格执行预算。</w:t>
      </w:r>
    </w:p>
    <w:p w14:paraId="18B80040">
      <w:pPr>
        <w:keepNext w:val="0"/>
        <w:keepLines w:val="0"/>
        <w:pageBreakBefore w:val="0"/>
        <w:widowControl/>
        <w:shd w:val="clear"/>
        <w:kinsoku/>
        <w:wordWrap/>
        <w:overflowPunct/>
        <w:topLinePunct w:val="0"/>
        <w:autoSpaceDN/>
        <w:bidi w:val="0"/>
        <w:adjustRightInd/>
        <w:spacing w:beforeAutospacing="0" w:afterAutospacing="0" w:line="594" w:lineRule="exact"/>
        <w:ind w:left="0" w:firstLine="640" w:firstLineChars="200"/>
        <w:textAlignment w:val="auto"/>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住房保障支出3.12</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5.01</w:t>
      </w:r>
      <w:r>
        <w:rPr>
          <w:rFonts w:ascii="Times New Roman" w:hAnsi="Times New Roman" w:eastAsia="方正仿宋_GBK" w:cs="方正仿宋_GBK"/>
          <w:sz w:val="32"/>
          <w:szCs w:val="32"/>
          <w:shd w:val="clear" w:color="auto" w:fill="FFFFFF"/>
        </w:rPr>
        <w:t>%，较年初预算数无增减，主要原因是</w:t>
      </w:r>
      <w:r>
        <w:rPr>
          <w:rFonts w:hint="eastAsia" w:ascii="Times New Roman" w:hAnsi="Times New Roman" w:eastAsia="方正仿宋_GBK" w:cs="方正仿宋_GBK"/>
          <w:color w:val="auto"/>
          <w:sz w:val="32"/>
          <w:szCs w:val="32"/>
          <w:shd w:val="clear" w:color="auto" w:fill="FFFFFF"/>
          <w:lang w:val="en-US" w:eastAsia="zh-CN"/>
        </w:rPr>
        <w:t>本年度严格执行预算。</w:t>
      </w:r>
    </w:p>
    <w:p w14:paraId="1780E306">
      <w:pPr>
        <w:pStyle w:val="4"/>
        <w:keepNext w:val="0"/>
        <w:keepLines w:val="0"/>
        <w:pageBreakBefore w:val="0"/>
        <w:widowControl/>
        <w:shd w:val="clear"/>
        <w:kinsoku/>
        <w:wordWrap/>
        <w:overflowPunct/>
        <w:topLinePunct w:val="0"/>
        <w:autoSpaceDN/>
        <w:bidi w:val="0"/>
        <w:adjustRightInd/>
        <w:spacing w:line="594" w:lineRule="exact"/>
        <w:ind w:firstLine="640" w:firstLineChars="200"/>
        <w:textAlignment w:val="auto"/>
        <w:rPr>
          <w:rFonts w:hint="eastAsia"/>
          <w:sz w:val="32"/>
          <w:szCs w:val="32"/>
          <w:shd w:val="clear"/>
          <w:lang w:val="en-US" w:eastAsia="zh-CN"/>
        </w:rPr>
      </w:pPr>
      <w:r>
        <w:rPr>
          <w:rFonts w:hint="eastAsia"/>
          <w:sz w:val="32"/>
          <w:szCs w:val="32"/>
          <w:shd w:val="clear"/>
          <w:lang w:val="en-US" w:eastAsia="zh-CN"/>
        </w:rPr>
        <w:t>（四）一般公共预算财政拨款基本支出决算情况说明</w:t>
      </w:r>
    </w:p>
    <w:p w14:paraId="5555553B">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2023年度一般公共财政拨款基本支出</w:t>
      </w:r>
      <w:r>
        <w:rPr>
          <w:rFonts w:ascii="Times New Roman" w:hAnsi="Times New Roman" w:eastAsia="方正仿宋_GBK" w:cs="方正仿宋_GBK"/>
          <w:sz w:val="32"/>
          <w:szCs w:val="32"/>
        </w:rPr>
        <w:t>62.16</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60.86</w:t>
      </w:r>
      <w:r>
        <w:rPr>
          <w:rFonts w:ascii="Times New Roman" w:hAnsi="Times New Roman" w:eastAsia="方正仿宋_GBK" w:cs="方正仿宋_GBK"/>
          <w:sz w:val="32"/>
          <w:szCs w:val="32"/>
          <w:shd w:val="clear" w:color="auto" w:fill="FFFFFF"/>
        </w:rPr>
        <w:t>万元，较上年决算数增加60.86万元，增长100.00%，主要原因是</w:t>
      </w:r>
      <w:r>
        <w:rPr>
          <w:rFonts w:hint="eastAsia" w:ascii="Times New Roman" w:hAnsi="Times New Roman" w:eastAsia="方正仿宋_GBK" w:cs="方正仿宋_GBK"/>
          <w:sz w:val="32"/>
          <w:szCs w:val="32"/>
          <w:lang w:val="en-US" w:eastAsia="zh-CN" w:bidi="ar-SA"/>
        </w:rPr>
        <w:t>2022</w:t>
      </w:r>
      <w:r>
        <w:rPr>
          <w:rFonts w:hint="eastAsia" w:ascii="仿宋_GB2312" w:hAnsi="仿宋" w:eastAsia="仿宋_GB2312" w:cs="宋体"/>
          <w:sz w:val="32"/>
          <w:szCs w:val="32"/>
          <w:lang w:val="en-US" w:eastAsia="zh-CN"/>
        </w:rPr>
        <w:t>年为合并报表，</w:t>
      </w:r>
      <w:r>
        <w:rPr>
          <w:rFonts w:hint="eastAsia" w:ascii="Times New Roman" w:hAnsi="Times New Roman" w:eastAsia="方正仿宋_GBK" w:cs="方正仿宋_GBK"/>
          <w:sz w:val="32"/>
          <w:szCs w:val="32"/>
          <w:lang w:val="en-US" w:eastAsia="zh-CN" w:bidi="ar-SA"/>
        </w:rPr>
        <w:t>2023</w:t>
      </w:r>
      <w:r>
        <w:rPr>
          <w:rFonts w:hint="eastAsia" w:ascii="仿宋_GB2312" w:hAnsi="仿宋" w:eastAsia="仿宋_GB2312" w:cs="宋体"/>
          <w:sz w:val="32"/>
          <w:szCs w:val="32"/>
          <w:lang w:val="en-US" w:eastAsia="zh-CN"/>
        </w:rPr>
        <w:t>年事业单位分开填报。</w:t>
      </w:r>
      <w:r>
        <w:rPr>
          <w:rFonts w:ascii="Times New Roman" w:hAnsi="Times New Roman" w:eastAsia="方正仿宋_GBK" w:cs="方正仿宋_GBK"/>
          <w:sz w:val="32"/>
          <w:szCs w:val="32"/>
          <w:shd w:val="clear" w:color="auto" w:fill="FFFFFF"/>
        </w:rPr>
        <w:t>人员经费用途主要包括</w:t>
      </w:r>
      <w:r>
        <w:rPr>
          <w:rFonts w:hint="eastAsia" w:ascii="Times New Roman" w:hAnsi="Times New Roman" w:eastAsia="方正仿宋_GBK" w:cs="Times New Roman"/>
          <w:b w:val="0"/>
          <w:i w:val="0"/>
          <w:caps w:val="0"/>
          <w:color w:val="auto"/>
          <w:spacing w:val="0"/>
          <w:sz w:val="32"/>
          <w:szCs w:val="32"/>
          <w:shd w:val="clear" w:color="auto" w:fill="FFFFFF"/>
        </w:rPr>
        <w:t>人员的劳动报酬、生活津贴和福利补助、对个人及家庭补助等开支的部分</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1.30</w:t>
      </w:r>
      <w:r>
        <w:rPr>
          <w:rFonts w:ascii="Times New Roman" w:hAnsi="Times New Roman" w:eastAsia="方正仿宋_GBK" w:cs="方正仿宋_GBK"/>
          <w:sz w:val="32"/>
          <w:szCs w:val="32"/>
          <w:shd w:val="clear" w:color="auto" w:fill="FFFFFF"/>
        </w:rPr>
        <w:t>万元，较上年决算数增加1.30万元，增长100.00%，</w:t>
      </w:r>
      <w:r>
        <w:rPr>
          <w:rFonts w:hint="eastAsia"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lang w:val="en-US" w:eastAsia="zh-CN" w:bidi="ar-SA"/>
        </w:rPr>
        <w:t>2022</w:t>
      </w:r>
      <w:r>
        <w:rPr>
          <w:rFonts w:hint="eastAsia" w:ascii="仿宋_GB2312" w:hAnsi="仿宋" w:eastAsia="仿宋_GB2312" w:cs="宋体"/>
          <w:sz w:val="32"/>
          <w:szCs w:val="32"/>
          <w:lang w:val="en-US" w:eastAsia="zh-CN"/>
        </w:rPr>
        <w:t>年为合并报表，</w:t>
      </w:r>
      <w:r>
        <w:rPr>
          <w:rFonts w:hint="eastAsia" w:ascii="Times New Roman" w:hAnsi="Times New Roman" w:eastAsia="方正仿宋_GBK" w:cs="方正仿宋_GBK"/>
          <w:sz w:val="32"/>
          <w:szCs w:val="32"/>
          <w:lang w:val="en-US" w:eastAsia="zh-CN" w:bidi="ar-SA"/>
        </w:rPr>
        <w:t>2023</w:t>
      </w:r>
      <w:r>
        <w:rPr>
          <w:rFonts w:hint="eastAsia" w:ascii="仿宋_GB2312" w:hAnsi="仿宋" w:eastAsia="仿宋_GB2312" w:cs="宋体"/>
          <w:sz w:val="32"/>
          <w:szCs w:val="32"/>
          <w:lang w:val="en-US" w:eastAsia="zh-CN"/>
        </w:rPr>
        <w:t>年事业单位分开填报，</w:t>
      </w:r>
      <w:r>
        <w:rPr>
          <w:rFonts w:hint="eastAsia" w:ascii="Times New Roman" w:hAnsi="Times New Roman" w:eastAsia="方正仿宋_GBK" w:cs="方正仿宋_GBK"/>
          <w:sz w:val="32"/>
          <w:szCs w:val="32"/>
          <w:shd w:val="clear" w:color="auto" w:fill="FFFFFF"/>
          <w:lang w:val="en-US" w:eastAsia="zh-CN"/>
        </w:rPr>
        <w:t>2023年度</w:t>
      </w:r>
      <w:r>
        <w:rPr>
          <w:rFonts w:hint="eastAsia" w:ascii="仿宋_GB2312" w:hAnsi="仿宋" w:eastAsia="仿宋_GB2312" w:cs="宋体"/>
          <w:sz w:val="32"/>
          <w:szCs w:val="32"/>
          <w:lang w:val="en-US" w:eastAsia="zh-CN"/>
        </w:rPr>
        <w:t>部分办公费用在本单位支出。</w:t>
      </w:r>
      <w:r>
        <w:rPr>
          <w:rFonts w:ascii="Times New Roman" w:hAnsi="Times New Roman" w:eastAsia="方正仿宋_GBK" w:cs="方正仿宋_GBK"/>
          <w:sz w:val="32"/>
          <w:szCs w:val="32"/>
          <w:shd w:val="clear" w:color="auto" w:fill="FFFFFF"/>
        </w:rPr>
        <w:t>公用经费用途主要包括</w:t>
      </w:r>
      <w:r>
        <w:rPr>
          <w:rFonts w:hint="eastAsia" w:ascii="Times New Roman" w:hAnsi="Times New Roman" w:eastAsia="方正仿宋_GBK" w:cs="Times New Roman"/>
          <w:b w:val="0"/>
          <w:i w:val="0"/>
          <w:caps w:val="0"/>
          <w:color w:val="auto"/>
          <w:spacing w:val="0"/>
          <w:sz w:val="32"/>
          <w:szCs w:val="32"/>
          <w:shd w:val="clear" w:color="auto" w:fill="FFFFFF"/>
        </w:rPr>
        <w:t>主要包括日常办公、业务活动方面的经常性开支。</w:t>
      </w:r>
    </w:p>
    <w:p w14:paraId="0251813A">
      <w:pPr>
        <w:pStyle w:val="4"/>
        <w:keepNext w:val="0"/>
        <w:keepLines w:val="0"/>
        <w:pageBreakBefore w:val="0"/>
        <w:widowControl/>
        <w:shd w:val="clear"/>
        <w:kinsoku/>
        <w:wordWrap/>
        <w:overflowPunct/>
        <w:topLinePunct w:val="0"/>
        <w:autoSpaceDN/>
        <w:bidi w:val="0"/>
        <w:adjustRightInd/>
        <w:spacing w:line="594" w:lineRule="exact"/>
        <w:ind w:firstLine="640" w:firstLineChars="200"/>
        <w:textAlignment w:val="auto"/>
        <w:rPr>
          <w:rFonts w:hint="eastAsia"/>
          <w:sz w:val="32"/>
          <w:szCs w:val="32"/>
          <w:shd w:val="clear"/>
          <w:lang w:val="en-US" w:eastAsia="zh-CN"/>
        </w:rPr>
      </w:pPr>
      <w:r>
        <w:rPr>
          <w:rFonts w:hint="eastAsia"/>
          <w:sz w:val="32"/>
          <w:szCs w:val="32"/>
          <w:shd w:val="clear"/>
          <w:lang w:val="en-US" w:eastAsia="zh-CN"/>
        </w:rPr>
        <w:t>（五）政府性基金预算收支决算情况说明</w:t>
      </w:r>
    </w:p>
    <w:p w14:paraId="61255B29">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rPr>
        <w:t>本单位2023年度无政府性基金预算财政拨款收支。</w:t>
      </w:r>
    </w:p>
    <w:p w14:paraId="48CF2B21">
      <w:pPr>
        <w:pStyle w:val="4"/>
        <w:keepNext w:val="0"/>
        <w:keepLines w:val="0"/>
        <w:pageBreakBefore w:val="0"/>
        <w:widowControl/>
        <w:shd w:val="clear"/>
        <w:kinsoku/>
        <w:wordWrap/>
        <w:overflowPunct/>
        <w:topLinePunct w:val="0"/>
        <w:autoSpaceDN/>
        <w:bidi w:val="0"/>
        <w:adjustRightInd/>
        <w:spacing w:line="594" w:lineRule="exact"/>
        <w:ind w:firstLine="640" w:firstLineChars="200"/>
        <w:textAlignment w:val="auto"/>
        <w:rPr>
          <w:rFonts w:hint="eastAsia"/>
          <w:sz w:val="32"/>
          <w:szCs w:val="32"/>
          <w:shd w:val="clear"/>
          <w:lang w:val="en-US" w:eastAsia="zh-CN"/>
        </w:rPr>
      </w:pPr>
      <w:r>
        <w:rPr>
          <w:rFonts w:hint="eastAsia"/>
          <w:sz w:val="32"/>
          <w:szCs w:val="32"/>
          <w:shd w:val="clear"/>
          <w:lang w:val="en-US" w:eastAsia="zh-CN"/>
        </w:rPr>
        <w:t>（六）国有资本经营预算财政拨款支出决算情况说明</w:t>
      </w:r>
    </w:p>
    <w:p w14:paraId="25159193">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rPr>
        <w:t>本单位2023年度无政府性基金预算财政拨款收支。</w:t>
      </w:r>
    </w:p>
    <w:p w14:paraId="0BC61D26">
      <w:pPr>
        <w:pStyle w:val="2"/>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default"/>
          <w:sz w:val="32"/>
          <w:szCs w:val="32"/>
          <w:shd w:val="clear"/>
        </w:rPr>
      </w:pPr>
      <w:r>
        <w:rPr>
          <w:rFonts w:hint="eastAsia"/>
          <w:sz w:val="32"/>
          <w:szCs w:val="32"/>
          <w:shd w:val="clear"/>
        </w:rPr>
        <w:t>三、“三公”经费情况说明</w:t>
      </w:r>
    </w:p>
    <w:p w14:paraId="34A966B7">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我单位是重庆市大足区国梁镇人民政府的下属事业单位，“三公”经费在人民政府中统一体现。</w:t>
      </w:r>
    </w:p>
    <w:p w14:paraId="246CFB95">
      <w:pPr>
        <w:pStyle w:val="4"/>
        <w:keepNext w:val="0"/>
        <w:keepLines w:val="0"/>
        <w:pageBreakBefore w:val="0"/>
        <w:widowControl/>
        <w:shd w:val="clear"/>
        <w:kinsoku/>
        <w:wordWrap/>
        <w:overflowPunct/>
        <w:topLinePunct w:val="0"/>
        <w:autoSpaceDN/>
        <w:bidi w:val="0"/>
        <w:adjustRightInd/>
        <w:spacing w:line="594" w:lineRule="exact"/>
        <w:ind w:firstLine="640" w:firstLineChars="200"/>
        <w:textAlignment w:val="auto"/>
        <w:rPr>
          <w:rFonts w:hint="eastAsia"/>
          <w:sz w:val="32"/>
          <w:szCs w:val="32"/>
          <w:shd w:val="clear"/>
          <w:lang w:val="en-US" w:eastAsia="zh-CN"/>
        </w:rPr>
      </w:pPr>
      <w:r>
        <w:rPr>
          <w:rFonts w:hint="eastAsia"/>
          <w:sz w:val="32"/>
          <w:szCs w:val="32"/>
          <w:shd w:val="clear"/>
          <w:lang w:val="en-US" w:eastAsia="zh-CN"/>
        </w:rPr>
        <w:t>（一）“三公”经费支出总体情况说明</w:t>
      </w:r>
    </w:p>
    <w:p w14:paraId="6291A2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2023年度“三公”经费支出共计</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ascii="Times New Roman" w:hAnsi="Times New Roman" w:eastAsia="方正仿宋_GBK" w:cs="方正仿宋_GBK"/>
          <w:sz w:val="32"/>
          <w:szCs w:val="32"/>
          <w:shd w:val="clear" w:color="auto" w:fill="FFFFFF"/>
        </w:rPr>
        <w:t>“三公”经费支出</w:t>
      </w:r>
      <w:r>
        <w:rPr>
          <w:rFonts w:hint="eastAsia" w:ascii="Times New Roman" w:hAnsi="Times New Roman" w:eastAsia="方正仿宋_GBK" w:cs="方正仿宋_GBK"/>
          <w:sz w:val="32"/>
          <w:szCs w:val="32"/>
          <w:shd w:val="clear" w:color="auto" w:fill="FFFFFF"/>
          <w:lang w:eastAsia="zh-CN"/>
        </w:rPr>
        <w:t>。</w:t>
      </w:r>
    </w:p>
    <w:p w14:paraId="0AA4AB47">
      <w:pPr>
        <w:pStyle w:val="4"/>
        <w:keepNext w:val="0"/>
        <w:keepLines w:val="0"/>
        <w:pageBreakBefore w:val="0"/>
        <w:widowControl/>
        <w:shd w:val="clear"/>
        <w:kinsoku/>
        <w:wordWrap/>
        <w:overflowPunct/>
        <w:topLinePunct w:val="0"/>
        <w:autoSpaceDN/>
        <w:bidi w:val="0"/>
        <w:adjustRightInd/>
        <w:spacing w:line="594" w:lineRule="exact"/>
        <w:ind w:firstLine="640" w:firstLineChars="200"/>
        <w:textAlignment w:val="auto"/>
        <w:rPr>
          <w:rFonts w:hint="eastAsia" w:ascii="方正楷体_GBK" w:hAnsi="方正楷体_GBK" w:eastAsia="方正楷体_GBK" w:cs="方正楷体_GBK"/>
          <w:b w:val="0"/>
          <w:bCs/>
          <w:sz w:val="32"/>
          <w:szCs w:val="32"/>
          <w:shd w:val="clear" w:color="auto" w:fill="FFFFFF"/>
          <w:lang w:val="en-US" w:eastAsia="zh-CN"/>
        </w:rPr>
      </w:pPr>
      <w:r>
        <w:rPr>
          <w:rFonts w:hint="eastAsia" w:ascii="方正楷体_GBK" w:hAnsi="方正楷体_GBK" w:eastAsia="方正楷体_GBK" w:cs="方正楷体_GBK"/>
          <w:b w:val="0"/>
          <w:bCs/>
          <w:sz w:val="32"/>
          <w:szCs w:val="32"/>
          <w:shd w:val="clear" w:color="auto" w:fill="FFFFFF"/>
          <w:lang w:val="en-US" w:eastAsia="zh-CN"/>
        </w:rPr>
        <w:t>（二）“三公”经费分项支出情况</w:t>
      </w:r>
    </w:p>
    <w:p w14:paraId="107D24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2023年度本部门因公出国（境）费用</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因公出国（境）费用</w:t>
      </w:r>
      <w:r>
        <w:rPr>
          <w:rFonts w:hint="eastAsia" w:ascii="Times New Roman" w:hAnsi="Times New Roman" w:eastAsia="方正仿宋_GBK" w:cs="方正仿宋_GBK"/>
          <w:sz w:val="32"/>
          <w:szCs w:val="32"/>
          <w:shd w:val="clear" w:color="auto" w:fill="FFFFFF"/>
          <w:lang w:eastAsia="zh-CN"/>
        </w:rPr>
        <w:t>。</w:t>
      </w:r>
    </w:p>
    <w:p w14:paraId="73074C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公务车购置费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公务车购置费</w:t>
      </w:r>
      <w:r>
        <w:rPr>
          <w:rFonts w:hint="eastAsia" w:ascii="Times New Roman" w:hAnsi="Times New Roman" w:eastAsia="方正仿宋_GBK" w:cs="方正仿宋_GBK"/>
          <w:sz w:val="32"/>
          <w:szCs w:val="32"/>
          <w:shd w:val="clear" w:color="auto" w:fill="FFFFFF"/>
          <w:lang w:eastAsia="zh-CN"/>
        </w:rPr>
        <w:t>。</w:t>
      </w:r>
    </w:p>
    <w:p w14:paraId="4B08AA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公务车运行维护费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公务车运行维护费</w:t>
      </w:r>
      <w:r>
        <w:rPr>
          <w:rFonts w:hint="eastAsia" w:ascii="Times New Roman" w:hAnsi="Times New Roman" w:eastAsia="方正仿宋_GBK" w:cs="方正仿宋_GBK"/>
          <w:sz w:val="32"/>
          <w:szCs w:val="32"/>
          <w:shd w:val="clear" w:color="auto" w:fill="FFFFFF"/>
          <w:lang w:eastAsia="zh-CN"/>
        </w:rPr>
        <w:t>。</w:t>
      </w:r>
    </w:p>
    <w:p w14:paraId="26C550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公务接待费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公务接待费</w:t>
      </w:r>
      <w:r>
        <w:rPr>
          <w:rFonts w:hint="eastAsia" w:ascii="Times New Roman" w:hAnsi="Times New Roman" w:eastAsia="方正仿宋_GBK" w:cs="方正仿宋_GBK"/>
          <w:sz w:val="32"/>
          <w:szCs w:val="32"/>
          <w:shd w:val="clear" w:color="auto" w:fill="FFFFFF"/>
          <w:lang w:eastAsia="zh-CN"/>
        </w:rPr>
        <w:t>。</w:t>
      </w:r>
    </w:p>
    <w:p w14:paraId="0DFFEF13">
      <w:pPr>
        <w:pStyle w:val="4"/>
        <w:keepNext w:val="0"/>
        <w:keepLines w:val="0"/>
        <w:pageBreakBefore w:val="0"/>
        <w:widowControl/>
        <w:shd w:val="clear"/>
        <w:kinsoku/>
        <w:wordWrap/>
        <w:overflowPunct/>
        <w:topLinePunct w:val="0"/>
        <w:autoSpaceDN/>
        <w:bidi w:val="0"/>
        <w:adjustRightInd/>
        <w:spacing w:line="594" w:lineRule="exact"/>
        <w:ind w:firstLine="640" w:firstLineChars="200"/>
        <w:textAlignment w:val="auto"/>
        <w:rPr>
          <w:rFonts w:hint="eastAsia"/>
          <w:sz w:val="32"/>
          <w:szCs w:val="32"/>
          <w:shd w:val="clear"/>
          <w:lang w:val="en-US" w:eastAsia="zh-CN"/>
        </w:rPr>
      </w:pPr>
      <w:r>
        <w:rPr>
          <w:rFonts w:hint="eastAsia"/>
          <w:sz w:val="32"/>
          <w:szCs w:val="32"/>
          <w:shd w:val="clear"/>
          <w:lang w:val="en-US" w:eastAsia="zh-CN"/>
        </w:rPr>
        <w:t>（三）“三公”经费实物量情况</w:t>
      </w:r>
    </w:p>
    <w:p w14:paraId="2A1E7B35">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2023年度本部门因公出国（境）共计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p>
    <w:p w14:paraId="085552CB">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jc w:val="both"/>
        <w:textAlignment w:val="auto"/>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人。2023年本部门人均接待费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w:t>
      </w:r>
    </w:p>
    <w:p w14:paraId="28168FBB">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维护费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14:paraId="042450C1">
      <w:pPr>
        <w:pStyle w:val="2"/>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default"/>
          <w:sz w:val="32"/>
          <w:szCs w:val="32"/>
          <w:shd w:val="clear"/>
        </w:rPr>
      </w:pPr>
      <w:r>
        <w:rPr>
          <w:rFonts w:hint="eastAsia"/>
          <w:sz w:val="32"/>
          <w:szCs w:val="32"/>
          <w:shd w:val="clear"/>
        </w:rPr>
        <w:t>四、其他需要说明的事项</w:t>
      </w:r>
    </w:p>
    <w:p w14:paraId="75AC06CB">
      <w:pPr>
        <w:pStyle w:val="4"/>
        <w:keepNext w:val="0"/>
        <w:keepLines w:val="0"/>
        <w:pageBreakBefore w:val="0"/>
        <w:widowControl/>
        <w:shd w:val="clear"/>
        <w:kinsoku/>
        <w:wordWrap/>
        <w:overflowPunct/>
        <w:topLinePunct w:val="0"/>
        <w:autoSpaceDN/>
        <w:bidi w:val="0"/>
        <w:adjustRightInd/>
        <w:spacing w:line="594" w:lineRule="exact"/>
        <w:ind w:firstLine="640" w:firstLineChars="200"/>
        <w:textAlignment w:val="auto"/>
        <w:rPr>
          <w:rFonts w:hint="eastAsia"/>
          <w:sz w:val="32"/>
          <w:szCs w:val="32"/>
          <w:shd w:val="clear"/>
          <w:lang w:val="en-US" w:eastAsia="zh-CN"/>
        </w:rPr>
      </w:pPr>
      <w:r>
        <w:rPr>
          <w:rFonts w:hint="eastAsia"/>
          <w:sz w:val="32"/>
          <w:szCs w:val="32"/>
          <w:shd w:val="clear"/>
          <w:lang w:val="en-US" w:eastAsia="zh-CN"/>
        </w:rPr>
        <w:t>（一）财政拨款会议费和培训费情况说明</w:t>
      </w:r>
    </w:p>
    <w:p w14:paraId="38CFE392">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ascii="Times New Roman" w:hAnsi="Times New Roman" w:eastAsia="方正仿宋_GBK" w:cs="方正仿宋_GBK"/>
          <w:sz w:val="32"/>
          <w:szCs w:val="32"/>
          <w:shd w:val="clear" w:color="auto" w:fill="FFFFFF"/>
        </w:rPr>
        <w:t>本年度会议费支出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2023年度本单位未发生会议费支出</w:t>
      </w:r>
      <w:r>
        <w:rPr>
          <w:rFonts w:ascii="Times New Roman" w:hAnsi="Times New Roman" w:eastAsia="方正仿宋_GBK" w:cs="方正仿宋_GBK"/>
          <w:sz w:val="32"/>
          <w:szCs w:val="32"/>
          <w:shd w:val="clear" w:color="auto" w:fill="FFFFFF"/>
        </w:rPr>
        <w:t>。本年度培训费支出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2023年度本单位未发生会议费支出。</w:t>
      </w:r>
    </w:p>
    <w:p w14:paraId="2800F696">
      <w:pPr>
        <w:pStyle w:val="4"/>
        <w:keepNext w:val="0"/>
        <w:keepLines w:val="0"/>
        <w:pageBreakBefore w:val="0"/>
        <w:widowControl/>
        <w:shd w:val="clear"/>
        <w:kinsoku/>
        <w:wordWrap/>
        <w:overflowPunct/>
        <w:topLinePunct w:val="0"/>
        <w:autoSpaceDN/>
        <w:bidi w:val="0"/>
        <w:adjustRightInd/>
        <w:spacing w:line="594" w:lineRule="exact"/>
        <w:ind w:firstLine="640" w:firstLineChars="200"/>
        <w:textAlignment w:val="auto"/>
        <w:rPr>
          <w:rFonts w:hint="eastAsia"/>
          <w:sz w:val="32"/>
          <w:szCs w:val="32"/>
          <w:shd w:val="clear"/>
          <w:lang w:val="en-US" w:eastAsia="zh-CN"/>
        </w:rPr>
      </w:pPr>
      <w:r>
        <w:rPr>
          <w:rFonts w:hint="eastAsia"/>
          <w:sz w:val="32"/>
          <w:szCs w:val="32"/>
          <w:shd w:val="clear"/>
          <w:lang w:val="en-US" w:eastAsia="zh-CN"/>
        </w:rPr>
        <w:t>（二）机关运行经费情况说明</w:t>
      </w:r>
    </w:p>
    <w:p w14:paraId="66C88114">
      <w:pPr>
        <w:pStyle w:val="5"/>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Times New Roman" w:hAnsi="Times New Roman" w:eastAsia="方正仿宋_GBK" w:cs="方正仿宋_GBK"/>
          <w:sz w:val="32"/>
          <w:szCs w:val="32"/>
          <w:shd w:val="clear" w:color="auto" w:fill="FFFFFF"/>
          <w:lang w:val="en-US" w:eastAsia="zh-CN"/>
        </w:rPr>
      </w:pPr>
      <w:r>
        <w:rPr>
          <w:rFonts w:ascii="Times New Roman" w:hAnsi="Times New Roman" w:eastAsia="方正仿宋_GBK" w:cs="方正仿宋_GBK"/>
          <w:sz w:val="32"/>
          <w:szCs w:val="32"/>
          <w:shd w:val="clear" w:color="auto" w:fill="FFFFFF"/>
        </w:rPr>
        <w:t>2023年度本部门机关运行经费支出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本单位未发生机关</w:t>
      </w:r>
      <w:r>
        <w:rPr>
          <w:rFonts w:ascii="Times New Roman" w:hAnsi="Times New Roman" w:eastAsia="方正仿宋_GBK" w:cs="方正仿宋_GBK"/>
          <w:sz w:val="32"/>
          <w:szCs w:val="32"/>
          <w:shd w:val="clear" w:color="auto" w:fill="FFFFFF"/>
        </w:rPr>
        <w:t>机关运行经费</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事业单位不在机关运行经费统计范围之内。</w:t>
      </w:r>
    </w:p>
    <w:p w14:paraId="12594E89">
      <w:pPr>
        <w:pStyle w:val="4"/>
        <w:keepNext w:val="0"/>
        <w:keepLines w:val="0"/>
        <w:pageBreakBefore w:val="0"/>
        <w:widowControl/>
        <w:shd w:val="clear"/>
        <w:kinsoku/>
        <w:wordWrap/>
        <w:overflowPunct/>
        <w:topLinePunct w:val="0"/>
        <w:autoSpaceDN/>
        <w:bidi w:val="0"/>
        <w:adjustRightInd/>
        <w:spacing w:line="594" w:lineRule="exact"/>
        <w:ind w:firstLine="640" w:firstLineChars="200"/>
        <w:textAlignment w:val="auto"/>
        <w:rPr>
          <w:rFonts w:hint="eastAsia"/>
          <w:sz w:val="32"/>
          <w:szCs w:val="32"/>
          <w:shd w:val="clear"/>
          <w:lang w:val="en-US" w:eastAsia="zh-CN"/>
        </w:rPr>
      </w:pPr>
      <w:r>
        <w:rPr>
          <w:rFonts w:hint="eastAsia"/>
          <w:sz w:val="32"/>
          <w:szCs w:val="32"/>
          <w:shd w:val="clear"/>
          <w:lang w:val="en-US" w:eastAsia="zh-CN"/>
        </w:rPr>
        <w:t>（三）国有资产占用情况说明</w:t>
      </w:r>
    </w:p>
    <w:p w14:paraId="6A7A3185">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截至2023年12月31日，本单位共有车辆</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14:paraId="1DB588B0">
      <w:pPr>
        <w:pStyle w:val="4"/>
        <w:keepNext w:val="0"/>
        <w:keepLines w:val="0"/>
        <w:pageBreakBefore w:val="0"/>
        <w:widowControl/>
        <w:shd w:val="clear"/>
        <w:kinsoku/>
        <w:wordWrap/>
        <w:overflowPunct/>
        <w:topLinePunct w:val="0"/>
        <w:autoSpaceDN/>
        <w:bidi w:val="0"/>
        <w:adjustRightInd/>
        <w:spacing w:line="594" w:lineRule="exact"/>
        <w:ind w:firstLine="640" w:firstLineChars="200"/>
        <w:textAlignment w:val="auto"/>
        <w:rPr>
          <w:rFonts w:hint="eastAsia"/>
          <w:sz w:val="32"/>
          <w:szCs w:val="32"/>
          <w:shd w:val="clear"/>
          <w:lang w:val="en-US" w:eastAsia="zh-CN"/>
        </w:rPr>
      </w:pPr>
      <w:r>
        <w:rPr>
          <w:rFonts w:hint="eastAsia"/>
          <w:sz w:val="32"/>
          <w:szCs w:val="32"/>
          <w:shd w:val="clear"/>
          <w:lang w:val="en-US" w:eastAsia="zh-CN"/>
        </w:rPr>
        <w:t>（四）政府采购支出情况说明</w:t>
      </w:r>
    </w:p>
    <w:p w14:paraId="724161EE">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2023年度我单位未发生政府采购事项，无相关经费支出。</w:t>
      </w:r>
    </w:p>
    <w:p w14:paraId="71598A66">
      <w:pPr>
        <w:pStyle w:val="2"/>
        <w:keepNext w:val="0"/>
        <w:keepLines w:val="0"/>
        <w:pageBreakBefore w:val="0"/>
        <w:widowControl w:val="0"/>
        <w:shd w:val="clear" w:color="auto"/>
        <w:kinsoku/>
        <w:wordWrap/>
        <w:overflowPunct/>
        <w:topLinePunct w:val="0"/>
        <w:autoSpaceDN/>
        <w:bidi w:val="0"/>
        <w:adjustRightInd/>
        <w:snapToGrid/>
        <w:spacing w:before="0" w:line="594" w:lineRule="exact"/>
        <w:ind w:firstLine="640" w:firstLineChars="200"/>
        <w:textAlignment w:val="auto"/>
        <w:rPr>
          <w:rFonts w:hint="default"/>
          <w:sz w:val="32"/>
          <w:szCs w:val="32"/>
          <w:shd w:val="clear"/>
          <w:lang w:val="en-US" w:eastAsia="zh-CN"/>
        </w:rPr>
      </w:pPr>
      <w:r>
        <w:rPr>
          <w:rFonts w:hint="eastAsia"/>
          <w:sz w:val="32"/>
          <w:szCs w:val="32"/>
          <w:shd w:val="clear"/>
          <w:lang w:val="en-US" w:eastAsia="zh-CN"/>
        </w:rPr>
        <w:t>五、预算绩效管理情况说明</w:t>
      </w:r>
    </w:p>
    <w:p w14:paraId="63F384E3">
      <w:pPr>
        <w:pStyle w:val="4"/>
        <w:keepNext w:val="0"/>
        <w:keepLines w:val="0"/>
        <w:pageBreakBefore w:val="0"/>
        <w:widowControl w:val="0"/>
        <w:shd w:val="clear"/>
        <w:kinsoku/>
        <w:wordWrap/>
        <w:overflowPunct/>
        <w:topLinePunct w:val="0"/>
        <w:autoSpaceDN/>
        <w:bidi w:val="0"/>
        <w:adjustRightInd/>
        <w:snapToGrid/>
        <w:spacing w:line="594" w:lineRule="exact"/>
        <w:ind w:firstLine="640" w:firstLineChars="200"/>
        <w:textAlignment w:val="auto"/>
        <w:rPr>
          <w:rFonts w:hint="eastAsia"/>
          <w:sz w:val="32"/>
          <w:szCs w:val="32"/>
          <w:shd w:val="clear"/>
          <w:lang w:val="en-US" w:eastAsia="zh-CN"/>
        </w:rPr>
      </w:pPr>
      <w:r>
        <w:rPr>
          <w:rFonts w:hint="eastAsia"/>
          <w:sz w:val="32"/>
          <w:szCs w:val="32"/>
          <w:shd w:val="clear"/>
          <w:lang w:val="en-US" w:eastAsia="zh-CN"/>
        </w:rPr>
        <w:t>（一）单位自评情况</w:t>
      </w:r>
    </w:p>
    <w:p w14:paraId="4A919A5C">
      <w:pPr>
        <w:pStyle w:val="5"/>
        <w:keepNext w:val="0"/>
        <w:keepLines w:val="0"/>
        <w:pageBreakBefore w:val="0"/>
        <w:widowControl w:val="0"/>
        <w:shd w:val="clear"/>
        <w:kinsoku/>
        <w:wordWrap/>
        <w:overflowPunct/>
        <w:topLinePunct w:val="0"/>
        <w:autoSpaceDE w:val="0"/>
        <w:autoSpaceDN/>
        <w:bidi w:val="0"/>
        <w:adjustRightInd/>
        <w:snapToGrid/>
        <w:spacing w:beforeAutospacing="0" w:afterAutospacing="0" w:line="594" w:lineRule="exact"/>
        <w:ind w:left="0" w:firstLine="640" w:firstLineChars="200"/>
        <w:textAlignment w:val="auto"/>
        <w:rPr>
          <w:rFonts w:hint="default"/>
          <w:sz w:val="32"/>
          <w:szCs w:val="32"/>
          <w:lang w:val="en-US" w:eastAsia="zh-CN"/>
        </w:rPr>
      </w:pPr>
      <w:r>
        <w:rPr>
          <w:rFonts w:hint="eastAsia" w:ascii="Times New Roman" w:hAnsi="Times New Roman" w:eastAsia="方正仿宋_GBK" w:cs="方正仿宋_GBK"/>
          <w:sz w:val="32"/>
          <w:szCs w:val="32"/>
          <w:highlight w:val="none"/>
          <w:shd w:val="clear" w:color="auto" w:fill="FFFFFF"/>
          <w:lang w:val="en-US" w:eastAsia="zh-CN"/>
        </w:rPr>
        <w:t>我单位无项目支出，故无单位自评。</w:t>
      </w:r>
    </w:p>
    <w:p w14:paraId="1BC20110">
      <w:pPr>
        <w:pStyle w:val="4"/>
        <w:keepNext w:val="0"/>
        <w:keepLines w:val="0"/>
        <w:pageBreakBefore w:val="0"/>
        <w:widowControl/>
        <w:shd w:val="clear"/>
        <w:kinsoku/>
        <w:wordWrap/>
        <w:overflowPunct/>
        <w:topLinePunct w:val="0"/>
        <w:autoSpaceDN/>
        <w:bidi w:val="0"/>
        <w:adjustRightInd/>
        <w:spacing w:line="594" w:lineRule="exact"/>
        <w:ind w:firstLine="640" w:firstLineChars="200"/>
        <w:textAlignment w:val="auto"/>
        <w:rPr>
          <w:rFonts w:hint="eastAsia"/>
          <w:sz w:val="32"/>
          <w:szCs w:val="32"/>
          <w:shd w:val="clear"/>
          <w:lang w:val="en-US" w:eastAsia="zh-CN"/>
        </w:rPr>
      </w:pPr>
      <w:r>
        <w:rPr>
          <w:rFonts w:hint="eastAsia"/>
          <w:sz w:val="32"/>
          <w:szCs w:val="32"/>
          <w:shd w:val="clear"/>
          <w:lang w:val="en-US" w:eastAsia="zh-CN"/>
        </w:rPr>
        <w:t>（二）单位绩效评价情况</w:t>
      </w:r>
    </w:p>
    <w:p w14:paraId="64124936">
      <w:pPr>
        <w:pStyle w:val="5"/>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我单位未组织开展绩效评价。</w:t>
      </w:r>
    </w:p>
    <w:p w14:paraId="5C835EAE">
      <w:pPr>
        <w:pStyle w:val="4"/>
        <w:keepNext w:val="0"/>
        <w:keepLines w:val="0"/>
        <w:pageBreakBefore w:val="0"/>
        <w:widowControl/>
        <w:shd w:val="clear"/>
        <w:kinsoku/>
        <w:wordWrap/>
        <w:overflowPunct/>
        <w:topLinePunct w:val="0"/>
        <w:autoSpaceDN/>
        <w:bidi w:val="0"/>
        <w:adjustRightInd/>
        <w:spacing w:line="594" w:lineRule="exact"/>
        <w:ind w:firstLine="640" w:firstLineChars="200"/>
        <w:textAlignment w:val="auto"/>
        <w:rPr>
          <w:rFonts w:hint="eastAsia"/>
          <w:sz w:val="32"/>
          <w:szCs w:val="32"/>
        </w:rPr>
      </w:pPr>
      <w:r>
        <w:rPr>
          <w:rFonts w:hint="eastAsia"/>
          <w:sz w:val="32"/>
          <w:szCs w:val="32"/>
          <w:lang w:eastAsia="zh-CN"/>
        </w:rPr>
        <w:t>（</w:t>
      </w:r>
      <w:r>
        <w:rPr>
          <w:rFonts w:hint="eastAsia"/>
          <w:sz w:val="32"/>
          <w:szCs w:val="32"/>
          <w:lang w:val="en-US" w:eastAsia="zh-CN"/>
        </w:rPr>
        <w:t>三</w:t>
      </w:r>
      <w:r>
        <w:rPr>
          <w:rFonts w:hint="eastAsia"/>
          <w:sz w:val="32"/>
          <w:szCs w:val="32"/>
          <w:lang w:eastAsia="zh-CN"/>
        </w:rPr>
        <w:t>）</w:t>
      </w:r>
      <w:r>
        <w:rPr>
          <w:rFonts w:hint="eastAsia"/>
          <w:sz w:val="32"/>
          <w:szCs w:val="32"/>
        </w:rPr>
        <w:t>财政绩效评价情况</w:t>
      </w:r>
    </w:p>
    <w:p w14:paraId="0801BD6F">
      <w:pPr>
        <w:pStyle w:val="5"/>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区财政局未委托第三方对我单位开展绩效评价。</w:t>
      </w:r>
    </w:p>
    <w:p w14:paraId="4A31EC37">
      <w:pPr>
        <w:pStyle w:val="2"/>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default"/>
          <w:sz w:val="32"/>
          <w:szCs w:val="32"/>
          <w:shd w:val="clear"/>
          <w:lang w:val="en-US" w:eastAsia="zh-CN"/>
        </w:rPr>
      </w:pPr>
      <w:r>
        <w:rPr>
          <w:rFonts w:hint="eastAsia"/>
          <w:sz w:val="32"/>
          <w:szCs w:val="32"/>
          <w:shd w:val="clear"/>
          <w:lang w:val="en-US" w:eastAsia="zh-CN"/>
        </w:rPr>
        <w:t>六、专业名词解释</w:t>
      </w:r>
    </w:p>
    <w:p w14:paraId="68238CFC">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highlight w:val="none"/>
          <w:shd w:val="clear" w:color="auto" w:fill="FFFFFF"/>
          <w:lang w:val="en-US" w:eastAsia="zh-CN" w:bidi="ar-SA"/>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7CCE4566">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highlight w:val="none"/>
          <w:shd w:val="clear" w:color="auto" w:fill="FFFFFF"/>
          <w:lang w:val="en-US" w:eastAsia="zh-CN" w:bidi="ar-SA"/>
        </w:rPr>
        <w:t>（二）事业收入：</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B0D51C5">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highlight w:val="none"/>
          <w:shd w:val="clear" w:color="auto" w:fill="FFFFFF"/>
          <w:lang w:val="en-US" w:eastAsia="zh-CN" w:bidi="ar-SA"/>
        </w:rPr>
        <w:t>（三）经营收入：</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449D110D">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highlight w:val="none"/>
          <w:shd w:val="clear" w:color="auto" w:fill="FFFFFF"/>
          <w:lang w:val="en-US" w:eastAsia="zh-CN" w:bidi="ar-SA"/>
        </w:rPr>
        <w:t>（四）其他收入：</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F8BB3AE">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ascii="Times New Roman" w:hAnsi="Times New Roman" w:eastAsia="方正仿宋_GBK" w:cs="方正仿宋_GBK"/>
          <w:sz w:val="32"/>
          <w:szCs w:val="32"/>
          <w:shd w:val="clear" w:color="auto" w:fill="FFFFFF"/>
        </w:rPr>
      </w:pPr>
      <w:r>
        <w:rPr>
          <w:rFonts w:hint="eastAsia" w:ascii="方正楷体_GBK" w:hAnsi="方正楷体_GBK" w:eastAsia="方正楷体_GBK" w:cs="方正楷体_GBK"/>
          <w:sz w:val="32"/>
          <w:szCs w:val="32"/>
          <w:highlight w:val="none"/>
          <w:shd w:val="clear" w:color="auto" w:fill="FFFFFF"/>
          <w:lang w:val="en-US" w:eastAsia="zh-CN" w:bidi="ar-SA"/>
        </w:rPr>
        <w:t>（五）使用非财政拨款结余：</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8D8E5C8">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shd w:val="clear" w:color="auto" w:fill="FFFFFF"/>
        </w:rPr>
      </w:pPr>
      <w:r>
        <w:rPr>
          <w:rFonts w:hint="eastAsia" w:ascii="方正楷体_GBK" w:hAnsi="方正楷体_GBK" w:eastAsia="方正楷体_GBK" w:cs="方正楷体_GBK"/>
          <w:sz w:val="32"/>
          <w:szCs w:val="32"/>
          <w:highlight w:val="none"/>
          <w:shd w:val="clear" w:color="auto" w:fill="FFFFFF"/>
          <w:lang w:val="en-US" w:eastAsia="zh-CN" w:bidi="ar-SA"/>
        </w:rPr>
        <w:t>（六）年初结转和结余：</w:t>
      </w:r>
      <w:r>
        <w:rPr>
          <w:rFonts w:ascii="Times New Roman" w:hAnsi="Times New Roman" w:eastAsia="方正仿宋_GBK" w:cs="方正仿宋_GBK"/>
          <w:sz w:val="32"/>
          <w:szCs w:val="32"/>
          <w:shd w:val="clear" w:color="auto" w:fill="FFFFFF"/>
        </w:rPr>
        <w:t>指单位上年结转本年使用的基本支</w:t>
      </w:r>
    </w:p>
    <w:p w14:paraId="33DF8FDA">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jc w:val="both"/>
        <w:textAlignment w:val="auto"/>
        <w:rPr>
          <w:rFonts w:hint="default" w:ascii="Times New Roman" w:hAnsi="Times New Roman" w:eastAsia="方正仿宋_GBK" w:cs="方正仿宋_GBK"/>
          <w:sz w:val="32"/>
          <w:szCs w:val="32"/>
        </w:rPr>
      </w:pPr>
      <w:bookmarkStart w:id="0" w:name="_GoBack"/>
      <w:bookmarkEnd w:id="0"/>
      <w:r>
        <w:rPr>
          <w:rFonts w:ascii="Times New Roman" w:hAnsi="Times New Roman" w:eastAsia="方正仿宋_GBK" w:cs="方正仿宋_GBK"/>
          <w:sz w:val="32"/>
          <w:szCs w:val="32"/>
          <w:shd w:val="clear" w:color="auto" w:fill="FFFFFF"/>
        </w:rPr>
        <w:t>出结转、项目支出结转和结余、经营结余。</w:t>
      </w:r>
    </w:p>
    <w:p w14:paraId="4251040F">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highlight w:val="none"/>
          <w:shd w:val="clear" w:color="auto" w:fill="FFFFFF"/>
          <w:lang w:val="en-US" w:eastAsia="zh-CN" w:bidi="ar-SA"/>
        </w:rPr>
        <w:t>（七）结余分配：</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06F66486">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highlight w:val="none"/>
          <w:shd w:val="clear" w:color="auto" w:fill="FFFFFF"/>
          <w:lang w:val="en-US" w:eastAsia="zh-CN" w:bidi="ar-SA"/>
        </w:rPr>
        <w:t>（八）年末结转和结余：</w:t>
      </w:r>
      <w:r>
        <w:rPr>
          <w:rFonts w:ascii="Times New Roman" w:hAnsi="Times New Roman" w:eastAsia="方正仿宋_GBK" w:cs="方正仿宋_GBK"/>
          <w:sz w:val="32"/>
          <w:szCs w:val="32"/>
          <w:shd w:val="clear" w:color="auto" w:fill="FFFFFF"/>
        </w:rPr>
        <w:t>指单位结转下年的基本支出结转、项目支出结转和结余、经营结余。</w:t>
      </w:r>
    </w:p>
    <w:p w14:paraId="65110E05">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highlight w:val="none"/>
          <w:shd w:val="clear" w:color="auto" w:fill="FFFFFF"/>
          <w:lang w:val="en-US" w:eastAsia="zh-CN" w:bidi="ar-SA"/>
        </w:rPr>
        <w:t>（九）基本支出：</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84FA84C">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highlight w:val="none"/>
          <w:shd w:val="clear" w:color="auto" w:fill="FFFFFF"/>
          <w:lang w:val="en-US" w:eastAsia="zh-CN" w:bidi="ar-SA"/>
        </w:rPr>
        <w:t>（十）项目支出：</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14:paraId="491011D7">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highlight w:val="none"/>
          <w:shd w:val="clear" w:color="auto" w:fill="FFFFFF"/>
          <w:lang w:val="en-US" w:eastAsia="zh-CN" w:bidi="ar-SA"/>
        </w:rPr>
        <w:t>（十一）经营支出：</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608D7BED">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highlight w:val="none"/>
          <w:shd w:val="clear" w:color="auto" w:fill="FFFFFF"/>
          <w:lang w:val="en-US" w:eastAsia="zh-CN" w:bidi="ar-SA"/>
        </w:rPr>
        <w:t>（十二）“三公”经费：</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AAD653C">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highlight w:val="none"/>
          <w:shd w:val="clear" w:color="auto" w:fill="FFFFFF"/>
          <w:lang w:val="en-US" w:eastAsia="zh-CN" w:bidi="ar-SA"/>
        </w:rPr>
        <w:t>（十三）机关运行经费：</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9430FBA">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highlight w:val="none"/>
          <w:shd w:val="clear" w:color="auto" w:fill="FFFFFF"/>
          <w:lang w:val="en-US" w:eastAsia="zh-CN" w:bidi="ar-SA"/>
        </w:rPr>
        <w:t>（十四）工资福利支出（支出经济分类科目类级）：</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49CE287F">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highlight w:val="none"/>
          <w:shd w:val="clear" w:color="auto" w:fill="FFFFFF"/>
          <w:lang w:val="en-US" w:eastAsia="zh-CN" w:bidi="ar-SA"/>
        </w:rPr>
        <w:t>（十五）商品和服务支出（支出经济分类科目类级）：</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44CB0FD4">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highlight w:val="none"/>
          <w:shd w:val="clear" w:color="auto" w:fill="FFFFFF"/>
          <w:lang w:val="en-US" w:eastAsia="zh-CN" w:bidi="ar-SA"/>
        </w:rPr>
        <w:t>（十六）对个人和家庭的补助（支出经济分类科目类级）：</w:t>
      </w:r>
      <w:r>
        <w:rPr>
          <w:rFonts w:ascii="Times New Roman" w:hAnsi="Times New Roman" w:eastAsia="方正仿宋_GBK" w:cs="方正仿宋_GBK"/>
          <w:sz w:val="32"/>
          <w:szCs w:val="32"/>
          <w:shd w:val="clear" w:color="auto" w:fill="FFFFFF"/>
        </w:rPr>
        <w:t>反映用于对个人和家庭的补助支出。</w:t>
      </w:r>
    </w:p>
    <w:p w14:paraId="594DDAFE">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sz w:val="32"/>
          <w:szCs w:val="32"/>
          <w:highlight w:val="none"/>
          <w:shd w:val="clear" w:color="auto" w:fill="FFFFFF"/>
          <w:lang w:val="en-US" w:eastAsia="zh-CN" w:bidi="ar-SA"/>
        </w:rPr>
        <w:t>（十七）其他资本性支出（支出经济分类科目类级）：</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88F7FF4">
      <w:pPr>
        <w:pStyle w:val="2"/>
        <w:keepNext w:val="0"/>
        <w:keepLines w:val="0"/>
        <w:pageBreakBefore w:val="0"/>
        <w:widowControl/>
        <w:shd w:val="clear" w:color="auto"/>
        <w:kinsoku/>
        <w:wordWrap/>
        <w:overflowPunct/>
        <w:topLinePunct w:val="0"/>
        <w:autoSpaceDE/>
        <w:autoSpaceDN/>
        <w:bidi w:val="0"/>
        <w:adjustRightInd/>
        <w:spacing w:before="0" w:line="594" w:lineRule="exact"/>
        <w:ind w:firstLine="640" w:firstLineChars="200"/>
        <w:textAlignment w:val="auto"/>
        <w:rPr>
          <w:rFonts w:hint="default"/>
          <w:sz w:val="32"/>
          <w:szCs w:val="32"/>
          <w:shd w:val="clear"/>
          <w:lang w:val="en-US" w:eastAsia="zh-CN"/>
        </w:rPr>
      </w:pPr>
      <w:r>
        <w:rPr>
          <w:rFonts w:hint="eastAsia"/>
          <w:sz w:val="32"/>
          <w:szCs w:val="32"/>
          <w:shd w:val="clear"/>
          <w:lang w:val="en-US" w:eastAsia="zh-CN"/>
        </w:rPr>
        <w:t>七、决算公开联系方式及信息反馈渠道</w:t>
      </w:r>
    </w:p>
    <w:p w14:paraId="7C21F2F2">
      <w:pPr>
        <w:pStyle w:val="5"/>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left="0" w:firstLine="640" w:firstLineChars="200"/>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本单位决算公开信息反馈和联系方式：</w:t>
      </w:r>
    </w:p>
    <w:p w14:paraId="3E2F0280">
      <w:pPr>
        <w:pStyle w:val="5"/>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Times New Roman"/>
          <w:b w:val="0"/>
          <w:i w:val="0"/>
          <w:caps w:val="0"/>
          <w:color w:val="333333"/>
          <w:spacing w:val="0"/>
          <w:sz w:val="32"/>
          <w:szCs w:val="32"/>
          <w:shd w:val="clear" w:color="auto" w:fill="FFFFFF"/>
          <w:lang w:eastAsia="zh-CN"/>
        </w:rPr>
        <w:t>联系人：黎勇</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 xml:space="preserve">  </w:t>
      </w:r>
      <w:r>
        <w:rPr>
          <w:rFonts w:hint="eastAsia" w:ascii="Times New Roman" w:hAnsi="Times New Roman" w:eastAsia="方正仿宋_GBK" w:cs="Times New Roman"/>
          <w:b w:val="0"/>
          <w:i w:val="0"/>
          <w:caps w:val="0"/>
          <w:color w:val="333333"/>
          <w:spacing w:val="0"/>
          <w:sz w:val="32"/>
          <w:szCs w:val="32"/>
          <w:shd w:val="clear" w:color="auto" w:fill="FFFFFF"/>
          <w:lang w:eastAsia="zh-CN"/>
        </w:rPr>
        <w:t>联系方式：</w:t>
      </w:r>
      <w:r>
        <w:rPr>
          <w:rFonts w:hint="default" w:ascii="Times New Roman" w:hAnsi="Times New Roman" w:eastAsia="方正仿宋_GBK" w:cs="Times New Roman"/>
          <w:b w:val="0"/>
          <w:i w:val="0"/>
          <w:caps w:val="0"/>
          <w:color w:val="333333"/>
          <w:spacing w:val="0"/>
          <w:sz w:val="32"/>
          <w:szCs w:val="32"/>
          <w:shd w:val="clear" w:color="auto" w:fill="FFFFFF"/>
        </w:rPr>
        <w:t>023-434525</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00</w:t>
      </w:r>
    </w:p>
    <w:p w14:paraId="1B62C12A">
      <w:pPr>
        <w:pStyle w:val="5"/>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left="0" w:firstLine="643" w:firstLineChars="200"/>
        <w:textAlignment w:val="auto"/>
        <w:rPr>
          <w:rStyle w:val="13"/>
          <w:rFonts w:ascii="Times New Roman" w:hAnsi="Times New Roman" w:eastAsia="方正仿宋_GBK" w:cs="方正仿宋_GBK"/>
          <w:sz w:val="32"/>
          <w:szCs w:val="32"/>
          <w:shd w:val="clear" w:color="auto" w:fill="FFFF00"/>
        </w:rPr>
        <w:sectPr>
          <w:footerReference r:id="rId3" w:type="default"/>
          <w:pgSz w:w="11915" w:h="16840"/>
          <w:pgMar w:top="1984" w:right="1446" w:bottom="1644" w:left="1446" w:header="851" w:footer="992" w:gutter="0"/>
          <w:pgNumType w:fmt="decimal" w:start="1"/>
          <w:cols w:space="720" w:num="1"/>
          <w:docGrid w:type="lines" w:linePitch="312" w:charSpace="0"/>
        </w:sectPr>
      </w:pPr>
    </w:p>
    <w:tbl>
      <w:tblPr>
        <w:tblStyle w:val="10"/>
        <w:tblW w:w="5005" w:type="pct"/>
        <w:tblInd w:w="0" w:type="dxa"/>
        <w:shd w:val="clear" w:color="auto" w:fill="auto"/>
        <w:tblLayout w:type="autofit"/>
        <w:tblCellMar>
          <w:top w:w="0" w:type="dxa"/>
          <w:left w:w="0" w:type="dxa"/>
          <w:bottom w:w="0" w:type="dxa"/>
          <w:right w:w="0" w:type="dxa"/>
        </w:tblCellMar>
      </w:tblPr>
      <w:tblGrid>
        <w:gridCol w:w="4555"/>
        <w:gridCol w:w="1735"/>
        <w:gridCol w:w="4270"/>
        <w:gridCol w:w="3431"/>
      </w:tblGrid>
      <w:tr w14:paraId="6BFE6BC4">
        <w:tblPrEx>
          <w:shd w:val="clear" w:color="auto" w:fill="auto"/>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10CFCD7">
            <w:pPr>
              <w:keepNext w:val="0"/>
              <w:keepLines w:val="0"/>
              <w:pageBreakBefore w:val="0"/>
              <w:widowControl/>
              <w:tabs>
                <w:tab w:val="left" w:pos="3189"/>
                <w:tab w:val="center" w:pos="7740"/>
              </w:tabs>
              <w:kinsoku/>
              <w:overflowPunct/>
              <w:topLinePunct w:val="0"/>
              <w:autoSpaceDN/>
              <w:bidi w:val="0"/>
              <w:adjustRightInd/>
              <w:spacing w:beforeAutospacing="0" w:afterAutospacing="0" w:line="594" w:lineRule="atLeast"/>
              <w:ind w:left="0"/>
              <w:jc w:val="left"/>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color w:val="000000"/>
                <w:sz w:val="44"/>
                <w:szCs w:val="44"/>
                <w:lang w:eastAsia="zh-CN"/>
              </w:rPr>
              <w:tab/>
              <w:t/>
            </w:r>
            <w:r>
              <w:rPr>
                <w:rFonts w:hint="eastAsia" w:ascii="方正小标宋_GBK" w:hAnsi="方正小标宋_GBK" w:eastAsia="方正小标宋_GBK" w:cs="方正小标宋_GBK"/>
                <w:b/>
                <w:color w:val="000000"/>
                <w:sz w:val="44"/>
                <w:szCs w:val="44"/>
                <w:lang w:eastAsia="zh-CN"/>
              </w:rPr>
              <w:tab/>
            </w:r>
            <w:r>
              <w:rPr>
                <w:rFonts w:hint="eastAsia" w:ascii="方正小标宋_GBK" w:hAnsi="方正小标宋_GBK" w:eastAsia="方正小标宋_GBK" w:cs="方正小标宋_GBK"/>
                <w:b/>
                <w:color w:val="000000"/>
                <w:sz w:val="44"/>
                <w:szCs w:val="44"/>
              </w:rPr>
              <w:t>收入支出决算总表</w:t>
            </w:r>
          </w:p>
        </w:tc>
      </w:tr>
      <w:tr w14:paraId="0560A88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6741C5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A4165B8">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43CD5E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AD0758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公开01表</w:t>
            </w:r>
          </w:p>
        </w:tc>
      </w:tr>
      <w:tr w14:paraId="6A537B83">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1E45BF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公开单位：重庆市大足区国梁镇劳动就业和社会保障服务所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E8592F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7DB605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lang w:eastAsia="zh-CN"/>
              </w:rPr>
              <w:t>　　　　　　　　　　　　</w:t>
            </w:r>
            <w:r>
              <w:rPr>
                <w:rFonts w:ascii="Times New Roman" w:hAnsi="Times New Roman" w:eastAsia="方正仿宋_GBK" w:cs="宋体"/>
                <w:color w:val="000000"/>
                <w:sz w:val="20"/>
                <w:szCs w:val="20"/>
              </w:rPr>
              <w:t>单位：万元</w:t>
            </w:r>
          </w:p>
        </w:tc>
      </w:tr>
      <w:tr w14:paraId="3D3CE31A">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54F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8295E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支出</w:t>
            </w:r>
          </w:p>
        </w:tc>
      </w:tr>
      <w:tr w14:paraId="3CDF27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363D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B70A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决算数</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DD57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3C51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决算数</w:t>
            </w:r>
          </w:p>
        </w:tc>
      </w:tr>
      <w:tr w14:paraId="59534B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265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A9F1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62.16</w:t>
            </w: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08FD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E396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51D70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0C6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CF92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0E4C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A398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7A58C39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89B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D58E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9894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4CA6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99EC5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1FF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5C7D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43C1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567E4">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257E0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54B6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49D74">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68EB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87CD4">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C9E2D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65C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C434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A993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A98E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7FBE15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B12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9D4B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7163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C990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258FD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815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FC6C89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B079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15D4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55.97</w:t>
            </w:r>
            <w:r>
              <w:rPr>
                <w:rFonts w:ascii="Times New Roman" w:hAnsi="Times New Roman" w:eastAsia="方正仿宋_GBK"/>
                <w:color w:val="000000"/>
                <w:sz w:val="20"/>
                <w:u w:color="auto"/>
              </w:rPr>
              <w:t xml:space="preserve"> </w:t>
            </w:r>
          </w:p>
        </w:tc>
      </w:tr>
      <w:tr w14:paraId="22EC39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520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BB93C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6E3C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64AA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3.08</w:t>
            </w:r>
            <w:r>
              <w:rPr>
                <w:rFonts w:ascii="Times New Roman" w:hAnsi="Times New Roman" w:eastAsia="方正仿宋_GBK"/>
                <w:color w:val="000000"/>
                <w:sz w:val="20"/>
                <w:u w:color="auto"/>
              </w:rPr>
              <w:t xml:space="preserve"> </w:t>
            </w:r>
          </w:p>
        </w:tc>
      </w:tr>
      <w:tr w14:paraId="2B9106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2A8A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BBDE8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96D7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A6B8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381037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52B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237A7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D12C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1539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32AFF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6BF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290048">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ACD7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6D58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3C3D2B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3FC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6DF7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023A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4B71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C415D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DB3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7F7A9">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B0A8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F5BE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DD2B2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E42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21C6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AB4A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7332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31640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644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A5FC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73DF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C1A7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9A89D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11AE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E622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7727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A51A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70A154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60A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A14C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8235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51B2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3DC6F1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4BC7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212F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1428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BCFD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3.12</w:t>
            </w:r>
            <w:r>
              <w:rPr>
                <w:rFonts w:ascii="Times New Roman" w:hAnsi="Times New Roman" w:eastAsia="方正仿宋_GBK"/>
                <w:color w:val="000000"/>
                <w:sz w:val="20"/>
                <w:u w:color="auto"/>
              </w:rPr>
              <w:t xml:space="preserve"> </w:t>
            </w:r>
          </w:p>
        </w:tc>
      </w:tr>
      <w:tr w14:paraId="1EAC0F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1E96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AB2C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1A3A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1DC9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39AE60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5B3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C8DD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96D1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A353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E33FF4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0CC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E4624">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C8D4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6E63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CCD3B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EA0C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5860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0F84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2DBC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9660B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312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CFE7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0FF2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B861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367D69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14A4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32A5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2FBA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C890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7C0C1F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0BD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0C08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816D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2AC1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B8223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D82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9382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62.16</w:t>
            </w: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D80D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8327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62.16</w:t>
            </w:r>
            <w:r>
              <w:rPr>
                <w:rFonts w:ascii="Times New Roman" w:hAnsi="Times New Roman" w:eastAsia="方正仿宋_GBK"/>
                <w:color w:val="000000"/>
                <w:sz w:val="20"/>
                <w:u w:color="auto"/>
              </w:rPr>
              <w:t xml:space="preserve"> </w:t>
            </w:r>
          </w:p>
        </w:tc>
      </w:tr>
      <w:tr w14:paraId="6AFFCB1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5A6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C2D9A">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D435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36B9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83FE9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0AD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AE76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995B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302045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9644E8B">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AAE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18CC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62.16</w:t>
            </w: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7EBBCA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DA77F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62.16</w:t>
            </w:r>
            <w:r>
              <w:rPr>
                <w:rFonts w:ascii="Times New Roman" w:hAnsi="Times New Roman" w:eastAsia="方正仿宋_GBK"/>
                <w:color w:val="000000"/>
                <w:sz w:val="20"/>
                <w:u w:color="auto"/>
              </w:rPr>
              <w:t xml:space="preserve"> </w:t>
            </w:r>
          </w:p>
        </w:tc>
      </w:tr>
    </w:tbl>
    <w:p w14:paraId="1B572993">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备注：1.本表反映单位本年度的总收支和年末结转结余情况。</w:t>
      </w:r>
    </w:p>
    <w:p w14:paraId="594A6C74">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 xml:space="preserve">      2.本套报表金额单位转换时可能存在尾数误差。</w:t>
      </w:r>
    </w:p>
    <w:p w14:paraId="0498E9A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sectPr>
          <w:headerReference r:id="rId4" w:type="default"/>
          <w:footerReference r:id="rId5" w:type="default"/>
          <w:pgSz w:w="16839" w:h="11907" w:orient="landscape"/>
          <w:pgMar w:top="1984" w:right="1446" w:bottom="1644" w:left="1446" w:header="850" w:footer="992" w:gutter="0"/>
          <w:pgNumType w:fmt="decimal"/>
          <w:cols w:space="720" w:num="1"/>
          <w:docGrid w:type="lines" w:linePitch="326" w:charSpace="0"/>
        </w:sectPr>
      </w:pPr>
    </w:p>
    <w:p w14:paraId="7ACCC1D3">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tbl>
      <w:tblPr>
        <w:tblStyle w:val="10"/>
        <w:tblW w:w="5000" w:type="pct"/>
        <w:tblInd w:w="0" w:type="dxa"/>
        <w:shd w:val="clear" w:color="auto" w:fill="auto"/>
        <w:tblLayout w:type="fixed"/>
        <w:tblCellMar>
          <w:top w:w="0" w:type="dxa"/>
          <w:left w:w="0" w:type="dxa"/>
          <w:bottom w:w="0" w:type="dxa"/>
          <w:right w:w="0" w:type="dxa"/>
        </w:tblCellMar>
      </w:tblPr>
      <w:tblGrid>
        <w:gridCol w:w="1547"/>
        <w:gridCol w:w="2882"/>
        <w:gridCol w:w="1120"/>
        <w:gridCol w:w="1120"/>
        <w:gridCol w:w="1120"/>
        <w:gridCol w:w="1120"/>
        <w:gridCol w:w="1242"/>
        <w:gridCol w:w="1188"/>
        <w:gridCol w:w="1308"/>
        <w:gridCol w:w="1328"/>
      </w:tblGrid>
      <w:tr w14:paraId="3C5D2176">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BC2701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color w:val="000000"/>
                <w:sz w:val="44"/>
                <w:szCs w:val="44"/>
              </w:rPr>
              <w:t>收入决算表</w:t>
            </w:r>
          </w:p>
        </w:tc>
      </w:tr>
      <w:tr w14:paraId="2A96F860">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CCE952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r>
              <w:rPr>
                <w:rFonts w:ascii="Times New Roman" w:hAnsi="Times New Roman" w:eastAsia="方正仿宋_GBK" w:cs="宋体"/>
                <w:sz w:val="20"/>
                <w:szCs w:val="20"/>
              </w:rPr>
              <w:t>公开单位：</w:t>
            </w:r>
            <w:r>
              <w:rPr>
                <w:rFonts w:ascii="Times New Roman" w:hAnsi="Times New Roman" w:eastAsia="方正仿宋_GBK"/>
                <w:sz w:val="20"/>
                <w:u w:color="auto"/>
              </w:rPr>
              <w:t>重庆市大足区国梁镇劳动就业和社会保障服务所</w:t>
            </w:r>
          </w:p>
        </w:tc>
        <w:tc>
          <w:tcPr>
            <w:tcW w:w="401" w:type="pct"/>
            <w:tcBorders>
              <w:top w:val="nil"/>
              <w:left w:val="nil"/>
              <w:bottom w:val="nil"/>
              <w:right w:val="nil"/>
            </w:tcBorders>
            <w:shd w:val="clear" w:color="auto" w:fill="auto"/>
            <w:noWrap/>
            <w:tcMar>
              <w:top w:w="15" w:type="dxa"/>
              <w:left w:w="15" w:type="dxa"/>
              <w:right w:w="15" w:type="dxa"/>
            </w:tcMar>
            <w:vAlign w:val="bottom"/>
          </w:tcPr>
          <w:p w14:paraId="7C218F1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1172AB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CB2018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D7E73E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D0717F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311F5B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AE6850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公开02表</w:t>
            </w:r>
          </w:p>
        </w:tc>
      </w:tr>
      <w:tr w14:paraId="11E6E724">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C5C0B9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99CCCE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7E4D27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FB2902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DE6303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7DDE15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95396E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D5085F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60E0BDFD">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EEC8BF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472D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F382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397E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7C08C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B680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D71C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BB31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其他收入</w:t>
            </w:r>
          </w:p>
        </w:tc>
      </w:tr>
      <w:tr w14:paraId="64CED9E8">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5A3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85DC9D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ADC2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AD5B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0012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C120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3041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9C1B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1F8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15A4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49ED588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6D18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098112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01B3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1BB5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A968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273E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F039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111F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70BA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9D22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07816EC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2BBC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B2F048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3239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0A4A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0711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8F7A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5804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A7C8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E8A8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5BC1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301A284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CDFD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96CCBA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9E5B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609B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4C2B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3203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1E22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C6A8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FE50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E217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4D76E693">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20E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4FC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bCs/>
                <w:color w:val="000000"/>
                <w:sz w:val="20"/>
                <w:szCs w:val="20"/>
              </w:rPr>
              <w:t>62.16</w:t>
            </w:r>
            <w:r>
              <w:rPr>
                <w:rFonts w:ascii="Times New Roman" w:hAnsi="Times New Roman" w:eastAsia="方正仿宋_GBK"/>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6F69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bCs/>
                <w:color w:val="000000"/>
                <w:sz w:val="20"/>
                <w:szCs w:val="20"/>
              </w:rPr>
              <w:t>62.16</w:t>
            </w:r>
            <w:r>
              <w:rPr>
                <w:rFonts w:ascii="Times New Roman" w:hAnsi="Times New Roman" w:eastAsia="方正仿宋_GBK"/>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7B05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1A60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8771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B43C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6F21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8CEC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r>
      <w:tr w14:paraId="737971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16F7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C7B1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F3F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55.97</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780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55.97</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A32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0CC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1FA3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18A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B694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CA2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510C7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A5D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00CA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3A2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45.37</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D45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45.37</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A50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57D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A605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6A0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0728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0B3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E3A8D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B86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8672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2EA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45.37</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33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45.37</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244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083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1C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634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D85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982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353467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C58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5C32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626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10.52</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2DC1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10.52</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C5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B3B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77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907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24BD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4134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C9C16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7DE9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328B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AADB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1.78</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BD18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1.78</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B15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6C2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683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0D3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F61C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104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2A4B7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47AD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A54F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3F2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4.16</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EA9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4.16</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8FA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357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662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C6C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FD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A6D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37FD0B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B22A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C055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F3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FA8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7FFB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0A5A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0D1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A6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800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A3F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5DF9A2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BEE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71AE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D32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2.50</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FD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2.50</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8232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EF90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795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27BA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CCC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88FF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3AC8F0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2E76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5782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CDD0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0.08</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708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0.08</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B0D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B91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726F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AE5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102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1F82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726BF7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2DB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F0D4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523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0.08</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CFA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0.08</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58F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5A43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F22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A48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9ACC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CAD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97853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B6B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6C9B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6A7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3.08</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E729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3.08</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3B5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26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57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923A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5BA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045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30D3C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335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BA5C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41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3.08</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331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3.08</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5374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8ADB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EFB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C63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878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FB5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018E0E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6230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DB07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A6E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2.60</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6DD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2.60</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F57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CCA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CDB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BBB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B7E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934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713C7D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467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FDFD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84B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0.48</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DB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0.48</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D1F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B21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01B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BBE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AB39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3D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868FD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1BB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11B1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55A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3.12</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B51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3.12</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3DF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B7B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0CC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53C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B7C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90E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75688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3B78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0AFB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DC5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3.12</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C5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3.12</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2AC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68A8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72B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E5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151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9C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06C3C9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936B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024A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183C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3.12</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68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3.12</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51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F81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AA0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3DC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7A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06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bl>
    <w:p w14:paraId="15F058FF">
      <w:pPr>
        <w:keepNext w:val="0"/>
        <w:keepLines w:val="0"/>
        <w:pageBreakBefore w:val="0"/>
        <w:widowControl/>
        <w:kinsoku/>
        <w:overflowPunct/>
        <w:topLinePunct w:val="0"/>
        <w:autoSpaceDN/>
        <w:bidi w:val="0"/>
        <w:adjustRightInd/>
        <w:spacing w:beforeAutospacing="0" w:afterAutospacing="0" w:line="594" w:lineRule="atLeast"/>
        <w:ind w:left="0" w:hanging="600" w:hangingChars="30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备注：1.本表反映单位本年度取得的各项收入情况。</w:t>
      </w:r>
    </w:p>
    <w:p w14:paraId="7517B732">
      <w:pPr>
        <w:keepNext w:val="0"/>
        <w:keepLines w:val="0"/>
        <w:pageBreakBefore w:val="0"/>
        <w:widowControl/>
        <w:kinsoku/>
        <w:overflowPunct/>
        <w:topLinePunct w:val="0"/>
        <w:autoSpaceDN/>
        <w:bidi w:val="0"/>
        <w:adjustRightInd/>
        <w:spacing w:beforeAutospacing="0" w:afterAutospacing="0" w:line="594" w:lineRule="atLeast"/>
        <w:ind w:left="0" w:hanging="600" w:hangingChars="300"/>
        <w:rPr>
          <w:rFonts w:hint="eastAsia" w:ascii="Times New Roman" w:hAnsi="Times New Roman" w:eastAsia="方正仿宋_GBK" w:cs="宋体"/>
          <w:sz w:val="20"/>
          <w:szCs w:val="20"/>
          <w:lang w:eastAsia="zh-CN"/>
        </w:rPr>
      </w:pPr>
      <w:r>
        <w:rPr>
          <w:rFonts w:hint="eastAsia" w:ascii="Times New Roman" w:hAnsi="Times New Roman" w:eastAsia="方正仿宋_GBK" w:cs="宋体"/>
          <w:sz w:val="20"/>
          <w:szCs w:val="20"/>
          <w:lang w:eastAsia="zh-CN"/>
        </w:rPr>
        <w:t>　　　</w:t>
      </w:r>
      <w:r>
        <w:rPr>
          <w:rFonts w:ascii="Times New Roman" w:hAnsi="Times New Roman" w:eastAsia="方正仿宋_GBK" w:cs="宋体"/>
          <w:sz w:val="20"/>
          <w:szCs w:val="20"/>
        </w:rPr>
        <w:t>2.本套报表金额单位转换时可能存在尾数误差。</w:t>
      </w:r>
    </w:p>
    <w:p w14:paraId="0DEA13CC">
      <w:pPr>
        <w:keepNext w:val="0"/>
        <w:keepLines w:val="0"/>
        <w:pageBreakBefore w:val="0"/>
        <w:widowControl/>
        <w:kinsoku/>
        <w:overflowPunct/>
        <w:topLinePunct w:val="0"/>
        <w:autoSpaceDN/>
        <w:bidi w:val="0"/>
        <w:adjustRightInd/>
        <w:spacing w:beforeAutospacing="0" w:afterAutospacing="0" w:line="594" w:lineRule="atLeast"/>
        <w:ind w:left="0" w:hanging="600" w:hangingChars="300"/>
        <w:rPr>
          <w:rFonts w:hint="eastAsia" w:ascii="Times New Roman" w:hAnsi="Times New Roman" w:eastAsia="方正仿宋_GBK" w:cs="宋体"/>
          <w:sz w:val="20"/>
          <w:szCs w:val="20"/>
          <w:lang w:eastAsia="zh-CN"/>
        </w:rPr>
      </w:pPr>
    </w:p>
    <w:p w14:paraId="637E31E9">
      <w:pPr>
        <w:keepNext w:val="0"/>
        <w:keepLines w:val="0"/>
        <w:pageBreakBefore w:val="0"/>
        <w:widowControl/>
        <w:kinsoku/>
        <w:overflowPunct/>
        <w:topLinePunct w:val="0"/>
        <w:autoSpaceDN/>
        <w:bidi w:val="0"/>
        <w:adjustRightInd/>
        <w:spacing w:beforeAutospacing="0" w:afterAutospacing="0" w:line="594" w:lineRule="atLeast"/>
        <w:ind w:left="0" w:hanging="600" w:hangingChars="300"/>
        <w:rPr>
          <w:rFonts w:hint="eastAsia" w:ascii="Times New Roman" w:hAnsi="Times New Roman" w:eastAsia="方正仿宋_GBK" w:cs="宋体"/>
          <w:sz w:val="20"/>
          <w:szCs w:val="20"/>
          <w:lang w:eastAsia="zh-CN"/>
        </w:rPr>
      </w:pPr>
    </w:p>
    <w:p w14:paraId="00516AE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0"/>
          <w:szCs w:val="20"/>
        </w:rPr>
      </w:pPr>
      <w:r>
        <w:rPr>
          <w:rFonts w:ascii="Times New Roman" w:hAnsi="Times New Roman" w:eastAsia="方正仿宋_GBK" w:cs="宋体"/>
          <w:sz w:val="20"/>
          <w:szCs w:val="20"/>
        </w:rPr>
        <w:br w:type="page"/>
      </w:r>
    </w:p>
    <w:tbl>
      <w:tblPr>
        <w:tblStyle w:val="10"/>
        <w:tblW w:w="5000" w:type="pct"/>
        <w:tblInd w:w="0" w:type="dxa"/>
        <w:shd w:val="clear" w:color="auto" w:fill="auto"/>
        <w:tblLayout w:type="autofit"/>
        <w:tblCellMar>
          <w:top w:w="0" w:type="dxa"/>
          <w:left w:w="0" w:type="dxa"/>
          <w:bottom w:w="0" w:type="dxa"/>
          <w:right w:w="0" w:type="dxa"/>
        </w:tblCellMar>
      </w:tblPr>
      <w:tblGrid>
        <w:gridCol w:w="1637"/>
        <w:gridCol w:w="3430"/>
        <w:gridCol w:w="1438"/>
        <w:gridCol w:w="1491"/>
        <w:gridCol w:w="1491"/>
        <w:gridCol w:w="1478"/>
        <w:gridCol w:w="1478"/>
        <w:gridCol w:w="1534"/>
      </w:tblGrid>
      <w:tr w14:paraId="2390B7A6">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09031D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color w:val="000000"/>
                <w:sz w:val="44"/>
                <w:szCs w:val="44"/>
              </w:rPr>
              <w:t>支出决算表</w:t>
            </w:r>
          </w:p>
        </w:tc>
      </w:tr>
      <w:tr w14:paraId="4986243A">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A5AB2C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 xml:space="preserve">重庆市大足区国梁镇劳动就业和社会保障服务所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4430B3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A36AE9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0F947C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5BA1D1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EC3FBF6">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公开03表</w:t>
            </w:r>
          </w:p>
        </w:tc>
      </w:tr>
      <w:tr w14:paraId="363BE3FF">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D9454F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7E6C70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DFD056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AF49CD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6E68B4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EADA6C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1B6D9CA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160CA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33EE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72F5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D53A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A1B5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A703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FEE2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对附属单位补助支出</w:t>
            </w:r>
          </w:p>
        </w:tc>
      </w:tr>
      <w:tr w14:paraId="3711228D">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59C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F2AD8B7">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0AAC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AF83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1FC3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E65D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D0CB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38DD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2672AD9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09D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9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50D022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7E69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B8EB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B5DF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C8F9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DD5A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A47D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25B7A89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EBC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9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AFE96F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5C69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BF66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9ED7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7739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78D7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41E5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39737B4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CD71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9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33BAE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F83C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59AB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CA29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C682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5A01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2585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26ED5EA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512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7750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bCs/>
                <w:color w:val="000000"/>
                <w:sz w:val="20"/>
                <w:szCs w:val="20"/>
              </w:rPr>
              <w:t>62.16</w:t>
            </w:r>
            <w:r>
              <w:rPr>
                <w:rFonts w:ascii="Times New Roman" w:hAnsi="Times New Roman" w:eastAsia="方正仿宋_GBK"/>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EF17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bCs/>
                <w:color w:val="000000"/>
                <w:sz w:val="20"/>
                <w:szCs w:val="20"/>
              </w:rPr>
              <w:t>62.16</w:t>
            </w:r>
            <w:r>
              <w:rPr>
                <w:rFonts w:ascii="Times New Roman" w:hAnsi="Times New Roman" w:eastAsia="方正仿宋_GBK"/>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B874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E03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B269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313F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r>
      <w:tr w14:paraId="7FE308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308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BC0C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C7A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55.97</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290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55.97</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3F25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385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D4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C59A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51020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40A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CCEC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A4E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45.37</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4B6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45.37</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D0B8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E1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7D3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C3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EEB68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895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F438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1FA2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45.37</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772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45.37</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C9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11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647E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828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F1745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9C1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66D3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ED6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10.52</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089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10.52</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CB2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4FDB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378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A65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ADC19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260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0E26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8E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1.78</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DB4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1.78</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029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DA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EB0D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9FC4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5DF11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BC5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AF6A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042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4.16</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3DC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4.16</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E9C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794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3D4C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475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5400EE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A89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7FB6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D12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8769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9BFD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E3C7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D70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43B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0A0D6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1C4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4760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76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2.50</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F6E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2.50</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574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97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FAC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A06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616F8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03A4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314B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17C9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0.08</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1BC9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0.08</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BD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0017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8E73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B36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03D5D6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4EB1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F214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4A6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0.08</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ECF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0.08</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A1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04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42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0C50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7D2442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DCF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1DE7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CDB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3.08</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B41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3.08</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62E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6F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A78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E25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3D1C1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502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5FCD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3A1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3.08</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3E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3.08</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BCC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510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CFC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21C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06692D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E0F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32E6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6F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2.60</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210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2.60</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D5F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883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864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EE4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F0659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E09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BF78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8590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0.48</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A0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0.48</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0B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6D19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D9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548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01122D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8B3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8C43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1FC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3.12</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3A8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3.12</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C4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E2AE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8EF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06C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4CB5D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FE8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3D5B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A8F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3.12</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CF3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3.12</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C6D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35D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E3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5DF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13000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DCE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D8A1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519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3.12</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408F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3.12</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311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B47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84D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8EE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bl>
    <w:p w14:paraId="6E5855FB">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备注：1.本表反映单位本年度各项支出情况。 2.本套报表金额单位转换时可能存在尾数误差。</w:t>
      </w:r>
    </w:p>
    <w:tbl>
      <w:tblPr>
        <w:tblStyle w:val="10"/>
        <w:tblpPr w:leftFromText="180" w:rightFromText="180" w:vertAnchor="text" w:horzAnchor="page" w:tblpX="1029" w:tblpY="558"/>
        <w:tblOverlap w:val="never"/>
        <w:tblW w:w="4827" w:type="pct"/>
        <w:tblInd w:w="0" w:type="dxa"/>
        <w:shd w:val="clear" w:color="auto" w:fill="auto"/>
        <w:tblLayout w:type="autofit"/>
        <w:tblCellMar>
          <w:top w:w="0" w:type="dxa"/>
          <w:left w:w="0" w:type="dxa"/>
          <w:bottom w:w="0" w:type="dxa"/>
          <w:right w:w="0" w:type="dxa"/>
        </w:tblCellMar>
      </w:tblPr>
      <w:tblGrid>
        <w:gridCol w:w="2695"/>
        <w:gridCol w:w="1384"/>
        <w:gridCol w:w="2901"/>
        <w:gridCol w:w="1536"/>
        <w:gridCol w:w="1536"/>
        <w:gridCol w:w="1536"/>
        <w:gridCol w:w="1905"/>
      </w:tblGrid>
      <w:tr w14:paraId="7AC9A612">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CA5F7D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color w:val="000000"/>
                <w:sz w:val="44"/>
                <w:szCs w:val="44"/>
              </w:rPr>
              <w:t>财政拨款收入支出决算总表</w:t>
            </w:r>
          </w:p>
        </w:tc>
      </w:tr>
      <w:tr w14:paraId="6722DC81">
        <w:tblPrEx>
          <w:tblCellMar>
            <w:top w:w="0" w:type="dxa"/>
            <w:left w:w="0" w:type="dxa"/>
            <w:bottom w:w="0" w:type="dxa"/>
            <w:right w:w="0" w:type="dxa"/>
          </w:tblCellMar>
        </w:tblPrEx>
        <w:trPr>
          <w:trHeight w:val="90" w:hRule="atLeast"/>
        </w:trPr>
        <w:tc>
          <w:tcPr>
            <w:tcW w:w="2587" w:type="pct"/>
            <w:gridSpan w:val="3"/>
            <w:vMerge w:val="restart"/>
            <w:tcBorders>
              <w:top w:val="nil"/>
              <w:left w:val="nil"/>
              <w:right w:val="nil"/>
            </w:tcBorders>
            <w:shd w:val="clear" w:color="auto" w:fill="auto"/>
            <w:noWrap/>
            <w:tcMar>
              <w:top w:w="15" w:type="dxa"/>
              <w:left w:w="15" w:type="dxa"/>
              <w:right w:w="15" w:type="dxa"/>
            </w:tcMar>
            <w:vAlign w:val="bottom"/>
          </w:tcPr>
          <w:p w14:paraId="21D232A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重庆市大足区国梁镇劳动就业和社会保障服务所</w:t>
            </w:r>
          </w:p>
        </w:tc>
        <w:tc>
          <w:tcPr>
            <w:tcW w:w="569" w:type="pct"/>
            <w:tcBorders>
              <w:top w:val="nil"/>
              <w:left w:val="nil"/>
              <w:bottom w:val="nil"/>
              <w:right w:val="nil"/>
            </w:tcBorders>
            <w:shd w:val="clear" w:color="auto" w:fill="auto"/>
            <w:noWrap/>
            <w:tcMar>
              <w:top w:w="15" w:type="dxa"/>
              <w:left w:w="15" w:type="dxa"/>
              <w:right w:w="15" w:type="dxa"/>
            </w:tcMar>
            <w:vAlign w:val="bottom"/>
          </w:tcPr>
          <w:p w14:paraId="14C295B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69" w:type="pct"/>
            <w:tcBorders>
              <w:top w:val="nil"/>
              <w:left w:val="nil"/>
              <w:bottom w:val="nil"/>
              <w:right w:val="nil"/>
            </w:tcBorders>
            <w:shd w:val="clear" w:color="auto" w:fill="auto"/>
            <w:noWrap/>
            <w:tcMar>
              <w:top w:w="15" w:type="dxa"/>
              <w:left w:w="15" w:type="dxa"/>
              <w:right w:w="15" w:type="dxa"/>
            </w:tcMar>
            <w:vAlign w:val="bottom"/>
          </w:tcPr>
          <w:p w14:paraId="02378FC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69" w:type="pct"/>
            <w:tcBorders>
              <w:top w:val="nil"/>
              <w:left w:val="nil"/>
              <w:bottom w:val="nil"/>
              <w:right w:val="nil"/>
            </w:tcBorders>
            <w:shd w:val="clear" w:color="auto" w:fill="auto"/>
            <w:noWrap/>
            <w:tcMar>
              <w:top w:w="15" w:type="dxa"/>
              <w:left w:w="15" w:type="dxa"/>
              <w:right w:w="15" w:type="dxa"/>
            </w:tcMar>
            <w:vAlign w:val="bottom"/>
          </w:tcPr>
          <w:p w14:paraId="27EBD18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703" w:type="pct"/>
            <w:tcBorders>
              <w:top w:val="nil"/>
              <w:left w:val="nil"/>
              <w:bottom w:val="nil"/>
              <w:right w:val="nil"/>
            </w:tcBorders>
            <w:shd w:val="clear" w:color="auto" w:fill="auto"/>
            <w:noWrap/>
            <w:tcMar>
              <w:top w:w="15" w:type="dxa"/>
              <w:left w:w="15" w:type="dxa"/>
              <w:right w:w="15" w:type="dxa"/>
            </w:tcMar>
            <w:vAlign w:val="bottom"/>
          </w:tcPr>
          <w:p w14:paraId="6015E8E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公开04表</w:t>
            </w:r>
          </w:p>
        </w:tc>
      </w:tr>
      <w:tr w14:paraId="3E911D88">
        <w:tblPrEx>
          <w:tblCellMar>
            <w:top w:w="0" w:type="dxa"/>
            <w:left w:w="0" w:type="dxa"/>
            <w:bottom w:w="0" w:type="dxa"/>
            <w:right w:w="0" w:type="dxa"/>
          </w:tblCellMar>
        </w:tblPrEx>
        <w:trPr>
          <w:trHeight w:val="90" w:hRule="atLeast"/>
        </w:trPr>
        <w:tc>
          <w:tcPr>
            <w:tcW w:w="2587" w:type="pct"/>
            <w:gridSpan w:val="3"/>
            <w:vMerge w:val="continue"/>
            <w:tcBorders>
              <w:left w:val="nil"/>
              <w:bottom w:val="nil"/>
              <w:right w:val="nil"/>
            </w:tcBorders>
            <w:shd w:val="clear" w:color="auto" w:fill="auto"/>
            <w:noWrap/>
            <w:tcMar>
              <w:top w:w="15" w:type="dxa"/>
              <w:left w:w="15" w:type="dxa"/>
              <w:right w:w="15" w:type="dxa"/>
            </w:tcMar>
            <w:vAlign w:val="bottom"/>
          </w:tcPr>
          <w:p w14:paraId="0E52E37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69" w:type="pct"/>
            <w:tcBorders>
              <w:top w:val="nil"/>
              <w:left w:val="nil"/>
              <w:bottom w:val="nil"/>
              <w:right w:val="nil"/>
            </w:tcBorders>
            <w:shd w:val="clear" w:color="auto" w:fill="auto"/>
            <w:noWrap/>
            <w:tcMar>
              <w:top w:w="15" w:type="dxa"/>
              <w:left w:w="15" w:type="dxa"/>
              <w:right w:w="15" w:type="dxa"/>
            </w:tcMar>
            <w:vAlign w:val="bottom"/>
          </w:tcPr>
          <w:p w14:paraId="1FA80FA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69" w:type="pct"/>
            <w:tcBorders>
              <w:top w:val="nil"/>
              <w:left w:val="nil"/>
              <w:bottom w:val="nil"/>
              <w:right w:val="nil"/>
            </w:tcBorders>
            <w:shd w:val="clear" w:color="auto" w:fill="auto"/>
            <w:noWrap/>
            <w:tcMar>
              <w:top w:w="15" w:type="dxa"/>
              <w:left w:w="15" w:type="dxa"/>
              <w:right w:w="15" w:type="dxa"/>
            </w:tcMar>
            <w:vAlign w:val="bottom"/>
          </w:tcPr>
          <w:p w14:paraId="6E0725D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69" w:type="pct"/>
            <w:tcBorders>
              <w:top w:val="nil"/>
              <w:left w:val="nil"/>
              <w:bottom w:val="nil"/>
              <w:right w:val="nil"/>
            </w:tcBorders>
            <w:shd w:val="clear" w:color="auto" w:fill="auto"/>
            <w:noWrap/>
            <w:tcMar>
              <w:top w:w="15" w:type="dxa"/>
              <w:left w:w="15" w:type="dxa"/>
              <w:right w:w="15" w:type="dxa"/>
            </w:tcMar>
            <w:vAlign w:val="bottom"/>
          </w:tcPr>
          <w:p w14:paraId="555A248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703" w:type="pct"/>
            <w:tcBorders>
              <w:top w:val="nil"/>
              <w:left w:val="nil"/>
              <w:bottom w:val="nil"/>
              <w:right w:val="nil"/>
            </w:tcBorders>
            <w:shd w:val="clear" w:color="auto" w:fill="auto"/>
            <w:noWrap/>
            <w:tcMar>
              <w:top w:w="15" w:type="dxa"/>
              <w:left w:w="15" w:type="dxa"/>
              <w:right w:w="15" w:type="dxa"/>
            </w:tcMar>
            <w:vAlign w:val="bottom"/>
          </w:tcPr>
          <w:p w14:paraId="6BDEEF8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2018CD3B">
        <w:tblPrEx>
          <w:tblCellMar>
            <w:top w:w="0" w:type="dxa"/>
            <w:left w:w="0" w:type="dxa"/>
            <w:bottom w:w="0" w:type="dxa"/>
            <w:right w:w="0" w:type="dxa"/>
          </w:tblCellMar>
        </w:tblPrEx>
        <w:trPr>
          <w:trHeight w:val="90" w:hRule="atLeast"/>
        </w:trPr>
        <w:tc>
          <w:tcPr>
            <w:tcW w:w="151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EFA7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收     入</w:t>
            </w:r>
          </w:p>
        </w:tc>
        <w:tc>
          <w:tcPr>
            <w:tcW w:w="348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E96D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支     出</w:t>
            </w:r>
          </w:p>
        </w:tc>
      </w:tr>
      <w:tr w14:paraId="6711EC71">
        <w:tblPrEx>
          <w:tblCellMar>
            <w:top w:w="0" w:type="dxa"/>
            <w:left w:w="0" w:type="dxa"/>
            <w:bottom w:w="0" w:type="dxa"/>
            <w:right w:w="0" w:type="dxa"/>
          </w:tblCellMar>
        </w:tblPrEx>
        <w:trPr>
          <w:trHeight w:val="90" w:hRule="atLeast"/>
        </w:trPr>
        <w:tc>
          <w:tcPr>
            <w:tcW w:w="9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9C0B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项目</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CB52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决算数</w:t>
            </w:r>
          </w:p>
        </w:tc>
        <w:tc>
          <w:tcPr>
            <w:tcW w:w="10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3CB6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功能分类科目</w:t>
            </w:r>
          </w:p>
        </w:tc>
        <w:tc>
          <w:tcPr>
            <w:tcW w:w="2412"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C090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决算数</w:t>
            </w:r>
          </w:p>
        </w:tc>
      </w:tr>
      <w:tr w14:paraId="030B38EE">
        <w:tblPrEx>
          <w:tblCellMar>
            <w:top w:w="0" w:type="dxa"/>
            <w:left w:w="0" w:type="dxa"/>
            <w:bottom w:w="0" w:type="dxa"/>
            <w:right w:w="0" w:type="dxa"/>
          </w:tblCellMar>
        </w:tblPrEx>
        <w:trPr>
          <w:trHeight w:val="90" w:hRule="atLeast"/>
        </w:trPr>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2FCC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37EE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753D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494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小计</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AE14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一般公共预算财政拨款</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58A4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政府性基金预算财政拨款</w:t>
            </w: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E2BC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国有资本经营预算财政拨款</w:t>
            </w:r>
          </w:p>
        </w:tc>
      </w:tr>
      <w:tr w14:paraId="5D230B1B">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68C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一、一般公共预算财政拨款</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126A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62.16</w:t>
            </w:r>
            <w:r>
              <w:rPr>
                <w:rFonts w:ascii="Times New Roman" w:hAnsi="Times New Roman" w:eastAsia="方正仿宋_GBK"/>
                <w:color w:val="000000"/>
                <w:sz w:val="18"/>
                <w:u w:color="auto"/>
              </w:rPr>
              <w:t xml:space="preserve"> </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C6E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一、一般公共服务支出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AC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A2C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D4EB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64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7F83A70">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2A2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二、政府性基金预算财政拨款</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D4FD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2F1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二、外交支出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C3F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438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14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817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7ED2C23">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643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三、国有资本经营预算财政拨款</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69C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0364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三、国防支出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A49F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6E3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C3C6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F2A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B05EAB4">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8C9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6B793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96F9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四、公共安全支出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A99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78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78D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05D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CD334DC">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0CA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BC4FE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C1B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五、教育支出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8583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948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DCE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26E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3BA0F950">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D0C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ACF06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7996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六、科学技术支出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D99A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461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A64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FAA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74203E81">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785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9DE01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F34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七、文化旅游体育与传媒支出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E0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C789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DD0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E7F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65AAD20">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BD0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545A9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451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八、社会保障和就业支出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21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55.97</w:t>
            </w: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EF0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55.97</w:t>
            </w: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0E21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1C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5F0C1A9">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BE3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79678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C6E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九、卫生健康支出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4BC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3.08</w:t>
            </w: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C5E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3.08</w:t>
            </w: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C9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341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7730254">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47E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416CB">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149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十、节能环保支出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40C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218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2E0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A18D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09D16FC">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90A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CE2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E2F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十一、城乡社区支出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C34E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5C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CD2E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222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71E581F">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AF21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794E7">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F9EB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十二、农林水支出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5B5B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691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48D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96E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3B815A66">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7B5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816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DD5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十三、交通运输支出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E50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3A0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5D7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43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0165D1A">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125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18D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901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十四、资源勘探工业信息等支出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354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5772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6F5F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A3B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BC929C0">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C306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553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D00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十五、商业服务业等支出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BF10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CED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5DFE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6AD9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3085CB1F">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7F2C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68B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F57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十六、金融支出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D1C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EB4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4207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14D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C8DD9BC">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5C7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3A2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1C9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十七、援助其他地区支出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04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DE2B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29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EC3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DE96656">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7EE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1584">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E4F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十八、自然资源海洋气象等支出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A1B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8C3C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561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DC2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0FB30B95">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F92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7327">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05B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十九、住房保障支出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205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w:t>
            </w: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5E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w:t>
            </w: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2B9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784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8CCF51D">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A23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3E7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FF5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二十、粮油物资储备支出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E2CD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8D9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37A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262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539B0C73">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CC6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002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40C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二十一、国有资本经营预算支出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78D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501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11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9F0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A07242B">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B66B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B92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5CF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二十二、灾害防治及应急管理支出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4525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DA1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B9E6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ABAB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92E9808">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13C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4C82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2CCD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二十三、其他支出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C6C3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493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58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49A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797CAC27">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92A92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B11C">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A79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二十四、债务还本支出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4F6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805B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624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A5C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0559320B">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59A1A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0995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D7D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二十五、债务付息支出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83F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2590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C6B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2CB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514E29F8">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76B90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94B7C">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50F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二十六、抗疫特别国债安排的支出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575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C7D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888F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10C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588E298">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64E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本年收入合计</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F4A5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62.16</w:t>
            </w:r>
            <w:r>
              <w:rPr>
                <w:rFonts w:ascii="Times New Roman" w:hAnsi="Times New Roman" w:eastAsia="方正仿宋_GBK"/>
                <w:color w:val="000000"/>
                <w:sz w:val="18"/>
                <w:u w:color="auto"/>
              </w:rPr>
              <w:t xml:space="preserve"> </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E33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本年支出合计</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4B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62.16</w:t>
            </w: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822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62.16</w:t>
            </w: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65A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15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D435B0C">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AD3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年初财政拨款结转和结余</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15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064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年末财政拨款结转和结余</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F8B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9BE9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B283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1B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C73970A">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252B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一般公共预算财政拨款</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8A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68B87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90C1A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75D3C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6C808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DEDEE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r>
      <w:tr w14:paraId="208F37D5">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844E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政府性基金预算财政拨款</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86CA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F32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154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328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E18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F12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r>
      <w:tr w14:paraId="46FA8EF6">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CE3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国有资本经营预算财政拨款</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96D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821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39D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4BEA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C3F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BFA1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r>
      <w:tr w14:paraId="79506A2B">
        <w:tblPrEx>
          <w:tblCellMar>
            <w:top w:w="0" w:type="dxa"/>
            <w:left w:w="0" w:type="dxa"/>
            <w:bottom w:w="0" w:type="dxa"/>
            <w:right w:w="0" w:type="dxa"/>
          </w:tblCellMar>
        </w:tblPrEx>
        <w:trPr>
          <w:trHeight w:val="90"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11C2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总计</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534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62.16</w:t>
            </w:r>
            <w:r>
              <w:rPr>
                <w:rFonts w:ascii="Times New Roman" w:hAnsi="Times New Roman" w:eastAsia="方正仿宋_GBK"/>
                <w:color w:val="000000"/>
                <w:sz w:val="18"/>
                <w:u w:color="auto"/>
              </w:rPr>
              <w:t xml:space="preserve"> </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A53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总计</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92D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62.16</w:t>
            </w: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0D4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62.16</w:t>
            </w:r>
            <w:r>
              <w:rPr>
                <w:rFonts w:ascii="Times New Roman" w:hAnsi="Times New Roman" w:eastAsia="方正仿宋_GBK"/>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A9C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69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bl>
    <w:p w14:paraId="4CD6071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1"/>
          <w:szCs w:val="21"/>
        </w:rPr>
      </w:pPr>
    </w:p>
    <w:p w14:paraId="4F1276C5">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hint="eastAsia" w:ascii="Times New Roman" w:hAnsi="Times New Roman" w:eastAsia="方正仿宋_GBK" w:cs="宋体"/>
          <w:sz w:val="20"/>
          <w:szCs w:val="20"/>
          <w:lang w:eastAsia="zh-CN"/>
        </w:rPr>
        <w:t>备注：</w:t>
      </w:r>
      <w:r>
        <w:rPr>
          <w:rFonts w:ascii="Times New Roman" w:hAnsi="Times New Roman" w:eastAsia="方正仿宋_GBK" w:cs="宋体"/>
          <w:sz w:val="20"/>
          <w:szCs w:val="20"/>
        </w:rPr>
        <w:t>1.</w:t>
      </w:r>
      <w:r>
        <w:rPr>
          <w:rFonts w:hint="eastAsia" w:ascii="Times New Roman" w:hAnsi="Times New Roman" w:eastAsia="方正仿宋_GBK" w:cs="宋体"/>
          <w:sz w:val="20"/>
          <w:szCs w:val="20"/>
          <w:lang w:eastAsia="zh-CN"/>
        </w:rPr>
        <w:t>本表反映单位</w:t>
      </w:r>
      <w:r>
        <w:rPr>
          <w:rFonts w:ascii="Times New Roman" w:hAnsi="Times New Roman" w:eastAsia="方正仿宋_GBK" w:cs="宋体"/>
          <w:sz w:val="20"/>
          <w:szCs w:val="20"/>
        </w:rPr>
        <w:t>本年度一般公共预算财政拨款、政府性基金预算财政拨款及国有资本经营预算财政拨款的总收支和年末结转结余情况。</w:t>
      </w:r>
    </w:p>
    <w:p w14:paraId="0A0D0005">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 xml:space="preserve">      2.本套报表金额单位转换时可能存在尾数误差。</w:t>
      </w:r>
    </w:p>
    <w:p w14:paraId="6815D811">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p w14:paraId="7129971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0"/>
          <w:szCs w:val="20"/>
        </w:rPr>
      </w:pPr>
      <w:r>
        <w:rPr>
          <w:rFonts w:ascii="Times New Roman" w:hAnsi="Times New Roman" w:eastAsia="方正仿宋_GBK" w:cs="宋体"/>
          <w:sz w:val="21"/>
          <w:szCs w:val="21"/>
        </w:rPr>
        <w:br w:type="page"/>
      </w:r>
    </w:p>
    <w:tbl>
      <w:tblPr>
        <w:tblStyle w:val="10"/>
        <w:tblW w:w="5000" w:type="pct"/>
        <w:tblInd w:w="0" w:type="dxa"/>
        <w:shd w:val="clear" w:color="auto" w:fill="auto"/>
        <w:tblLayout w:type="autofit"/>
        <w:tblCellMar>
          <w:top w:w="0" w:type="dxa"/>
          <w:left w:w="0" w:type="dxa"/>
          <w:bottom w:w="0" w:type="dxa"/>
          <w:right w:w="0" w:type="dxa"/>
        </w:tblCellMar>
      </w:tblPr>
      <w:tblGrid>
        <w:gridCol w:w="1637"/>
        <w:gridCol w:w="3430"/>
        <w:gridCol w:w="2965"/>
        <w:gridCol w:w="2965"/>
        <w:gridCol w:w="2980"/>
      </w:tblGrid>
      <w:tr w14:paraId="50E67A23">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25612C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color w:val="000000"/>
                <w:sz w:val="44"/>
                <w:szCs w:val="44"/>
              </w:rPr>
              <w:t>一般公共预算财政拨款支出决算表</w:t>
            </w:r>
          </w:p>
        </w:tc>
      </w:tr>
      <w:tr w14:paraId="0F84B315">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1D2E164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重庆市大足区国梁镇劳动就业和社会保障服务所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DEBCCC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2F7132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公开05表</w:t>
            </w:r>
          </w:p>
        </w:tc>
      </w:tr>
      <w:tr w14:paraId="4FF89512">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3F81D3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5EA7C9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E6246F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4A33C18C">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5E6D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9035B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本年支出</w:t>
            </w:r>
          </w:p>
        </w:tc>
      </w:tr>
      <w:tr w14:paraId="50C3C2EA">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D09E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3A71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4AE2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ADC5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9D0B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项目支出</w:t>
            </w:r>
          </w:p>
        </w:tc>
      </w:tr>
      <w:tr w14:paraId="5994641B">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EF41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6399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BF48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5596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3598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11CBA43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ED39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0BECF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C6D2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CBED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FB5B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334FB27F">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46B9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AA85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bCs/>
                <w:color w:val="000000"/>
                <w:sz w:val="20"/>
                <w:szCs w:val="20"/>
              </w:rPr>
              <w:t>62.16</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0AF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bCs/>
                <w:color w:val="000000"/>
                <w:sz w:val="20"/>
                <w:szCs w:val="20"/>
              </w:rPr>
              <w:t>62.16</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BFA0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r>
      <w:tr w14:paraId="20A245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A513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31BE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4BF4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55.97</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E5C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55.97</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6A5A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200FE3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2BEA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221C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90F2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45.37</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8663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45.37</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1A1D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3E0A97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F7C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1A7D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EB3F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45.37</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8B5E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45.37</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9130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025919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0104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9869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894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10.52</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FF7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10.52</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92A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600B9F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5686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70C8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E81F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1.78</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A8C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1.78</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F1B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7AF791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E76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7019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E59E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4.16</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1DB3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4.16</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5080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65D968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C9D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5180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825D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2.08</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11A6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2.08</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A025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08A107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A31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1EDC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839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2.50</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A457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2.50</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D20F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624545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963B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9977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E38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0.08</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C749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0.08</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2C78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1EF343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0CBC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AF63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6191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0.08</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7E3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0.08</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711B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408B1C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3C6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B1F2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3D6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3.08</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9D10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3.08</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79EF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594507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932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298C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C33B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3.08</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C7DC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3.08</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680E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1097C6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8B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8D76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20D2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2.60</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475A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2.60</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29AC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30BDAF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038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4DA0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17B5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0.48</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0C8C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0.48</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69CB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39FEB8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287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6F16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173C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3.12</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1818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3.12</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F1C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75616E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8E6D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438A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649B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3.12</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D278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3.12</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1CFE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36B462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4A1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C656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7EA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3.12</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ADCD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3.12</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447B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bl>
    <w:p w14:paraId="6165861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备注：1.本表反映单位本年度一般公共预算财政拨款支出情况。 2.本套报表金额单位转换时可能存在尾数误差。</w:t>
      </w:r>
    </w:p>
    <w:p w14:paraId="487A9B95">
      <w:pPr>
        <w:keepNext w:val="0"/>
        <w:keepLines w:val="0"/>
        <w:pageBreakBefore w:val="0"/>
        <w:widowControl/>
        <w:kinsoku/>
        <w:overflowPunct/>
        <w:topLinePunct w:val="0"/>
        <w:autoSpaceDN/>
        <w:bidi w:val="0"/>
        <w:adjustRightInd/>
        <w:spacing w:beforeAutospacing="0" w:afterAutospacing="0" w:line="594" w:lineRule="atLeast"/>
        <w:ind w:left="0" w:firstLine="630" w:firstLineChars="300"/>
        <w:rPr>
          <w:rFonts w:hint="default" w:ascii="Times New Roman" w:hAnsi="Times New Roman" w:eastAsia="方正仿宋_GBK" w:cs="宋体"/>
          <w:sz w:val="21"/>
          <w:szCs w:val="21"/>
        </w:rPr>
      </w:pPr>
    </w:p>
    <w:tbl>
      <w:tblPr>
        <w:tblStyle w:val="10"/>
        <w:tblW w:w="4994" w:type="pct"/>
        <w:tblInd w:w="0" w:type="dxa"/>
        <w:shd w:val="clear" w:color="auto" w:fill="auto"/>
        <w:tblLayout w:type="fixed"/>
        <w:tblCellMar>
          <w:top w:w="0" w:type="dxa"/>
          <w:left w:w="0" w:type="dxa"/>
          <w:bottom w:w="0" w:type="dxa"/>
          <w:right w:w="0" w:type="dxa"/>
        </w:tblCellMar>
      </w:tblPr>
      <w:tblGrid>
        <w:gridCol w:w="550"/>
        <w:gridCol w:w="2490"/>
        <w:gridCol w:w="1250"/>
        <w:gridCol w:w="760"/>
        <w:gridCol w:w="1748"/>
        <w:gridCol w:w="1505"/>
        <w:gridCol w:w="734"/>
        <w:gridCol w:w="3205"/>
        <w:gridCol w:w="1717"/>
      </w:tblGrid>
      <w:tr w14:paraId="3417B6AF">
        <w:tblPrEx>
          <w:shd w:val="clear" w:color="auto" w:fill="auto"/>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A954C4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color w:val="000000"/>
                <w:sz w:val="44"/>
                <w:szCs w:val="44"/>
              </w:rPr>
              <w:t>一般公共预算财政拨款基本支出决算表</w:t>
            </w:r>
          </w:p>
        </w:tc>
      </w:tr>
      <w:tr w14:paraId="608ABDC3">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395DEB1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重庆市大足区国梁镇劳动就业和社会保障服务所</w:t>
            </w:r>
          </w:p>
        </w:tc>
        <w:tc>
          <w:tcPr>
            <w:tcW w:w="626" w:type="pct"/>
            <w:tcBorders>
              <w:top w:val="nil"/>
              <w:left w:val="nil"/>
              <w:bottom w:val="nil"/>
              <w:right w:val="nil"/>
            </w:tcBorders>
            <w:shd w:val="clear" w:color="auto" w:fill="auto"/>
            <w:noWrap/>
            <w:tcMar>
              <w:top w:w="15" w:type="dxa"/>
              <w:left w:w="15" w:type="dxa"/>
              <w:right w:w="15" w:type="dxa"/>
            </w:tcMar>
            <w:vAlign w:val="bottom"/>
          </w:tcPr>
          <w:p w14:paraId="7096790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3F6E47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982687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4B9A9F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AEA904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公开06表</w:t>
            </w:r>
          </w:p>
        </w:tc>
      </w:tr>
      <w:tr w14:paraId="4D1E7E32">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A60566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9D7987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09D24B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D22189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634277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E57AAA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1DDA287A">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1126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20B30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公用经费</w:t>
            </w:r>
          </w:p>
        </w:tc>
      </w:tr>
      <w:tr w14:paraId="0A29E46C">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7265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F9F8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D0B6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6A47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E9D9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5A27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0038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3347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A338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金额</w:t>
            </w:r>
          </w:p>
        </w:tc>
      </w:tr>
      <w:tr w14:paraId="5AFE4605">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47A4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0D8F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0A5E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70A1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A19A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5BE7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49C3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B7957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8613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r>
      <w:tr w14:paraId="0AFC89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702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214E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53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56.58</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1F1A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BEAE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14B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1.30</w:t>
            </w: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423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FD5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606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760881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D8F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065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406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15.58</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199B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A42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0AB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B00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0B71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223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0710CB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764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B284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E8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2.34</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B5F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5F5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AFA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B19D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9B54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0DB7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69038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429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AA74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EDB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708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F4F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251E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7EB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282C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04D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009B942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01B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31B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53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E9DE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427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88F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9B3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CA5C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3CE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57901F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EDC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0892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377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26.16</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0C3E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55F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01E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058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0D8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C45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CEDA9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3D8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148F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1B9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4.16</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75F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85E1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02B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7AE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8E7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3CC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0BE283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232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1B84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2BE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2.08</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AA8B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109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E5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0D0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E55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5AF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7D1944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DAF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911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40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2.60</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320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093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1B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0B9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83F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920C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DF89F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762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221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9E9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A07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4F64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7A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ECB1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F81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D51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79EC90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99F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757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4AD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0.08</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7E6F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179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5E4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56B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2BB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1D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014A9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643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2B6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CA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812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D9C8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05C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18ED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8E2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E3D8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B5C7F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78E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F42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BBC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0.48</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3AC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BBA0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997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77D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888E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9D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BC954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483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6CF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FE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9B5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BE9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FB0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D062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8697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138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58205A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7F0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9650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E786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4.28</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C55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57FD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33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3EA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0B7C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1F0A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07AB4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BBE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EE6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A4E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F22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F21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7B1D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10C7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3DE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FD8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ECDFB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A427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2AA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F6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5B5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97BF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E0D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AC6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A1B0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698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8C2EE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598F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EBF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E0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D513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24D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614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325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357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47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FC468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B24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FBAF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FD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0B09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D36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48C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5CD0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E8E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5B94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0A17DE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7BB9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EAE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7D2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2.30</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C63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1BC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B6C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8A5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7DA5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599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97BA3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4CC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6CBB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AC9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BA03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34C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D0CC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B59F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309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5AC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0CF64F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491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9E3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DC20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0.20</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87B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100F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319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A81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BB1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7175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30855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594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257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B7A5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59B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D8A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37A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0.52</w:t>
            </w: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097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312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CE2E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17A6E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A54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889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CC2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1.78</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9B2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850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CEB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0.78</w:t>
            </w: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042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D04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95D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77A5D3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23E9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CD9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1D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FD3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E86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BF1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E75D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953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A2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7C9B7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10A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3E2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5F3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28B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CEE8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8D2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CAE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CDC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610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0DC1C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340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75A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27B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450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E92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E7B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A42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827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294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8DE41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CE0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BBA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DD280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25F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8AD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732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2C8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A035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DED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67EAC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476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5925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6EDE4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D11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F3D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FB6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3FC3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A107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1D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76AAB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EA1D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F0D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690B0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415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F5B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E7B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96D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CA9B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26B19">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r>
      <w:tr w14:paraId="47483E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4980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D35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FEC2C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C92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DD5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9B52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DE06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2AA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B0D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r>
      <w:tr w14:paraId="0D00EC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6C2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71A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EC1B9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67D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C0C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3965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C1B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9C3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A60B">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r>
      <w:tr w14:paraId="1880E2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862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3F0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95A2B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B633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B9F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CA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0AB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B31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82C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r>
      <w:tr w14:paraId="63B15CF2">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CB2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954CB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60.86</w:t>
            </w:r>
            <w:r>
              <w:rPr>
                <w:rFonts w:ascii="Times New Roman" w:hAnsi="Times New Roman" w:eastAsia="方正仿宋_GBK"/>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9ACF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B139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1.30</w:t>
            </w:r>
            <w:r>
              <w:rPr>
                <w:rFonts w:ascii="Times New Roman" w:hAnsi="Times New Roman" w:eastAsia="方正仿宋_GBK"/>
                <w:color w:val="000000"/>
                <w:sz w:val="18"/>
                <w:u w:color="auto"/>
              </w:rPr>
              <w:t xml:space="preserve"> </w:t>
            </w:r>
          </w:p>
        </w:tc>
      </w:tr>
    </w:tbl>
    <w:p w14:paraId="56356AC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备注：1.本表反映单位本年度一般公共预算财政拨款基本支出明细情况。</w:t>
      </w:r>
    </w:p>
    <w:p w14:paraId="356620F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 xml:space="preserve">      2.本套报表金额单位转换时可能存在尾数误差。</w:t>
      </w:r>
    </w:p>
    <w:p w14:paraId="0751A04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p w14:paraId="5B85799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0"/>
          <w:szCs w:val="20"/>
        </w:rPr>
      </w:pPr>
      <w:r>
        <w:rPr>
          <w:rFonts w:ascii="Times New Roman" w:hAnsi="Times New Roman" w:eastAsia="方正仿宋_GBK" w:cs="宋体"/>
          <w:sz w:val="21"/>
          <w:szCs w:val="21"/>
        </w:rPr>
        <w:br w:type="page"/>
      </w:r>
    </w:p>
    <w:tbl>
      <w:tblPr>
        <w:tblStyle w:val="10"/>
        <w:tblW w:w="5000" w:type="pct"/>
        <w:tblInd w:w="0" w:type="dxa"/>
        <w:shd w:val="clear" w:color="auto" w:fill="auto"/>
        <w:tblLayout w:type="autofit"/>
        <w:tblCellMar>
          <w:top w:w="0" w:type="dxa"/>
          <w:left w:w="0" w:type="dxa"/>
          <w:bottom w:w="0" w:type="dxa"/>
          <w:right w:w="0" w:type="dxa"/>
        </w:tblCellMar>
      </w:tblPr>
      <w:tblGrid>
        <w:gridCol w:w="1686"/>
        <w:gridCol w:w="2807"/>
        <w:gridCol w:w="1551"/>
        <w:gridCol w:w="1551"/>
        <w:gridCol w:w="1551"/>
        <w:gridCol w:w="1551"/>
        <w:gridCol w:w="1610"/>
        <w:gridCol w:w="1670"/>
      </w:tblGrid>
      <w:tr w14:paraId="5BF46EB8">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EDEA5B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color w:val="000000"/>
                <w:sz w:val="44"/>
                <w:szCs w:val="44"/>
              </w:rPr>
              <w:t>政府性基金预算财政拨款收入支出决算表</w:t>
            </w:r>
          </w:p>
        </w:tc>
      </w:tr>
      <w:tr w14:paraId="012B14FB">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97361A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重庆市大足区国梁镇劳动就业和社会保障服务所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391EBFF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2DE1E5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8C469F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84BDB4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60DA7D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公开07表</w:t>
            </w:r>
          </w:p>
        </w:tc>
      </w:tr>
      <w:tr w14:paraId="1C6DD379">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267A4C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D3D0AF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0B8659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81DDA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A14A5F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9512F86">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1AB8CFE5">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5AA0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5FA01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F159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9379F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A613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年末结转和结余</w:t>
            </w:r>
          </w:p>
        </w:tc>
      </w:tr>
      <w:tr w14:paraId="2CA7D037">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CF1F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BC9D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B5E52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371A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C5C5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61CD7">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6118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FEBE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01FA39AF">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7E84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D85A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BCF85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4542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31FA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3E41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088D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7C41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5B9D4F5A">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8A8D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A5FC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E3418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965B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0994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8A20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362B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7014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729A50C9">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BC05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00BF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17E2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D929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75AC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2B4C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CD5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r>
    </w:tbl>
    <w:p w14:paraId="5C4EC264">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备注：本表反映单位本年度政府性基金预算财政拨款收入支出及结转和结余情况。本单位无政府性基金收支，故本表无数据。</w:t>
      </w:r>
    </w:p>
    <w:p w14:paraId="016A71F4">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p w14:paraId="381A9F6A">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p w14:paraId="7B78D18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1"/>
          <w:szCs w:val="21"/>
        </w:rPr>
      </w:pPr>
      <w:r>
        <w:rPr>
          <w:rFonts w:ascii="Times New Roman" w:hAnsi="Times New Roman" w:eastAsia="方正仿宋_GBK" w:cs="宋体"/>
          <w:sz w:val="21"/>
          <w:szCs w:val="21"/>
        </w:rPr>
        <w:br w:type="page"/>
      </w:r>
    </w:p>
    <w:tbl>
      <w:tblPr>
        <w:tblStyle w:val="10"/>
        <w:tblW w:w="5000" w:type="pct"/>
        <w:tblInd w:w="0" w:type="dxa"/>
        <w:shd w:val="clear" w:color="auto" w:fill="auto"/>
        <w:tblLayout w:type="autofit"/>
        <w:tblCellMar>
          <w:top w:w="0" w:type="dxa"/>
          <w:left w:w="0" w:type="dxa"/>
          <w:bottom w:w="0" w:type="dxa"/>
          <w:right w:w="0" w:type="dxa"/>
        </w:tblCellMar>
      </w:tblPr>
      <w:tblGrid>
        <w:gridCol w:w="1711"/>
        <w:gridCol w:w="2781"/>
        <w:gridCol w:w="2977"/>
        <w:gridCol w:w="182"/>
        <w:gridCol w:w="3159"/>
        <w:gridCol w:w="70"/>
        <w:gridCol w:w="3097"/>
      </w:tblGrid>
      <w:tr w14:paraId="1BBF19EC">
        <w:tblPrEx>
          <w:shd w:val="clear" w:color="auto" w:fill="auto"/>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5B247B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color w:val="000000"/>
                <w:sz w:val="44"/>
                <w:szCs w:val="44"/>
              </w:rPr>
              <w:t>国有资本经营预算财政拨款支出决算表</w:t>
            </w:r>
          </w:p>
        </w:tc>
      </w:tr>
      <w:tr w14:paraId="7E19529E">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46211B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重庆市大足区国梁镇劳动就业和社会保障服务所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D2C76A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253987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公开08表</w:t>
            </w:r>
          </w:p>
        </w:tc>
      </w:tr>
      <w:tr w14:paraId="287C652E">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FB71D7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24ABBE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F32D62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6A319FEF">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44C70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21E22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本年支出</w:t>
            </w:r>
          </w:p>
        </w:tc>
      </w:tr>
      <w:tr w14:paraId="5B2B7B5B">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F3B5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FA78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17F1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7FF8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634E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项目支出</w:t>
            </w:r>
          </w:p>
        </w:tc>
      </w:tr>
      <w:tr w14:paraId="039A51B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E198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E423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F02A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9A43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2E6E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252F9A2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96D5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2204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F90B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706D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0A03C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037A81E6">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B706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B5C7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2708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68D7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BC837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1C6CE8D5">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7C79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47CC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9FBB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B574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r>
    </w:tbl>
    <w:p w14:paraId="0F2DC236">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备注：本表反映单位本年度国有资本经营预算财政拨款支出情况。本单位无国有资本经营收支，故本表无数据。</w:t>
      </w:r>
    </w:p>
    <w:p w14:paraId="02875A15">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p w14:paraId="2E48A81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1"/>
          <w:szCs w:val="21"/>
        </w:rPr>
      </w:pPr>
      <w:r>
        <w:rPr>
          <w:rFonts w:hint="default" w:ascii="Times New Roman" w:hAnsi="Times New Roman" w:eastAsia="方正仿宋_GBK" w:cs="宋体"/>
          <w:sz w:val="21"/>
          <w:szCs w:val="21"/>
        </w:rPr>
        <w:br w:type="page"/>
      </w:r>
    </w:p>
    <w:tbl>
      <w:tblPr>
        <w:tblStyle w:val="10"/>
        <w:tblW w:w="4877" w:type="pct"/>
        <w:tblInd w:w="0" w:type="dxa"/>
        <w:shd w:val="clear" w:color="auto" w:fill="auto"/>
        <w:tblLayout w:type="fixed"/>
        <w:tblCellMar>
          <w:top w:w="0" w:type="dxa"/>
          <w:left w:w="170" w:type="dxa"/>
          <w:bottom w:w="0" w:type="dxa"/>
          <w:right w:w="170" w:type="dxa"/>
        </w:tblCellMar>
      </w:tblPr>
      <w:tblGrid>
        <w:gridCol w:w="3673"/>
        <w:gridCol w:w="1968"/>
        <w:gridCol w:w="1922"/>
        <w:gridCol w:w="4112"/>
        <w:gridCol w:w="1958"/>
      </w:tblGrid>
      <w:tr w14:paraId="07DA040D">
        <w:tblPrEx>
          <w:shd w:val="clear" w:color="auto" w:fill="auto"/>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7EA945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color w:val="000000"/>
                <w:sz w:val="44"/>
                <w:szCs w:val="44"/>
              </w:rPr>
              <w:t>机构运行信息表</w:t>
            </w:r>
          </w:p>
        </w:tc>
      </w:tr>
      <w:tr w14:paraId="57CFCFA7">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53B874D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2FEF034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123BAA4">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F2069A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9121D7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公开09表</w:t>
            </w:r>
          </w:p>
        </w:tc>
      </w:tr>
      <w:tr w14:paraId="67DE4A25">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8FA7C9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重庆市大足区国梁镇劳动就业和社会保障服务所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52EFEC7">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5984AE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0E4AC81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2CD55EA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BA29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6"/>
                <w:szCs w:val="16"/>
              </w:rPr>
            </w:pPr>
            <w:r>
              <w:rPr>
                <w:rFonts w:ascii="Times New Roman" w:hAnsi="Times New Roman" w:eastAsia="方正仿宋_GBK"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8BB6D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6"/>
                <w:szCs w:val="16"/>
              </w:rPr>
            </w:pPr>
            <w:r>
              <w:rPr>
                <w:rFonts w:ascii="Times New Roman" w:hAnsi="Times New Roman" w:eastAsia="方正仿宋_GBK"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9BEDB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6"/>
                <w:szCs w:val="16"/>
              </w:rPr>
            </w:pPr>
            <w:r>
              <w:rPr>
                <w:rFonts w:ascii="Times New Roman" w:hAnsi="Times New Roman" w:eastAsia="方正仿宋_GBK"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6719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6"/>
                <w:szCs w:val="16"/>
              </w:rPr>
            </w:pPr>
            <w:r>
              <w:rPr>
                <w:rFonts w:ascii="Times New Roman" w:hAnsi="Times New Roman" w:eastAsia="方正仿宋_GBK"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17635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6"/>
                <w:szCs w:val="16"/>
              </w:rPr>
            </w:pPr>
            <w:r>
              <w:rPr>
                <w:rFonts w:ascii="Times New Roman" w:hAnsi="Times New Roman" w:eastAsia="方正仿宋_GBK" w:cs="宋体"/>
                <w:b/>
                <w:color w:val="000000"/>
                <w:sz w:val="16"/>
                <w:szCs w:val="16"/>
              </w:rPr>
              <w:t>决算数</w:t>
            </w:r>
          </w:p>
        </w:tc>
      </w:tr>
      <w:tr w14:paraId="619DEA3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98FE0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638E3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8929A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023C8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008A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4DA3A8D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99FFE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21350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7A26F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E5C2E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FC207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084DEF7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95E2E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3C7DA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92568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E18A6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16E2B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1CE2CEC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C2C54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EBAE2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26728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DA5D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3404A7">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r>
      <w:tr w14:paraId="015A426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2314C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CE14D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824B3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CA773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F01F2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w:t>
            </w:r>
          </w:p>
        </w:tc>
      </w:tr>
      <w:tr w14:paraId="7DEF69D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F1A88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689F5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13F22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CACE1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A32B0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46386E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92388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D060F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1931D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04CD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ADCA4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3D5AD0C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7F64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04166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440CE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36CE0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CD8C3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684B829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16F26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2F958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E7A65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156FB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B67D2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49752AE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CC15D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FB0B3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6AF6E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CF3B6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3AD20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05DDE8F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8AC4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046D6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17391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321D8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E70456">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51171A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EE923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8D86F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DD25E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8C42A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4EEBF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2080119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CF70B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41FD7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8884D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2D6A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52207A">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143EB6D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C901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7C3D3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4D68B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6C1A9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8FD54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3663006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4AF0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DD863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D1256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97E4E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64DC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r>
      <w:tr w14:paraId="1AB9224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DD17D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CC20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3A41F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69311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ED64F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3221935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31A94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33F39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E1788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F7171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568336">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23C0513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09AF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86F99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9D28B6">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1077A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DEC1C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2654698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8EAB5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D6531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4BD07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1CCF2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6972E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5C0DAFF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26FED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5C733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6248A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25EB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EA8CC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38CA555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A953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1D9B87">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D5988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725F1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4FC89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1C61BE38">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9906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57F4F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9C6F1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D10D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28DB7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6"/>
                <w:szCs w:val="16"/>
              </w:rPr>
            </w:pPr>
          </w:p>
        </w:tc>
      </w:tr>
      <w:tr w14:paraId="30FCFB31">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F544A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5E501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C60B7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D247A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AE4F47">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6"/>
                <w:szCs w:val="16"/>
              </w:rPr>
            </w:pPr>
          </w:p>
        </w:tc>
      </w:tr>
    </w:tbl>
    <w:p w14:paraId="5F906CE8">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14:paraId="32FEDCFC">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 xml:space="preserve">      2.本套报表金额单位转换时可能存在尾数误差。</w:t>
      </w:r>
    </w:p>
    <w:p w14:paraId="0F55800B">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p w14:paraId="3339359E">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sectPr>
      <w:pgSz w:w="16839" w:h="11907" w:orient="landscape"/>
      <w:pgMar w:top="1984" w:right="1446" w:bottom="1644" w:left="1446" w:header="850" w:footer="992"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B2938B5-EA4D-4F2D-B1B6-EDD18AAECD4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embedRegular r:id="rId2" w:fontKey="{72231E54-14D7-4A95-A855-8C67C087709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F6695B65-2276-44FC-BED0-8BB88F81D061}"/>
  </w:font>
  <w:font w:name="方正仿宋_GBK">
    <w:panose1 w:val="02000000000000000000"/>
    <w:charset w:val="86"/>
    <w:family w:val="script"/>
    <w:pitch w:val="default"/>
    <w:sig w:usb0="A00002BF" w:usb1="38CF7CFA" w:usb2="00082016" w:usb3="00000000" w:csb0="00040001" w:csb1="00000000"/>
    <w:embedRegular r:id="rId4" w:fontKey="{D1AA711E-DCEA-41A3-AF2A-C1AAA6E56484}"/>
  </w:font>
  <w:font w:name="仿宋_GB2312">
    <w:panose1 w:val="02010609030101010101"/>
    <w:charset w:val="86"/>
    <w:family w:val="modern"/>
    <w:pitch w:val="default"/>
    <w:sig w:usb0="00000001" w:usb1="080E0000" w:usb2="00000000" w:usb3="00000000" w:csb0="00040000" w:csb1="00000000"/>
    <w:embedRegular r:id="rId5" w:fontKey="{2147FB5B-F756-40D3-AE25-F5AB5D4A20CE}"/>
  </w:font>
  <w:font w:name="仿宋">
    <w:panose1 w:val="02010609060101010101"/>
    <w:charset w:val="86"/>
    <w:family w:val="modern"/>
    <w:pitch w:val="default"/>
    <w:sig w:usb0="800002BF" w:usb1="38CF7CFA" w:usb2="00000016" w:usb3="00000000" w:csb0="00040001" w:csb1="00000000"/>
    <w:embedRegular r:id="rId6" w:fontKey="{2BCDE165-D575-476D-8FF0-F710807AE2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2694C">
    <w:pPr>
      <w:pStyle w:val="7"/>
      <w:rPr>
        <w:rFonts w:hint="default"/>
      </w:rPr>
    </w:pPr>
    <w:r>
      <w:rPr>
        <w:sz w:val="18"/>
      </w:rPr>
      <w:pict>
        <v:shape id="_x0000_s1029" o:spid="_x0000_s102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7DF1F20">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08DB0">
    <w:pPr>
      <w:pStyle w:val="7"/>
      <w:jc w:val="both"/>
      <w:rPr>
        <w:rFonts w:hint="default"/>
      </w:rPr>
    </w:pPr>
    <w:r>
      <w:rPr>
        <w:sz w:val="18"/>
      </w:rPr>
      <w:pict>
        <v:shape id="_x0000_s1030" o:spid="_x0000_s103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3FB7F14">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74FD2C9">
                <w:pPr>
                  <w:pStyle w:val="7"/>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A2BD2">
    <w:pPr>
      <w:pStyle w:val="8"/>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NmNDUwODRjNDJkZDNiNTgyZGRhZjk2NjA2ZmIwOD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7442FA"/>
    <w:rsid w:val="01F3521E"/>
    <w:rsid w:val="03B87EA0"/>
    <w:rsid w:val="03E3214F"/>
    <w:rsid w:val="044C50BA"/>
    <w:rsid w:val="05BC6D49"/>
    <w:rsid w:val="06194FF1"/>
    <w:rsid w:val="06A2550B"/>
    <w:rsid w:val="06B52E78"/>
    <w:rsid w:val="06F80EE2"/>
    <w:rsid w:val="07001CCA"/>
    <w:rsid w:val="07091E7F"/>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201704"/>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A272B7"/>
    <w:rsid w:val="1ECF0A66"/>
    <w:rsid w:val="1EF67CA4"/>
    <w:rsid w:val="1F020D3A"/>
    <w:rsid w:val="1F2C5189"/>
    <w:rsid w:val="1F4B0B02"/>
    <w:rsid w:val="1FBB35CD"/>
    <w:rsid w:val="1FCD26AF"/>
    <w:rsid w:val="20642787"/>
    <w:rsid w:val="21556F04"/>
    <w:rsid w:val="22403BD3"/>
    <w:rsid w:val="230B5946"/>
    <w:rsid w:val="23377209"/>
    <w:rsid w:val="24B92327"/>
    <w:rsid w:val="24C14514"/>
    <w:rsid w:val="2533755C"/>
    <w:rsid w:val="25416B4F"/>
    <w:rsid w:val="25791755"/>
    <w:rsid w:val="26396DF4"/>
    <w:rsid w:val="27167136"/>
    <w:rsid w:val="271B442C"/>
    <w:rsid w:val="27B23302"/>
    <w:rsid w:val="29016B53"/>
    <w:rsid w:val="29310A5F"/>
    <w:rsid w:val="29C37A35"/>
    <w:rsid w:val="2A076083"/>
    <w:rsid w:val="2A73162E"/>
    <w:rsid w:val="2B167953"/>
    <w:rsid w:val="2B200583"/>
    <w:rsid w:val="2B8209DE"/>
    <w:rsid w:val="2C636760"/>
    <w:rsid w:val="2C6762A3"/>
    <w:rsid w:val="2DC0144A"/>
    <w:rsid w:val="2E851C2E"/>
    <w:rsid w:val="2FCA4B37"/>
    <w:rsid w:val="2FE029D7"/>
    <w:rsid w:val="2FF06E00"/>
    <w:rsid w:val="2FF3E006"/>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1012F"/>
    <w:rsid w:val="3FCD675E"/>
    <w:rsid w:val="3FFF8E34"/>
    <w:rsid w:val="4004000C"/>
    <w:rsid w:val="400623CF"/>
    <w:rsid w:val="40BD5482"/>
    <w:rsid w:val="411B6CE5"/>
    <w:rsid w:val="412070D7"/>
    <w:rsid w:val="41314E40"/>
    <w:rsid w:val="41E0734B"/>
    <w:rsid w:val="426C1EA8"/>
    <w:rsid w:val="42736402"/>
    <w:rsid w:val="42E86A87"/>
    <w:rsid w:val="43307B09"/>
    <w:rsid w:val="439A3EB9"/>
    <w:rsid w:val="43BB152F"/>
    <w:rsid w:val="44C37687"/>
    <w:rsid w:val="45CB699A"/>
    <w:rsid w:val="465B470D"/>
    <w:rsid w:val="468E347B"/>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075D53"/>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14FA8"/>
    <w:rsid w:val="54272666"/>
    <w:rsid w:val="543B029D"/>
    <w:rsid w:val="54861779"/>
    <w:rsid w:val="552256E1"/>
    <w:rsid w:val="554E5773"/>
    <w:rsid w:val="555829E0"/>
    <w:rsid w:val="555A3CBC"/>
    <w:rsid w:val="5582012B"/>
    <w:rsid w:val="558E4E05"/>
    <w:rsid w:val="55BE2E85"/>
    <w:rsid w:val="56530F5D"/>
    <w:rsid w:val="567700D3"/>
    <w:rsid w:val="56DB78D0"/>
    <w:rsid w:val="56FF7E9E"/>
    <w:rsid w:val="578867FC"/>
    <w:rsid w:val="5842572D"/>
    <w:rsid w:val="5A3B59D6"/>
    <w:rsid w:val="5AD134D8"/>
    <w:rsid w:val="5C0C052C"/>
    <w:rsid w:val="5C263CE4"/>
    <w:rsid w:val="5C5D2777"/>
    <w:rsid w:val="5CB8757A"/>
    <w:rsid w:val="5CF66BF3"/>
    <w:rsid w:val="5D290C69"/>
    <w:rsid w:val="5F2D4A41"/>
    <w:rsid w:val="60C74F6C"/>
    <w:rsid w:val="61025A59"/>
    <w:rsid w:val="61120392"/>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9F8CB6"/>
    <w:rsid w:val="7DE94331"/>
    <w:rsid w:val="7F446A19"/>
    <w:rsid w:val="7F7452B9"/>
    <w:rsid w:val="7F897B53"/>
    <w:rsid w:val="7FFF079F"/>
    <w:rsid w:val="FAC86A85"/>
    <w:rsid w:val="FCEF9AC4"/>
    <w:rsid w:val="FFE72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3"/>
    <w:next w:val="1"/>
    <w:link w:val="19"/>
    <w:qFormat/>
    <w:uiPriority w:val="0"/>
    <w:pPr>
      <w:shd w:val="clear" w:color="auto" w:fill="FFFFFF"/>
      <w:spacing w:beforeAutospacing="0" w:after="0" w:afterAutospacing="0" w:line="594" w:lineRule="atLeast"/>
      <w:outlineLvl w:val="0"/>
    </w:pPr>
    <w:rPr>
      <w:rFonts w:ascii="方正黑体_GBK" w:hAnsi="方正黑体_GBK" w:eastAsia="方正黑体_GBK" w:cs="方正黑体_GBK"/>
      <w:bCs/>
      <w:sz w:val="32"/>
      <w:szCs w:val="32"/>
      <w:shd w:val="clear" w:color="auto" w:fill="FFFFFF"/>
    </w:rPr>
  </w:style>
  <w:style w:type="paragraph" w:styleId="4">
    <w:name w:val="heading 2"/>
    <w:basedOn w:val="5"/>
    <w:next w:val="1"/>
    <w:qFormat/>
    <w:uiPriority w:val="0"/>
    <w:pPr>
      <w:autoSpaceDE w:val="0"/>
      <w:spacing w:line="594" w:lineRule="atLeast"/>
      <w:ind w:firstLine="643"/>
      <w:outlineLvl w:val="1"/>
    </w:pPr>
    <w:rPr>
      <w:rFonts w:ascii="方正楷体_GBK" w:hAnsi="方正楷体_GBK" w:eastAsia="方正楷体_GBK" w:cs="方正楷体_GBK"/>
      <w:sz w:val="32"/>
      <w:szCs w:val="32"/>
      <w:highlight w:val="none"/>
      <w:shd w:val="clear" w:color="auto" w:fill="FFFFFF"/>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0"/>
    <w:pPr>
      <w:spacing w:before="100" w:beforeAutospacing="1" w:after="100" w:afterAutospacing="1"/>
    </w:pPr>
  </w:style>
  <w:style w:type="paragraph" w:customStyle="1" w:styleId="5">
    <w:name w:val="列出段落1"/>
    <w:basedOn w:val="1"/>
    <w:qFormat/>
    <w:uiPriority w:val="99"/>
    <w:pPr>
      <w:ind w:firstLine="420" w:firstLineChars="200"/>
    </w:pPr>
    <w:rPr>
      <w:rFonts w:hint="default"/>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2"/>
    <w:link w:val="6"/>
    <w:qFormat/>
    <w:uiPriority w:val="0"/>
    <w:rPr>
      <w:rFonts w:ascii="宋体" w:hAnsi="宋体"/>
      <w:sz w:val="18"/>
      <w:szCs w:val="18"/>
    </w:rPr>
  </w:style>
  <w:style w:type="paragraph" w:customStyle="1" w:styleId="18">
    <w:name w:val="样式 标题 2 + 楷体 小三 段前: 0 磅 段后: 0 磅 行距: 单倍行距"/>
    <w:basedOn w:val="4"/>
    <w:qFormat/>
    <w:uiPriority w:val="0"/>
    <w:pPr>
      <w:spacing w:before="0" w:after="0" w:line="240" w:lineRule="auto"/>
    </w:pPr>
    <w:rPr>
      <w:rFonts w:hint="default" w:ascii="楷体" w:hAnsi="楷体" w:eastAsia="楷体" w:cs="宋体"/>
      <w:sz w:val="30"/>
      <w:szCs w:val="20"/>
    </w:rPr>
  </w:style>
  <w:style w:type="character" w:customStyle="1" w:styleId="19">
    <w:name w:val="标题 1 Char"/>
    <w:link w:val="2"/>
    <w:qFormat/>
    <w:uiPriority w:val="0"/>
    <w:rPr>
      <w:rFonts w:ascii="方正黑体_GBK" w:hAnsi="方正黑体_GBK" w:eastAsia="方正黑体_GBK" w:cs="方正黑体_GBK"/>
      <w:bCs/>
      <w:sz w:val="32"/>
      <w:szCs w:val="32"/>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textRotate="1"/>
    <customShpInfo spid="_x0000_s1030"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4273</Words>
  <Characters>4756</Characters>
  <Lines>190</Lines>
  <Paragraphs>53</Paragraphs>
  <TotalTime>1</TotalTime>
  <ScaleCrop>false</ScaleCrop>
  <LinksUpToDate>false</LinksUpToDate>
  <CharactersWithSpaces>4860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Administrator</cp:lastModifiedBy>
  <dcterms:modified xsi:type="dcterms:W3CDTF">2024-10-21T08:37:20Z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