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307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eastAsia="方正黑体_GBK" w:cs="Times New Roman"/>
          <w:color w:val="auto"/>
          <w:kern w:val="2"/>
          <w:sz w:val="32"/>
          <w:szCs w:val="32"/>
          <w:highlight w:val="none"/>
          <w:lang w:val="en-US" w:eastAsia="zh-CN" w:bidi="ar-SA"/>
        </w:rPr>
      </w:pPr>
      <w:bookmarkStart w:id="0" w:name="OLE_LINK1"/>
      <w:r>
        <w:rPr>
          <w:rFonts w:hint="eastAsia" w:ascii="Times New Roman" w:hAnsi="Times New Roman" w:eastAsia="方正黑体_GBK" w:cs="Times New Roman"/>
          <w:color w:val="auto"/>
          <w:kern w:val="2"/>
          <w:sz w:val="32"/>
          <w:szCs w:val="32"/>
          <w:highlight w:val="none"/>
          <w:lang w:val="en-US" w:eastAsia="zh-CN" w:bidi="ar-SA"/>
        </w:rPr>
        <w:t>附件</w:t>
      </w:r>
    </w:p>
    <w:bookmarkEnd w:id="0"/>
    <w:p w14:paraId="6363D69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z w:val="44"/>
          <w:szCs w:val="44"/>
          <w:lang w:val="en-US" w:eastAsia="zh-CN"/>
        </w:rPr>
      </w:pPr>
    </w:p>
    <w:p w14:paraId="6172F7BE">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z w:val="44"/>
          <w:szCs w:val="44"/>
          <w:lang w:val="en-US" w:eastAsia="zh-CN"/>
        </w:rPr>
      </w:pPr>
      <w:bookmarkStart w:id="1" w:name="_GoBack"/>
      <w:bookmarkEnd w:id="1"/>
      <w:r>
        <w:rPr>
          <w:rFonts w:hint="eastAsia" w:ascii="Times New Roman" w:hAnsi="Times New Roman" w:eastAsia="方正小标宋_GBK" w:cs="方正小标宋_GBK"/>
          <w:b w:val="0"/>
          <w:bCs w:val="0"/>
          <w:color w:val="auto"/>
          <w:sz w:val="44"/>
          <w:szCs w:val="44"/>
          <w:lang w:val="en-US" w:eastAsia="zh-CN"/>
        </w:rPr>
        <w:t>大足区招商引资项目全生命周期闭环管理服务办法（试行）（征求意见稿）</w:t>
      </w:r>
    </w:p>
    <w:p w14:paraId="7E44690C">
      <w:pPr>
        <w:pStyle w:val="8"/>
        <w:rPr>
          <w:rFonts w:hint="eastAsia"/>
          <w:lang w:val="en-US" w:eastAsia="zh-CN"/>
        </w:rPr>
      </w:pPr>
    </w:p>
    <w:p w14:paraId="085A8D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仿宋_GBK" w:cs="方正仿宋_GBK"/>
          <w:b w:val="0"/>
          <w:bCs w:val="0"/>
          <w:color w:val="auto"/>
          <w:spacing w:val="0"/>
          <w:kern w:val="21"/>
          <w:sz w:val="32"/>
          <w:szCs w:val="32"/>
          <w:lang w:val="en-US" w:eastAsia="zh-CN" w:bidi="ar-SA"/>
        </w:rPr>
        <w:t>为加强和改进新形势下全区招商引资工作，实现招商引资流程规范、职责明确、效率提高、服务优化，切实提高招商引资质量和水平，特制订本办法。</w:t>
      </w:r>
    </w:p>
    <w:p w14:paraId="17343912">
      <w:pPr>
        <w:keepNext w:val="0"/>
        <w:keepLines w:val="0"/>
        <w:pageBreakBefore w:val="0"/>
        <w:widowControl w:val="0"/>
        <w:kinsoku/>
        <w:wordWrap/>
        <w:overflowPunct/>
        <w:topLinePunct w:val="0"/>
        <w:autoSpaceDE/>
        <w:autoSpaceDN/>
        <w:bidi w:val="0"/>
        <w:adjustRightInd/>
        <w:snapToGrid/>
        <w:spacing w:before="303" w:beforeLines="50" w:after="303" w:afterLines="50" w:line="594" w:lineRule="exact"/>
        <w:ind w:left="0" w:leftChars="0" w:right="0" w:rightChars="0" w:firstLine="0" w:firstLineChars="0"/>
        <w:jc w:val="center"/>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第一章  招商引资</w:t>
      </w:r>
    </w:p>
    <w:p w14:paraId="389E98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第一条【引入条件】</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招商引资项目引入应符合国家</w:t>
      </w:r>
      <w:r>
        <w:rPr>
          <w:rFonts w:hint="eastAsia" w:ascii="Times New Roman" w:hAnsi="Times New Roman" w:eastAsia="方正仿宋_GBK" w:cs="方正仿宋_GBK"/>
          <w:b w:val="0"/>
          <w:bCs w:val="0"/>
          <w:color w:val="auto"/>
          <w:spacing w:val="0"/>
          <w:kern w:val="21"/>
          <w:sz w:val="32"/>
          <w:szCs w:val="32"/>
          <w:lang w:val="en-US" w:eastAsia="zh-CN" w:bidi="ar-SA"/>
        </w:rPr>
        <w:t>法律法规</w:t>
      </w:r>
      <w:r>
        <w:rPr>
          <w:rFonts w:hint="default" w:ascii="Times New Roman" w:hAnsi="Times New Roman" w:eastAsia="方正仿宋_GBK" w:cs="方正仿宋_GBK"/>
          <w:b w:val="0"/>
          <w:bCs w:val="0"/>
          <w:color w:val="auto"/>
          <w:spacing w:val="0"/>
          <w:kern w:val="21"/>
          <w:sz w:val="32"/>
          <w:szCs w:val="32"/>
          <w:lang w:val="en-US" w:eastAsia="zh-CN" w:bidi="ar-SA"/>
        </w:rPr>
        <w:t>和政策，符合国家、市产业政策及节能环保、安全生产要求，符合大足区产业规划和国土空间规划、项目投入产出（税收）强度</w:t>
      </w:r>
      <w:r>
        <w:rPr>
          <w:rFonts w:hint="eastAsia" w:ascii="Times New Roman" w:hAnsi="Times New Roman" w:eastAsia="方正仿宋_GBK" w:cs="方正仿宋_GBK"/>
          <w:b w:val="0"/>
          <w:bCs w:val="0"/>
          <w:color w:val="auto"/>
          <w:spacing w:val="0"/>
          <w:kern w:val="21"/>
          <w:sz w:val="32"/>
          <w:szCs w:val="32"/>
          <w:lang w:val="en-US" w:eastAsia="zh-CN" w:bidi="ar-SA"/>
        </w:rPr>
        <w:t>，符合</w:t>
      </w:r>
      <w:r>
        <w:rPr>
          <w:rFonts w:hint="default" w:ascii="Times New Roman" w:hAnsi="Times New Roman" w:eastAsia="方正仿宋_GBK" w:cs="方正仿宋_GBK"/>
          <w:b w:val="0"/>
          <w:bCs w:val="0"/>
          <w:color w:val="auto"/>
          <w:spacing w:val="0"/>
          <w:kern w:val="21"/>
          <w:sz w:val="32"/>
          <w:szCs w:val="32"/>
          <w:lang w:val="en-US" w:eastAsia="zh-CN" w:bidi="ar-SA"/>
        </w:rPr>
        <w:t>政府投入（土地成本等）和项目产出（增值税和企业所得税）平衡年限要求并依法纳税。</w:t>
      </w:r>
    </w:p>
    <w:p w14:paraId="4F64E6F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第二条【项目谋划】</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立足全区产业现状、资源禀赋，准确把握市场规律和行业龙头企业投资导向，科学谋划一批强优势、补短板、盘存量、促整合的项目，建立动态管理的项目储备库。筛选重点领域细分赛道，研究制定产业链</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五图</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（产业链图、技术路线图、应用领域图、区域分布图、产业招商地图）</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五清单</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（产业链重点生产企业清单、核心配套企业清单、断链断供风险清单、重点项目清单、政策清单），制定个性化产业链招商方案。</w:t>
      </w:r>
    </w:p>
    <w:p w14:paraId="08483F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第三条【信息挖掘】</w:t>
      </w:r>
    </w:p>
    <w:p w14:paraId="4822362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楷体_GBK" w:cs="方正楷体_GBK"/>
          <w:color w:val="auto"/>
          <w:sz w:val="32"/>
          <w:szCs w:val="32"/>
          <w:lang w:val="en-US" w:eastAsia="zh-CN"/>
        </w:rPr>
        <w:t>（一）重点目标。</w:t>
      </w:r>
      <w:r>
        <w:rPr>
          <w:rFonts w:hint="default" w:ascii="Times New Roman" w:hAnsi="Times New Roman" w:eastAsia="方正仿宋_GBK" w:cs="方正仿宋_GBK"/>
          <w:b w:val="0"/>
          <w:bCs w:val="0"/>
          <w:color w:val="auto"/>
          <w:spacing w:val="0"/>
          <w:kern w:val="21"/>
          <w:sz w:val="32"/>
          <w:szCs w:val="32"/>
          <w:lang w:val="en-US" w:eastAsia="zh-CN" w:bidi="ar-SA"/>
        </w:rPr>
        <w:t>瞄准</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粤港澳大湾区</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长三角</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京津冀</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等重点区域，重点聚焦全市</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33618</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及我区</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246</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先进制造业集群体系，紧盯世界500强、中国500强、央企、单项冠军企业、</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专精特新</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和</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独角兽</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等企业投资意向，建立动态管理的目标企业库。</w:t>
      </w:r>
    </w:p>
    <w:p w14:paraId="1AEC7C8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楷体_GBK" w:cs="方正楷体_GBK"/>
          <w:color w:val="auto"/>
          <w:sz w:val="32"/>
          <w:szCs w:val="32"/>
          <w:lang w:val="en-US" w:eastAsia="zh-CN"/>
        </w:rPr>
        <w:t>（二）信息渠道</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从服务、情感、利益、战略等方面精心维护各信息渠道及优秀人士关系，充分挖掘资源获取线索信息。</w:t>
      </w:r>
    </w:p>
    <w:p w14:paraId="67CFBDC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1</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产业渠道：企业、展会、商会、行业协会、专业技术协会、产业论坛、创新大赛。</w:t>
      </w:r>
    </w:p>
    <w:p w14:paraId="35DA24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2</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政府渠道：国家部委、市级部门、驻外机构。</w:t>
      </w:r>
    </w:p>
    <w:p w14:paraId="65FBA6B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3</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网络渠道：关键词组搜索；订阅和推送、自媒体、广告、软文宣传；聊天、分享、社群、私域流量；智慧招商平台。</w:t>
      </w:r>
    </w:p>
    <w:p w14:paraId="796C3DC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color w:val="auto"/>
          <w:sz w:val="32"/>
          <w:szCs w:val="32"/>
          <w:lang w:val="en-US" w:eastAsia="zh-CN"/>
        </w:rPr>
        <w:t>4</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专业渠道：科研院所、高等院校、专业学会、杂志社、专家学者。</w:t>
      </w:r>
    </w:p>
    <w:p w14:paraId="7A057F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5</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基金渠道：风投、证券、银行、基金公司。</w:t>
      </w:r>
    </w:p>
    <w:p w14:paraId="02192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6</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中介渠道：企业咨询机构、专业招商机构。</w:t>
      </w:r>
    </w:p>
    <w:p w14:paraId="2D9E41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7</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其他渠道。</w:t>
      </w:r>
    </w:p>
    <w:p w14:paraId="71BC5A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第四条【信息处理】</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各招商主体单位搜集的线索信息应借助企查查、天眼查等各种工具进行认真分析、评估、筛选，符合引入要求的进入各单位在谈项目库，填写《大足区招商引资项目信息表》，每月报送区招商投资局汇总。其他单位搜集的线索信息报送至区招商投资局进行甄别、分析、评估、筛选，对有重要价值的线索信息，分派至有关单位具体牵头对接落实。</w:t>
      </w:r>
    </w:p>
    <w:p w14:paraId="1718206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 xml:space="preserve">第五条【初次对接】 </w:t>
      </w:r>
      <w:r>
        <w:rPr>
          <w:rFonts w:hint="default" w:ascii="Times New Roman" w:hAnsi="Times New Roman" w:eastAsia="方正仿宋_GBK" w:cs="方正仿宋_GBK"/>
          <w:b w:val="0"/>
          <w:bCs w:val="0"/>
          <w:color w:val="auto"/>
          <w:spacing w:val="0"/>
          <w:kern w:val="21"/>
          <w:sz w:val="32"/>
          <w:szCs w:val="32"/>
          <w:lang w:val="en-US" w:eastAsia="zh-CN" w:bidi="ar-SA"/>
        </w:rPr>
        <w:t>初次对接应做到热情、专业、周到、精准，按照</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三看</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（看团队、看商业模式、看产品）</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六有</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产业有前景、产品有市场、企业有利润、员工有工资、政府有税收、社会有效益）的招商工作法全面开展尽职调查，准确了解投资企业的真实背景、资产情况、信用情况、产能评估、税收贡献、环境影响、技术先进性、工艺成熟性、品牌影响力等情况。</w:t>
      </w:r>
    </w:p>
    <w:p w14:paraId="53FBCB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 xml:space="preserve">第六条【跟踪推进】 </w:t>
      </w:r>
      <w:r>
        <w:rPr>
          <w:rFonts w:hint="default" w:ascii="Times New Roman" w:hAnsi="Times New Roman" w:eastAsia="方正仿宋_GBK" w:cs="方正仿宋_GBK"/>
          <w:b w:val="0"/>
          <w:bCs w:val="0"/>
          <w:color w:val="auto"/>
          <w:spacing w:val="0"/>
          <w:kern w:val="21"/>
          <w:sz w:val="32"/>
          <w:szCs w:val="32"/>
          <w:lang w:val="en-US" w:eastAsia="zh-CN" w:bidi="ar-SA"/>
        </w:rPr>
        <w:t>对符合产业引入要求、投资意向较强的投资企业要抓住关键人物和关键环节不松手，积极走出去请进来。坚持实行招商引资</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一把手工程</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，对重大项目、重要客商，区委、区政府主要领导亲自推进、亲自对接、亲自督办，重特大项目组建工作专班高效推进。</w:t>
      </w:r>
    </w:p>
    <w:p w14:paraId="4D5CA2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 xml:space="preserve">第七条【商务谈判】 </w:t>
      </w:r>
      <w:r>
        <w:rPr>
          <w:rFonts w:hint="default" w:ascii="Times New Roman" w:hAnsi="Times New Roman" w:eastAsia="方正仿宋_GBK" w:cs="方正仿宋_GBK"/>
          <w:b w:val="0"/>
          <w:bCs w:val="0"/>
          <w:color w:val="auto"/>
          <w:spacing w:val="0"/>
          <w:kern w:val="21"/>
          <w:sz w:val="32"/>
          <w:szCs w:val="32"/>
          <w:lang w:val="en-US" w:eastAsia="zh-CN" w:bidi="ar-SA"/>
        </w:rPr>
        <w:t>谈判前要认真研究我区对接引进项目的优势、劣势，知晓竞争对手情况，掌握企业投资需求，准备好项目承接书等。谈判中要讲究策略，彼此相互尊重、寻找共同利益点，算好项目平衡账，打好组合拳，严守政策底线。</w:t>
      </w:r>
    </w:p>
    <w:p w14:paraId="02DCBC2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楷体_GBK" w:cs="方正楷体_GBK"/>
          <w:color w:val="auto"/>
          <w:sz w:val="32"/>
          <w:szCs w:val="32"/>
          <w:lang w:val="en-US" w:eastAsia="zh-CN"/>
        </w:rPr>
        <w:t>（一）</w:t>
      </w:r>
      <w:r>
        <w:rPr>
          <w:rFonts w:hint="default" w:ascii="Times New Roman" w:hAnsi="Times New Roman" w:eastAsia="方正楷体_GBK" w:cs="方正楷体_GBK"/>
          <w:color w:val="auto"/>
          <w:sz w:val="32"/>
          <w:szCs w:val="32"/>
          <w:lang w:val="en-US" w:eastAsia="zh-CN"/>
        </w:rPr>
        <w:t>平衡测算机制</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原则上政府土地投入</w:t>
      </w:r>
      <w:r>
        <w:rPr>
          <w:rFonts w:hint="eastAsia" w:ascii="Times New Roman" w:hAnsi="Times New Roman" w:eastAsia="方正仿宋_GBK" w:cs="方正仿宋_GBK"/>
          <w:b w:val="0"/>
          <w:bCs w:val="0"/>
          <w:color w:val="auto"/>
          <w:spacing w:val="0"/>
          <w:kern w:val="21"/>
          <w:sz w:val="32"/>
          <w:szCs w:val="32"/>
          <w:lang w:val="en-US" w:eastAsia="zh-CN" w:bidi="ar-SA"/>
        </w:rPr>
        <w:t>等</w:t>
      </w:r>
      <w:r>
        <w:rPr>
          <w:rFonts w:hint="default" w:ascii="Times New Roman" w:hAnsi="Times New Roman" w:eastAsia="方正仿宋_GBK" w:cs="方正仿宋_GBK"/>
          <w:b w:val="0"/>
          <w:bCs w:val="0"/>
          <w:color w:val="auto"/>
          <w:spacing w:val="0"/>
          <w:kern w:val="21"/>
          <w:sz w:val="32"/>
          <w:szCs w:val="32"/>
          <w:lang w:val="en-US" w:eastAsia="zh-CN" w:bidi="ar-SA"/>
        </w:rPr>
        <w:t>支持，与企业自正式投产之日起对大足区的地方经济发展贡献</w:t>
      </w:r>
      <w:r>
        <w:rPr>
          <w:rFonts w:hint="eastAsia" w:ascii="Times New Roman" w:hAnsi="Times New Roman" w:eastAsia="方正仿宋_GBK" w:cs="方正仿宋_GBK"/>
          <w:b w:val="0"/>
          <w:bCs w:val="0"/>
          <w:color w:val="auto"/>
          <w:spacing w:val="0"/>
          <w:kern w:val="21"/>
          <w:sz w:val="32"/>
          <w:szCs w:val="32"/>
          <w:lang w:val="en-US" w:eastAsia="zh-CN" w:bidi="ar-SA"/>
        </w:rPr>
        <w:t>（全口径</w:t>
      </w:r>
      <w:r>
        <w:rPr>
          <w:rFonts w:hint="default" w:ascii="Times New Roman" w:hAnsi="Times New Roman" w:eastAsia="方正仿宋_GBK" w:cs="方正仿宋_GBK"/>
          <w:b w:val="0"/>
          <w:bCs w:val="0"/>
          <w:color w:val="auto"/>
          <w:spacing w:val="0"/>
          <w:kern w:val="21"/>
          <w:sz w:val="32"/>
          <w:szCs w:val="32"/>
          <w:lang w:val="en-US" w:eastAsia="zh-CN" w:bidi="ar-SA"/>
        </w:rPr>
        <w:t>税收</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平衡期限为：</w:t>
      </w:r>
    </w:p>
    <w:p w14:paraId="12A122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color w:val="auto"/>
          <w:sz w:val="32"/>
          <w:szCs w:val="32"/>
          <w:lang w:val="en-US" w:eastAsia="zh-CN"/>
        </w:rPr>
        <w:t>1</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新增用地类。一般工业类项目原则上为8年（其中化工类项目原则上为5年），商贸流通类项目原则上为9年，文旅、农业精深加工类项目原则上为10年。</w:t>
      </w:r>
    </w:p>
    <w:p w14:paraId="0C51614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color w:val="auto"/>
          <w:sz w:val="32"/>
          <w:szCs w:val="32"/>
          <w:lang w:val="en-US" w:eastAsia="zh-CN"/>
        </w:rPr>
        <w:t>2</w:t>
      </w:r>
      <w:r>
        <w:rPr>
          <w:rFonts w:hint="eastAsia"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租赁物业类。工业类项目原则上为3年，商贸流通类项目原则上为4年，文旅、农业精深加工类项目原则上为5年。</w:t>
      </w:r>
    </w:p>
    <w:p w14:paraId="5CCF76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仿宋_GBK" w:cs="方正仿宋_GBK"/>
          <w:b w:val="0"/>
          <w:bCs w:val="0"/>
          <w:color w:val="auto"/>
          <w:spacing w:val="0"/>
          <w:kern w:val="21"/>
          <w:sz w:val="32"/>
          <w:szCs w:val="32"/>
          <w:lang w:val="en-US" w:eastAsia="zh-CN" w:bidi="ar-SA"/>
        </w:rPr>
        <w:t>对于科技含量高、附加值大的、特别重大的项目实行</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一企一策</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w:t>
      </w:r>
    </w:p>
    <w:p w14:paraId="47053D6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楷体_GBK" w:cs="方正楷体_GBK"/>
          <w:color w:val="auto"/>
          <w:sz w:val="32"/>
          <w:szCs w:val="32"/>
          <w:lang w:val="en-US" w:eastAsia="zh-CN"/>
        </w:rPr>
        <w:t>（二）</w:t>
      </w:r>
      <w:r>
        <w:rPr>
          <w:rFonts w:hint="default" w:ascii="Times New Roman" w:hAnsi="Times New Roman" w:eastAsia="方正楷体_GBK" w:cs="方正楷体_GBK"/>
          <w:color w:val="auto"/>
          <w:sz w:val="32"/>
          <w:szCs w:val="32"/>
          <w:lang w:val="en-US" w:eastAsia="zh-CN"/>
        </w:rPr>
        <w:t>土地出让</w:t>
      </w:r>
      <w:r>
        <w:rPr>
          <w:rFonts w:hint="eastAsia" w:ascii="Times New Roman" w:hAnsi="Times New Roman" w:eastAsia="方正楷体_GBK" w:cs="方正楷体_GBK"/>
          <w:color w:val="auto"/>
          <w:sz w:val="32"/>
          <w:szCs w:val="32"/>
          <w:lang w:val="en-US" w:eastAsia="zh-CN"/>
        </w:rPr>
        <w:t>价格</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自企业正式投产之日起至第五个周期年亩均税收达到10万元/亩</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一般工业项目用地土地出让价格原则上不低于1</w:t>
      </w:r>
      <w:r>
        <w:rPr>
          <w:rFonts w:hint="eastAsia" w:ascii="Times New Roman" w:hAnsi="Times New Roman" w:eastAsia="方正仿宋_GBK" w:cs="方正仿宋_GBK"/>
          <w:b w:val="0"/>
          <w:bCs w:val="0"/>
          <w:color w:val="auto"/>
          <w:spacing w:val="0"/>
          <w:kern w:val="21"/>
          <w:sz w:val="32"/>
          <w:szCs w:val="32"/>
          <w:lang w:val="en-US" w:eastAsia="zh-CN" w:bidi="ar-SA"/>
        </w:rPr>
        <w:t>2</w:t>
      </w:r>
      <w:r>
        <w:rPr>
          <w:rFonts w:hint="default" w:ascii="Times New Roman" w:hAnsi="Times New Roman" w:eastAsia="方正仿宋_GBK" w:cs="方正仿宋_GBK"/>
          <w:b w:val="0"/>
          <w:bCs w:val="0"/>
          <w:color w:val="auto"/>
          <w:spacing w:val="0"/>
          <w:kern w:val="21"/>
          <w:sz w:val="32"/>
          <w:szCs w:val="32"/>
          <w:lang w:val="en-US" w:eastAsia="zh-CN" w:bidi="ar-SA"/>
        </w:rPr>
        <w:t>万元/亩</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化工类项目用地土地出让价格原则上不低于</w:t>
      </w:r>
      <w:r>
        <w:rPr>
          <w:rFonts w:hint="eastAsia" w:ascii="Times New Roman" w:hAnsi="Times New Roman" w:eastAsia="方正仿宋_GBK" w:cs="方正仿宋_GBK"/>
          <w:b w:val="0"/>
          <w:bCs w:val="0"/>
          <w:color w:val="auto"/>
          <w:spacing w:val="0"/>
          <w:kern w:val="21"/>
          <w:sz w:val="32"/>
          <w:szCs w:val="32"/>
          <w:lang w:val="en-US" w:eastAsia="zh-CN" w:bidi="ar-SA"/>
        </w:rPr>
        <w:t>25</w:t>
      </w:r>
      <w:r>
        <w:rPr>
          <w:rFonts w:hint="default" w:ascii="Times New Roman" w:hAnsi="Times New Roman" w:eastAsia="方正仿宋_GBK" w:cs="方正仿宋_GBK"/>
          <w:b w:val="0"/>
          <w:bCs w:val="0"/>
          <w:color w:val="auto"/>
          <w:spacing w:val="0"/>
          <w:kern w:val="21"/>
          <w:sz w:val="32"/>
          <w:szCs w:val="32"/>
          <w:lang w:val="en-US" w:eastAsia="zh-CN" w:bidi="ar-SA"/>
        </w:rPr>
        <w:t>万元/亩，</w:t>
      </w:r>
      <w:r>
        <w:rPr>
          <w:rFonts w:hint="eastAsia" w:ascii="Times New Roman" w:hAnsi="Times New Roman" w:eastAsia="方正仿宋_GBK" w:cs="方正仿宋_GBK"/>
          <w:b w:val="0"/>
          <w:bCs w:val="0"/>
          <w:color w:val="auto"/>
          <w:spacing w:val="0"/>
          <w:kern w:val="21"/>
          <w:sz w:val="32"/>
          <w:szCs w:val="32"/>
          <w:lang w:val="en-US" w:eastAsia="zh-CN" w:bidi="ar-SA"/>
        </w:rPr>
        <w:t>特别优质的项目不低于国家规定的土地等别相对应的最低价标准。</w:t>
      </w:r>
      <w:r>
        <w:rPr>
          <w:rFonts w:hint="default" w:ascii="Times New Roman" w:hAnsi="Times New Roman" w:eastAsia="方正仿宋_GBK" w:cs="方正仿宋_GBK"/>
          <w:b w:val="0"/>
          <w:bCs w:val="0"/>
          <w:color w:val="auto"/>
          <w:spacing w:val="0"/>
          <w:kern w:val="21"/>
          <w:sz w:val="32"/>
          <w:szCs w:val="32"/>
          <w:lang w:val="en-US" w:eastAsia="zh-CN" w:bidi="ar-SA"/>
        </w:rPr>
        <w:t>医疗卫生、健康养老、教育文体、旅游等产业用地出让底价可按基准地价的70%确定。</w:t>
      </w:r>
    </w:p>
    <w:p w14:paraId="46DAE882">
      <w:pPr>
        <w:pStyle w:val="9"/>
        <w:keepNext w:val="0"/>
        <w:keepLines w:val="0"/>
        <w:pageBreakBefore w:val="0"/>
        <w:kinsoku/>
        <w:wordWrap/>
        <w:overflowPunct/>
        <w:topLinePunct w:val="0"/>
        <w:bidi w:val="0"/>
        <w:snapToGrid/>
        <w:spacing w:line="540" w:lineRule="exact"/>
        <w:ind w:firstLine="480" w:firstLineChars="200"/>
        <w:textAlignment w:val="auto"/>
        <w:rPr>
          <w:rFonts w:hint="eastAsia" w:ascii="Times New Roman" w:hAnsi="Times New Roman" w:eastAsia="方正仿宋_GBK" w:cs="方正仿宋_GBK"/>
          <w:b w:val="0"/>
          <w:bCs/>
          <w:color w:val="000000"/>
          <w:sz w:val="32"/>
          <w:szCs w:val="32"/>
          <w:highlight w:val="none"/>
          <w:lang w:val="en-US" w:eastAsia="zh-CN"/>
        </w:rPr>
      </w:pPr>
      <w:r>
        <w:rPr>
          <w:rFonts w:hint="eastAsia" w:ascii="Times New Roman" w:hAnsi="Times New Roman"/>
          <w:lang w:val="en-US" w:eastAsia="zh-CN"/>
        </w:rPr>
        <w:t>（</w:t>
      </w:r>
      <w:r>
        <w:rPr>
          <w:rFonts w:hint="eastAsia" w:ascii="Times New Roman" w:hAnsi="Times New Roman" w:eastAsia="方正楷体_GBK" w:cs="方正楷体_GBK"/>
          <w:color w:val="auto"/>
          <w:kern w:val="2"/>
          <w:sz w:val="32"/>
          <w:szCs w:val="32"/>
          <w:lang w:val="en-US" w:eastAsia="zh-CN" w:bidi="ar-SA"/>
        </w:rPr>
        <w:t>三）租用标准厂房价格。</w:t>
      </w:r>
      <w:r>
        <w:rPr>
          <w:rFonts w:hint="eastAsia" w:ascii="Times New Roman" w:hAnsi="Times New Roman" w:eastAsia="方正仿宋_GBK" w:cs="方正仿宋_GBK"/>
          <w:b w:val="0"/>
          <w:bCs/>
          <w:color w:val="000000"/>
          <w:sz w:val="32"/>
          <w:szCs w:val="32"/>
          <w:highlight w:val="none"/>
          <w:lang w:val="en-US" w:eastAsia="zh-CN"/>
        </w:rPr>
        <w:t>自企业正式投产之日起至第五个周期年，一般工业类项目平均税收强度达到25</w:t>
      </w:r>
      <w:r>
        <w:rPr>
          <w:rFonts w:hint="default" w:ascii="Times New Roman" w:hAnsi="Times New Roman" w:eastAsia="方正仿宋_GBK" w:cs="方正仿宋_GBK"/>
          <w:b w:val="0"/>
          <w:bCs/>
          <w:color w:val="000000"/>
          <w:sz w:val="32"/>
          <w:szCs w:val="32"/>
          <w:highlight w:val="none"/>
          <w:lang w:val="en-US" w:eastAsia="zh-CN"/>
        </w:rPr>
        <w:t>万元/1000</w:t>
      </w:r>
      <w:r>
        <w:rPr>
          <w:rFonts w:hint="eastAsia" w:ascii="Times New Roman" w:hAnsi="Times New Roman" w:eastAsia="方正仿宋_GBK" w:cs="方正仿宋_GBK"/>
          <w:b w:val="0"/>
          <w:bCs/>
          <w:color w:val="000000"/>
          <w:sz w:val="32"/>
          <w:szCs w:val="32"/>
          <w:highlight w:val="none"/>
          <w:lang w:val="en-US" w:eastAsia="zh-CN"/>
        </w:rPr>
        <w:t>㎡，租用国有标准厂房租金指导价为：一楼带桁车的</w:t>
      </w:r>
      <w:r>
        <w:rPr>
          <w:rFonts w:hint="default" w:ascii="Times New Roman" w:hAnsi="Times New Roman" w:eastAsia="方正仿宋_GBK" w:cs="Times New Roman"/>
          <w:b w:val="0"/>
          <w:bCs/>
          <w:color w:val="000000"/>
          <w:sz w:val="32"/>
          <w:szCs w:val="32"/>
          <w:highlight w:val="none"/>
          <w:lang w:val="en-US" w:eastAsia="zh-CN"/>
        </w:rPr>
        <w:t>11</w:t>
      </w:r>
      <w:r>
        <w:rPr>
          <w:rFonts w:hint="eastAsia" w:ascii="Times New Roman" w:hAnsi="Times New Roman" w:eastAsia="方正仿宋_GBK" w:cs="方正仿宋_GBK"/>
          <w:b w:val="0"/>
          <w:bCs/>
          <w:color w:val="000000"/>
          <w:sz w:val="32"/>
          <w:szCs w:val="32"/>
          <w:highlight w:val="none"/>
          <w:lang w:val="en-US" w:eastAsia="zh-CN"/>
        </w:rPr>
        <w:t>元/㎡·月，一楼不带桁车的</w:t>
      </w:r>
      <w:r>
        <w:rPr>
          <w:rFonts w:hint="default" w:ascii="Times New Roman" w:hAnsi="Times New Roman" w:eastAsia="方正仿宋_GBK" w:cs="Times New Roman"/>
          <w:b w:val="0"/>
          <w:bCs/>
          <w:color w:val="000000"/>
          <w:sz w:val="32"/>
          <w:szCs w:val="32"/>
          <w:highlight w:val="none"/>
          <w:lang w:val="en-US" w:eastAsia="zh-CN"/>
        </w:rPr>
        <w:t>10</w:t>
      </w:r>
      <w:r>
        <w:rPr>
          <w:rFonts w:hint="eastAsia" w:ascii="Times New Roman" w:hAnsi="Times New Roman" w:eastAsia="方正仿宋_GBK" w:cs="方正仿宋_GBK"/>
          <w:b w:val="0"/>
          <w:bCs/>
          <w:color w:val="000000"/>
          <w:sz w:val="32"/>
          <w:szCs w:val="32"/>
          <w:highlight w:val="none"/>
          <w:lang w:val="en-US" w:eastAsia="zh-CN"/>
        </w:rPr>
        <w:t>元/㎡·月；二楼及其以上</w:t>
      </w:r>
      <w:r>
        <w:rPr>
          <w:rFonts w:hint="default" w:ascii="Times New Roman" w:hAnsi="Times New Roman" w:eastAsia="方正仿宋_GBK" w:cs="Times New Roman"/>
          <w:b w:val="0"/>
          <w:bCs/>
          <w:color w:val="000000"/>
          <w:sz w:val="32"/>
          <w:szCs w:val="32"/>
          <w:highlight w:val="none"/>
          <w:lang w:val="en-US" w:eastAsia="zh-CN"/>
        </w:rPr>
        <w:t>8</w:t>
      </w:r>
      <w:r>
        <w:rPr>
          <w:rFonts w:hint="eastAsia" w:ascii="Times New Roman" w:hAnsi="Times New Roman" w:eastAsia="方正仿宋_GBK" w:cs="方正仿宋_GBK"/>
          <w:b w:val="0"/>
          <w:bCs/>
          <w:color w:val="000000"/>
          <w:sz w:val="32"/>
          <w:szCs w:val="32"/>
          <w:highlight w:val="none"/>
          <w:lang w:val="en-US" w:eastAsia="zh-CN"/>
        </w:rPr>
        <w:t>元/㎡·月。标准厂房实际执行价可根据市场情况、不同地段等因素调整。</w:t>
      </w:r>
    </w:p>
    <w:p w14:paraId="177997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w:t>
      </w:r>
      <w:r>
        <w:rPr>
          <w:rFonts w:hint="eastAsia" w:ascii="Times New Roman" w:hAnsi="Times New Roman" w:eastAsia="方正楷体_GBK" w:cs="方正楷体_GBK"/>
          <w:color w:val="auto"/>
          <w:sz w:val="32"/>
          <w:szCs w:val="32"/>
          <w:lang w:val="en-US" w:eastAsia="zh-CN"/>
        </w:rPr>
        <w:t>四</w:t>
      </w:r>
      <w:r>
        <w:rPr>
          <w:rFonts w:hint="default" w:ascii="Times New Roman" w:hAnsi="Times New Roman" w:eastAsia="方正楷体_GBK" w:cs="方正楷体_GBK"/>
          <w:color w:val="auto"/>
          <w:sz w:val="32"/>
          <w:szCs w:val="32"/>
          <w:lang w:val="en-US" w:eastAsia="zh-CN"/>
        </w:rPr>
        <w:t>）投入产出强度</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新增用地</w:t>
      </w:r>
      <w:r>
        <w:rPr>
          <w:rFonts w:hint="eastAsia" w:ascii="Times New Roman" w:hAnsi="Times New Roman" w:eastAsia="方正仿宋_GBK" w:cs="方正仿宋_GBK"/>
          <w:b w:val="0"/>
          <w:bCs w:val="0"/>
          <w:color w:val="auto"/>
          <w:spacing w:val="0"/>
          <w:kern w:val="21"/>
          <w:sz w:val="32"/>
          <w:szCs w:val="32"/>
          <w:lang w:val="en-US" w:eastAsia="zh-CN" w:bidi="ar-SA"/>
        </w:rPr>
        <w:t>一般</w:t>
      </w:r>
      <w:r>
        <w:rPr>
          <w:rFonts w:hint="default" w:ascii="Times New Roman" w:hAnsi="Times New Roman" w:eastAsia="方正仿宋_GBK" w:cs="方正仿宋_GBK"/>
          <w:b w:val="0"/>
          <w:bCs w:val="0"/>
          <w:color w:val="auto"/>
          <w:spacing w:val="0"/>
          <w:kern w:val="21"/>
          <w:sz w:val="32"/>
          <w:szCs w:val="32"/>
          <w:lang w:val="en-US" w:eastAsia="zh-CN" w:bidi="ar-SA"/>
        </w:rPr>
        <w:t>工业类项目投资强度不低于330万元/亩、产出强度不低于560万元/亩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、税收强度不低于10万元/亩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化工类项目投资强度不低于350万元/亩、产出强度不低于600万元/亩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、税收强度不低于25万元/亩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；商贸物流类项目投资强度不低于200万元/亩、产出强度不低于450万元/亩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、税收强度不低于10万元/亩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；文旅类项目投资强度不低于100万元/亩，产出强度不低于200万元/亩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、税收强度不低于5万元/亩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；农业精深加工项目投资强度不低于200万元/亩，产出强度不低于260万元/亩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、税收强度不低于5万元/亩</w:t>
      </w:r>
      <w:r>
        <w:rPr>
          <w:rFonts w:hint="eastAsia" w:ascii="Times New Roman" w:hAnsi="Times New Roman" w:eastAsia="方正仿宋_GBK" w:cs="方正仿宋_GBK"/>
          <w:b w:val="0"/>
          <w:bCs w:val="0"/>
          <w:color w:val="auto"/>
          <w:spacing w:val="0"/>
          <w:kern w:val="21"/>
          <w:sz w:val="32"/>
          <w:szCs w:val="32"/>
          <w:lang w:val="en-US" w:eastAsia="zh-CN" w:bidi="ar-SA"/>
        </w:rPr>
        <w:t>/年</w:t>
      </w:r>
      <w:r>
        <w:rPr>
          <w:rFonts w:hint="default" w:ascii="Times New Roman" w:hAnsi="Times New Roman" w:eastAsia="方正仿宋_GBK" w:cs="方正仿宋_GBK"/>
          <w:b w:val="0"/>
          <w:bCs w:val="0"/>
          <w:color w:val="auto"/>
          <w:spacing w:val="0"/>
          <w:kern w:val="21"/>
          <w:sz w:val="32"/>
          <w:szCs w:val="32"/>
          <w:lang w:val="en-US" w:eastAsia="zh-CN" w:bidi="ar-SA"/>
        </w:rPr>
        <w:t>。</w:t>
      </w:r>
    </w:p>
    <w:p w14:paraId="2BBCD3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 xml:space="preserve">第八条【首报首谈】 </w:t>
      </w:r>
      <w:r>
        <w:rPr>
          <w:rFonts w:hint="default" w:ascii="Times New Roman" w:hAnsi="Times New Roman" w:eastAsia="方正仿宋_GBK" w:cs="方正仿宋_GBK"/>
          <w:b w:val="0"/>
          <w:bCs w:val="0"/>
          <w:color w:val="auto"/>
          <w:spacing w:val="0"/>
          <w:kern w:val="21"/>
          <w:sz w:val="32"/>
          <w:szCs w:val="32"/>
          <w:lang w:val="en-US" w:eastAsia="zh-CN" w:bidi="ar-SA"/>
        </w:rPr>
        <w:t>投资总额5亿元（外资500万美元）以上或其他确有必要申报的产业项目在正式洽谈后、签订正式投资合同前，可向区招商投资局申报首谈备案。对通过审核的首报单位，赋予3个月首谈保护期，期满退出首谈保护，非首报单位，赋予项目排队洽谈资格。首谈保护期其他单位不得进行项目洽谈或实施任何可能干扰谈判的行为。</w:t>
      </w:r>
    </w:p>
    <w:p w14:paraId="797B3F4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第九条【项目流转】</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退出首谈保护的项目，由区招商投资局按照全区产业布局，优先推荐排队单位对接洽谈，项目落地后首谈单位享受30%的招商考核分成。鼓励各单位通过区招商投资局引荐项目到更符合产业定位的承接单位，对引荐落户的享受50%的招商考核分成。</w:t>
      </w:r>
    </w:p>
    <w:p w14:paraId="301CCAA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第十条【合同起草】</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项目洽谈成熟后，项目引进单位根据项目谈判情况对合同标准文本的条款进行细化、完善、补充、修改。项目合同书应明确项目相关投资约定以及相关政策条件，并同时约定相关</w:t>
      </w:r>
      <w:r>
        <w:rPr>
          <w:rFonts w:hint="eastAsia" w:ascii="Times New Roman" w:hAnsi="Times New Roman" w:eastAsia="方正仿宋_GBK" w:cs="方正仿宋_GBK"/>
          <w:b w:val="0"/>
          <w:bCs w:val="0"/>
          <w:color w:val="auto"/>
          <w:spacing w:val="0"/>
          <w:kern w:val="21"/>
          <w:sz w:val="32"/>
          <w:szCs w:val="32"/>
          <w:lang w:val="en-US" w:eastAsia="zh-CN" w:bidi="ar-SA"/>
        </w:rPr>
        <w:t>保证金及</w:t>
      </w:r>
      <w:r>
        <w:rPr>
          <w:rFonts w:hint="default" w:ascii="Times New Roman" w:hAnsi="Times New Roman" w:eastAsia="方正仿宋_GBK" w:cs="方正仿宋_GBK"/>
          <w:b w:val="0"/>
          <w:bCs w:val="0"/>
          <w:color w:val="auto"/>
          <w:spacing w:val="0"/>
          <w:kern w:val="21"/>
          <w:sz w:val="32"/>
          <w:szCs w:val="32"/>
          <w:lang w:val="en-US" w:eastAsia="zh-CN" w:bidi="ar-SA"/>
        </w:rPr>
        <w:t>违约责任</w:t>
      </w:r>
      <w:r>
        <w:rPr>
          <w:rFonts w:hint="eastAsia" w:ascii="Times New Roman" w:hAnsi="Times New Roman" w:eastAsia="方正仿宋_GBK" w:cs="方正仿宋_GBK"/>
          <w:b w:val="0"/>
          <w:bCs w:val="0"/>
          <w:color w:val="auto"/>
          <w:spacing w:val="0"/>
          <w:kern w:val="21"/>
          <w:sz w:val="32"/>
          <w:szCs w:val="32"/>
          <w:lang w:val="en-US" w:eastAsia="zh-CN" w:bidi="ar-SA"/>
        </w:rPr>
        <w:t>条款，</w:t>
      </w:r>
      <w:r>
        <w:rPr>
          <w:rFonts w:hint="default" w:ascii="Times New Roman" w:hAnsi="Times New Roman" w:eastAsia="方正仿宋_GBK" w:cs="方正仿宋_GBK"/>
          <w:b w:val="0"/>
          <w:bCs w:val="0"/>
          <w:color w:val="auto"/>
          <w:spacing w:val="0"/>
          <w:kern w:val="21"/>
          <w:sz w:val="32"/>
          <w:szCs w:val="32"/>
          <w:lang w:val="en-US" w:eastAsia="zh-CN" w:bidi="ar-SA"/>
        </w:rPr>
        <w:t>做到权利与义务对等</w:t>
      </w:r>
      <w:r>
        <w:rPr>
          <w:rFonts w:hint="eastAsia" w:ascii="Times New Roman" w:hAnsi="Times New Roman" w:eastAsia="方正仿宋_GBK" w:cs="方正仿宋_GBK"/>
          <w:b w:val="0"/>
          <w:bCs w:val="0"/>
          <w:color w:val="auto"/>
          <w:spacing w:val="0"/>
          <w:kern w:val="21"/>
          <w:sz w:val="32"/>
          <w:szCs w:val="32"/>
          <w:lang w:val="en-US" w:eastAsia="zh-CN" w:bidi="ar-SA"/>
        </w:rPr>
        <w:t>。不得涉及返还税收或非税收入（土地款、城市建设配套费等）、社会保险费以及限制企业自主经营的相关条款。</w:t>
      </w:r>
    </w:p>
    <w:p w14:paraId="75FFDF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第十一条【项目评审】</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项目引进单位应将洽谈成熟、论证充分的项目提请分管区领导召集区财政局、区司法局、区招商投资局、区经济信息委、区审计局、区规划自然资源局等部门进行评审（必要时可由项目</w:t>
      </w:r>
      <w:r>
        <w:rPr>
          <w:rFonts w:hint="eastAsia" w:ascii="Times New Roman" w:hAnsi="Times New Roman" w:eastAsia="方正仿宋_GBK" w:cs="方正仿宋_GBK"/>
          <w:b w:val="0"/>
          <w:bCs w:val="0"/>
          <w:color w:val="auto"/>
          <w:spacing w:val="0"/>
          <w:kern w:val="21"/>
          <w:sz w:val="32"/>
          <w:szCs w:val="32"/>
          <w:lang w:val="en-US" w:eastAsia="zh-CN" w:bidi="ar-SA"/>
        </w:rPr>
        <w:t>引进</w:t>
      </w:r>
      <w:r>
        <w:rPr>
          <w:rFonts w:hint="default" w:ascii="Times New Roman" w:hAnsi="Times New Roman" w:eastAsia="方正仿宋_GBK" w:cs="方正仿宋_GBK"/>
          <w:b w:val="0"/>
          <w:bCs w:val="0"/>
          <w:color w:val="auto"/>
          <w:spacing w:val="0"/>
          <w:kern w:val="21"/>
          <w:sz w:val="32"/>
          <w:szCs w:val="32"/>
          <w:lang w:val="en-US" w:eastAsia="zh-CN" w:bidi="ar-SA"/>
        </w:rPr>
        <w:t>单位召集评审）。重点围绕以下内容开展审查评估，并出具评审会议纪要。</w:t>
      </w:r>
    </w:p>
    <w:p w14:paraId="414C540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（一）产业政策。</w:t>
      </w:r>
      <w:r>
        <w:rPr>
          <w:rFonts w:hint="default" w:ascii="Times New Roman" w:hAnsi="Times New Roman" w:eastAsia="方正仿宋_GBK" w:cs="方正仿宋_GBK"/>
          <w:b w:val="0"/>
          <w:bCs w:val="0"/>
          <w:color w:val="auto"/>
          <w:spacing w:val="0"/>
          <w:kern w:val="21"/>
          <w:sz w:val="32"/>
          <w:szCs w:val="32"/>
          <w:lang w:val="en-US" w:eastAsia="zh-CN" w:bidi="ar-SA"/>
        </w:rPr>
        <w:t>重点评审项目是否符合国家产业准入标准和园区产业布局，是否属于国家鼓励类产业，是否属于高新技术产业，是否属于战略性新兴产业，是否属于我区支柱产业和重点培育产业，是否符合节能减排要求。</w:t>
      </w:r>
    </w:p>
    <w:p w14:paraId="7523818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楷体_GBK" w:cs="方正楷体_GBK"/>
          <w:color w:val="auto"/>
          <w:sz w:val="32"/>
          <w:szCs w:val="32"/>
          <w:lang w:val="en-US" w:eastAsia="zh-CN"/>
        </w:rPr>
        <w:t>（二）安全影响。</w:t>
      </w:r>
      <w:r>
        <w:rPr>
          <w:rFonts w:hint="default" w:ascii="Times New Roman" w:hAnsi="Times New Roman" w:eastAsia="方正仿宋_GBK" w:cs="方正仿宋_GBK"/>
          <w:b w:val="0"/>
          <w:bCs w:val="0"/>
          <w:color w:val="auto"/>
          <w:spacing w:val="0"/>
          <w:kern w:val="21"/>
          <w:sz w:val="32"/>
          <w:szCs w:val="32"/>
          <w:lang w:val="en-US" w:eastAsia="zh-CN" w:bidi="ar-SA"/>
        </w:rPr>
        <w:t>重点评审项目是否属于禁止或限制类项目，是否存在使用应当淘汰的危及生产安全的工艺、设备。</w:t>
      </w:r>
    </w:p>
    <w:p w14:paraId="4AA1799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（三）生态环境影响。</w:t>
      </w:r>
      <w:r>
        <w:rPr>
          <w:rFonts w:hint="default" w:ascii="Times New Roman" w:hAnsi="Times New Roman" w:eastAsia="方正仿宋_GBK" w:cs="方正仿宋_GBK"/>
          <w:b w:val="0"/>
          <w:bCs w:val="0"/>
          <w:color w:val="auto"/>
          <w:spacing w:val="0"/>
          <w:kern w:val="21"/>
          <w:sz w:val="32"/>
          <w:szCs w:val="32"/>
          <w:lang w:val="en-US" w:eastAsia="zh-CN" w:bidi="ar-SA"/>
        </w:rPr>
        <w:t>重点评审项目是否符合生态保护红线、环境质量底线、资源利用上线和生态环境准入清单（三线一单）的要求，对公众利益特别是项目建设地的公众利益是否产生重大不利影响，污染防治对策措施以及经济技术论证等。</w:t>
      </w:r>
    </w:p>
    <w:p w14:paraId="7AC2E7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（四）规划布局。</w:t>
      </w:r>
      <w:r>
        <w:rPr>
          <w:rFonts w:hint="default" w:ascii="Times New Roman" w:hAnsi="Times New Roman" w:eastAsia="方正仿宋_GBK" w:cs="方正仿宋_GBK"/>
          <w:b w:val="0"/>
          <w:bCs w:val="0"/>
          <w:color w:val="auto"/>
          <w:spacing w:val="0"/>
          <w:kern w:val="21"/>
          <w:sz w:val="32"/>
          <w:szCs w:val="32"/>
          <w:lang w:val="en-US" w:eastAsia="zh-CN" w:bidi="ar-SA"/>
        </w:rPr>
        <w:t>重点评审项目的建设规划与要求是否符合区域总体规划及园区规划，评估项目选址区域布局的合理性，是否与周边已建、在建和其他待建项目具有相容性，是否符合国家及我区有关建筑密度、建筑容积率等指标要求。</w:t>
      </w:r>
    </w:p>
    <w:p w14:paraId="5C9E69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楷体_GBK" w:cs="方正楷体_GBK"/>
          <w:color w:val="auto"/>
          <w:sz w:val="32"/>
          <w:szCs w:val="32"/>
          <w:lang w:val="en-US" w:eastAsia="zh-CN"/>
        </w:rPr>
        <w:t>（五）用地规模。</w:t>
      </w:r>
      <w:r>
        <w:rPr>
          <w:rFonts w:hint="default" w:ascii="Times New Roman" w:hAnsi="Times New Roman" w:eastAsia="方正仿宋_GBK" w:cs="方正仿宋_GBK"/>
          <w:b w:val="0"/>
          <w:bCs w:val="0"/>
          <w:color w:val="auto"/>
          <w:spacing w:val="0"/>
          <w:kern w:val="21"/>
          <w:sz w:val="32"/>
          <w:szCs w:val="32"/>
          <w:lang w:val="en-US" w:eastAsia="zh-CN" w:bidi="ar-SA"/>
        </w:rPr>
        <w:t>重点评审项目的土地总体利用等相关指标，评估项目土地利用、土地出让、土地性质的合理合法性，引进项目用地是否符合用地集约和产业集聚原则等。</w:t>
      </w:r>
    </w:p>
    <w:p w14:paraId="385CE28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（六）经济效益</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重点评审项目的行业属性、投资规模、投资强度、税收贡献率、产能规模、产出效益等情况，评估项目达产后对大足区经济社会发展的拉动作用。</w:t>
      </w:r>
    </w:p>
    <w:p w14:paraId="25E7A4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（七）科技含量。</w:t>
      </w:r>
      <w:r>
        <w:rPr>
          <w:rFonts w:hint="default" w:ascii="Times New Roman" w:hAnsi="Times New Roman" w:eastAsia="方正仿宋_GBK" w:cs="方正仿宋_GBK"/>
          <w:b w:val="0"/>
          <w:bCs w:val="0"/>
          <w:color w:val="auto"/>
          <w:spacing w:val="0"/>
          <w:kern w:val="21"/>
          <w:sz w:val="32"/>
          <w:szCs w:val="32"/>
          <w:lang w:val="en-US" w:eastAsia="zh-CN" w:bidi="ar-SA"/>
        </w:rPr>
        <w:t>重点对项目的科技含量及技术团队情况进行评估，项目采用商业模式及管理团队情况等，并根据实际情况提供合理化建议。</w:t>
      </w:r>
    </w:p>
    <w:p w14:paraId="01BD3A2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楷体_GBK" w:cs="方正楷体_GBK"/>
          <w:color w:val="auto"/>
          <w:sz w:val="32"/>
          <w:szCs w:val="32"/>
          <w:lang w:val="en-US" w:eastAsia="zh-CN"/>
        </w:rPr>
        <w:t>（八）投资实力及经营风险</w:t>
      </w:r>
      <w:r>
        <w:rPr>
          <w:rFonts w:hint="default" w:ascii="Times New Roman" w:hAnsi="Times New Roman"/>
          <w:color w:val="auto"/>
          <w:sz w:val="32"/>
          <w:szCs w:val="32"/>
          <w:lang w:val="en-US" w:eastAsia="zh-CN"/>
        </w:rPr>
        <w:t>。</w:t>
      </w:r>
      <w:r>
        <w:rPr>
          <w:rFonts w:hint="default" w:ascii="Times New Roman" w:hAnsi="Times New Roman" w:eastAsia="方正仿宋_GBK" w:cs="方正仿宋_GBK"/>
          <w:b w:val="0"/>
          <w:bCs w:val="0"/>
          <w:color w:val="auto"/>
          <w:spacing w:val="0"/>
          <w:kern w:val="21"/>
          <w:sz w:val="32"/>
          <w:szCs w:val="32"/>
          <w:lang w:val="en-US" w:eastAsia="zh-CN" w:bidi="ar-SA"/>
        </w:rPr>
        <w:t>主要对项目投资者及其投资企业的基本情况、资本结构、组织结构、领导者素质及资信状况、经营风险和项目成长能力等方面进行分析评审。</w:t>
      </w:r>
    </w:p>
    <w:p w14:paraId="4FFAD3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（九）政策扶持情况。</w:t>
      </w:r>
      <w:r>
        <w:rPr>
          <w:rFonts w:hint="default" w:ascii="Times New Roman" w:hAnsi="Times New Roman" w:eastAsia="方正仿宋_GBK" w:cs="方正仿宋_GBK"/>
          <w:b w:val="0"/>
          <w:bCs w:val="0"/>
          <w:color w:val="auto"/>
          <w:spacing w:val="0"/>
          <w:kern w:val="21"/>
          <w:sz w:val="32"/>
          <w:szCs w:val="32"/>
          <w:lang w:val="en-US" w:eastAsia="zh-CN" w:bidi="ar-SA"/>
        </w:rPr>
        <w:t>主要对投资合作协议中涉及的有关政策条款和合作内容进行分析评审。</w:t>
      </w:r>
    </w:p>
    <w:p w14:paraId="2800943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仿宋_GBK" w:cs="方正仿宋_GBK"/>
          <w:b w:val="0"/>
          <w:bCs w:val="0"/>
          <w:color w:val="auto"/>
          <w:spacing w:val="0"/>
          <w:kern w:val="21"/>
          <w:sz w:val="32"/>
          <w:szCs w:val="32"/>
          <w:lang w:val="en-US" w:eastAsia="zh-CN" w:bidi="ar-SA"/>
        </w:rPr>
        <w:t>原则上不符合土地利用规划、生态环境要求和有重大安全生产隐患的项目，不予研究。</w:t>
      </w:r>
    </w:p>
    <w:p w14:paraId="02A97A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第十二条【项目上会</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评审通过的项目合同书经法律顾问审核并送区司法局进行合法性审查，报请分管区领导同意后由区招商投资局按规定提请上会审定。未突破我区招商引资普惠政策的项目按程序报请区长办公会审议；对突破招商引资普惠政策的项目或单个项目用地规模达到50亩以上或兑现产业发展扶持资金达500万元以上的，符合其中任何一条的，按程序提请区政府常务会审定。单个项目用地规模在100亩以上或兑现产业发展扶持资金超过3000万元的，经区政府常务会审议同意后，报区委常委会审定。</w:t>
      </w:r>
    </w:p>
    <w:p w14:paraId="5B2F08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仿宋_GBK" w:cs="方正仿宋_GBK"/>
          <w:b w:val="0"/>
          <w:bCs w:val="0"/>
          <w:color w:val="auto"/>
          <w:spacing w:val="0"/>
          <w:kern w:val="21"/>
          <w:sz w:val="32"/>
          <w:szCs w:val="32"/>
          <w:lang w:val="en-US" w:eastAsia="zh-CN" w:bidi="ar-SA"/>
        </w:rPr>
        <w:t>项目上会应提交以下材料：项目投资协议、项目商业调查书（特大项目提供尽职调查报告）、项目经济平衡测算表、项目评审会会议纪要、区司法局合法性审查意见。项目评审通过后，原则上15个工作日内上会审议。</w:t>
      </w:r>
    </w:p>
    <w:p w14:paraId="58C7104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 xml:space="preserve">第十三条【项目签约】 </w:t>
      </w:r>
      <w:r>
        <w:rPr>
          <w:rFonts w:hint="default" w:ascii="Times New Roman" w:hAnsi="Times New Roman" w:eastAsia="方正仿宋_GBK" w:cs="方正仿宋_GBK"/>
          <w:b w:val="0"/>
          <w:bCs w:val="0"/>
          <w:color w:val="auto"/>
          <w:spacing w:val="0"/>
          <w:kern w:val="21"/>
          <w:sz w:val="32"/>
          <w:szCs w:val="32"/>
          <w:lang w:val="en-US" w:eastAsia="zh-CN" w:bidi="ar-SA"/>
        </w:rPr>
        <w:t>会议通过的招商引资项目原则上由项目引进单位（或项目承接单位、政府平台公司）与投资方签订投资协议，重特大项目可由区政府与投资方签订投资协议。</w:t>
      </w:r>
      <w:r>
        <w:rPr>
          <w:rFonts w:hint="eastAsia" w:ascii="Times New Roman" w:hAnsi="Times New Roman" w:eastAsia="方正仿宋_GBK" w:cs="方正仿宋_GBK"/>
          <w:b w:val="0"/>
          <w:bCs w:val="0"/>
          <w:color w:val="auto"/>
          <w:spacing w:val="0"/>
          <w:kern w:val="21"/>
          <w:sz w:val="32"/>
          <w:szCs w:val="32"/>
          <w:lang w:val="en-US" w:eastAsia="zh-CN" w:bidi="ar-SA"/>
        </w:rPr>
        <w:t>项目审议通过后，</w:t>
      </w:r>
      <w:r>
        <w:rPr>
          <w:rFonts w:hint="default" w:ascii="Times New Roman" w:hAnsi="Times New Roman" w:eastAsia="方正仿宋_GBK" w:cs="方正仿宋_GBK"/>
          <w:b w:val="0"/>
          <w:bCs w:val="0"/>
          <w:color w:val="auto"/>
          <w:spacing w:val="0"/>
          <w:kern w:val="21"/>
          <w:sz w:val="32"/>
          <w:szCs w:val="32"/>
          <w:lang w:val="en-US" w:eastAsia="zh-CN" w:bidi="ar-SA"/>
        </w:rPr>
        <w:t>原则上在15个工作日以内完成协议签订。</w:t>
      </w:r>
    </w:p>
    <w:p w14:paraId="0846132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 xml:space="preserve">第十四条【合同备案】 </w:t>
      </w:r>
      <w:r>
        <w:rPr>
          <w:rFonts w:hint="default" w:ascii="Times New Roman" w:hAnsi="Times New Roman" w:eastAsia="方正仿宋_GBK" w:cs="方正仿宋_GBK"/>
          <w:b w:val="0"/>
          <w:bCs w:val="0"/>
          <w:color w:val="auto"/>
          <w:spacing w:val="0"/>
          <w:kern w:val="21"/>
          <w:sz w:val="32"/>
          <w:szCs w:val="32"/>
          <w:lang w:val="en-US" w:eastAsia="zh-CN" w:bidi="ar-SA"/>
        </w:rPr>
        <w:t>项目合同签订后，项目引进单位应及时将项目合同文本及电子文档、评审材料等相关资料送区司法局、区招商投资局备案建档，以区政府名义签订的合同须报区政府办公室存档。项目资料不得随意放置、销毁、丢弃。</w:t>
      </w:r>
    </w:p>
    <w:p w14:paraId="4E48C7BB">
      <w:pPr>
        <w:keepNext w:val="0"/>
        <w:keepLines w:val="0"/>
        <w:pageBreakBefore w:val="0"/>
        <w:widowControl w:val="0"/>
        <w:kinsoku/>
        <w:wordWrap/>
        <w:overflowPunct/>
        <w:topLinePunct w:val="0"/>
        <w:autoSpaceDE/>
        <w:autoSpaceDN/>
        <w:bidi w:val="0"/>
        <w:adjustRightInd/>
        <w:snapToGrid/>
        <w:spacing w:before="303" w:beforeLines="50" w:after="303" w:afterLines="50" w:line="594" w:lineRule="exact"/>
        <w:ind w:left="0" w:leftChars="0" w:right="0" w:rightChars="0" w:firstLine="0" w:firstLineChars="0"/>
        <w:jc w:val="center"/>
        <w:textAlignment w:val="auto"/>
        <w:rPr>
          <w:rFonts w:hint="default" w:ascii="Times New Roman" w:hAnsi="Times New Roman" w:eastAsia="方正黑体_GBK" w:cs="方正黑体_GBK"/>
          <w:color w:val="auto"/>
          <w:sz w:val="32"/>
          <w:szCs w:val="32"/>
          <w:lang w:val="en-US" w:eastAsia="zh-CN"/>
        </w:rPr>
      </w:pPr>
      <w:r>
        <w:rPr>
          <w:rFonts w:hint="default" w:ascii="Times New Roman" w:hAnsi="Times New Roman" w:eastAsia="方正黑体_GBK" w:cs="方正黑体_GBK"/>
          <w:color w:val="auto"/>
          <w:sz w:val="32"/>
          <w:szCs w:val="32"/>
          <w:lang w:val="en-US" w:eastAsia="zh-CN"/>
        </w:rPr>
        <w:t>第二章 投资促进</w:t>
      </w:r>
    </w:p>
    <w:p w14:paraId="37837D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第十五条【落地服务】</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项目签约后，按照</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谁签约、谁负责、谁跟踪</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的原则，由项目责任单位明确专人代办项目手续，开展</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保姆式</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服务，重特大项目成立服务专班。实行一个项目、一名区级责任领导、一个目标、一张工期表、一抓到底的</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五个一</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工作机制，责任领导根据工作需要适时组织召开调度会，听取专题汇报，深入现场了解情况，查找问题原因，协调解决困难和问题。</w:t>
      </w:r>
    </w:p>
    <w:p w14:paraId="4097C7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第十六条【落地保障】</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签约后原则上园区平台公司</w:t>
      </w:r>
      <w:r>
        <w:rPr>
          <w:rFonts w:hint="eastAsia" w:ascii="Times New Roman" w:hAnsi="Times New Roman" w:eastAsia="方正仿宋_GBK" w:cs="方正仿宋_GBK"/>
          <w:b w:val="0"/>
          <w:bCs w:val="0"/>
          <w:color w:val="auto"/>
          <w:spacing w:val="0"/>
          <w:kern w:val="21"/>
          <w:sz w:val="32"/>
          <w:szCs w:val="32"/>
          <w:lang w:val="en-US" w:eastAsia="zh-CN" w:bidi="ar-SA"/>
        </w:rPr>
        <w:t>6</w:t>
      </w:r>
      <w:r>
        <w:rPr>
          <w:rFonts w:hint="default" w:ascii="Times New Roman" w:hAnsi="Times New Roman" w:eastAsia="方正仿宋_GBK" w:cs="方正仿宋_GBK"/>
          <w:b w:val="0"/>
          <w:bCs w:val="0"/>
          <w:color w:val="auto"/>
          <w:spacing w:val="0"/>
          <w:kern w:val="21"/>
          <w:sz w:val="32"/>
          <w:szCs w:val="32"/>
          <w:lang w:val="en-US" w:eastAsia="zh-CN" w:bidi="ar-SA"/>
        </w:rPr>
        <w:t>个月内完成场平以及道路、管网等基础设施建设并交付土地，项目引进或承接单位协助投资企业</w:t>
      </w:r>
      <w:r>
        <w:rPr>
          <w:rFonts w:hint="eastAsia" w:ascii="Times New Roman" w:hAnsi="Times New Roman" w:eastAsia="方正仿宋_GBK" w:cs="方正仿宋_GBK"/>
          <w:b w:val="0"/>
          <w:bCs w:val="0"/>
          <w:color w:val="auto"/>
          <w:spacing w:val="0"/>
          <w:kern w:val="21"/>
          <w:sz w:val="32"/>
          <w:szCs w:val="32"/>
          <w:lang w:val="en-US" w:eastAsia="zh-CN" w:bidi="ar-SA"/>
        </w:rPr>
        <w:t>6</w:t>
      </w:r>
      <w:r>
        <w:rPr>
          <w:rFonts w:hint="default" w:ascii="Times New Roman" w:hAnsi="Times New Roman" w:eastAsia="方正仿宋_GBK" w:cs="方正仿宋_GBK"/>
          <w:b w:val="0"/>
          <w:bCs w:val="0"/>
          <w:color w:val="auto"/>
          <w:spacing w:val="0"/>
          <w:kern w:val="21"/>
          <w:sz w:val="32"/>
          <w:szCs w:val="32"/>
          <w:lang w:val="en-US" w:eastAsia="zh-CN" w:bidi="ar-SA"/>
        </w:rPr>
        <w:t>个月内完成建设工程规划许可、建筑工程施工许可等前期建设手续，涉及市级环评、安评、能评等事项的主动协调上级部门</w:t>
      </w:r>
      <w:r>
        <w:rPr>
          <w:rFonts w:hint="eastAsia" w:ascii="Times New Roman" w:hAnsi="Times New Roman" w:eastAsia="方正仿宋_GBK" w:cs="方正仿宋_GBK"/>
          <w:b w:val="0"/>
          <w:bCs w:val="0"/>
          <w:color w:val="auto"/>
          <w:spacing w:val="0"/>
          <w:kern w:val="21"/>
          <w:sz w:val="32"/>
          <w:szCs w:val="32"/>
          <w:lang w:val="en-US" w:eastAsia="zh-CN" w:bidi="ar-SA"/>
        </w:rPr>
        <w:t>及时</w:t>
      </w:r>
      <w:r>
        <w:rPr>
          <w:rFonts w:hint="default" w:ascii="Times New Roman" w:hAnsi="Times New Roman" w:eastAsia="方正仿宋_GBK" w:cs="方正仿宋_GBK"/>
          <w:b w:val="0"/>
          <w:bCs w:val="0"/>
          <w:color w:val="auto"/>
          <w:spacing w:val="0"/>
          <w:kern w:val="21"/>
          <w:sz w:val="32"/>
          <w:szCs w:val="32"/>
          <w:lang w:val="en-US" w:eastAsia="zh-CN" w:bidi="ar-SA"/>
        </w:rPr>
        <w:t>完成审批备案，区规划自然资源局迅速启动用地保障程序，在前期工作完成后</w:t>
      </w:r>
      <w:r>
        <w:rPr>
          <w:rFonts w:hint="eastAsia" w:ascii="Times New Roman" w:hAnsi="Times New Roman" w:eastAsia="方正仿宋_GBK" w:cs="方正仿宋_GBK"/>
          <w:b w:val="0"/>
          <w:bCs w:val="0"/>
          <w:color w:val="auto"/>
          <w:spacing w:val="0"/>
          <w:kern w:val="21"/>
          <w:sz w:val="32"/>
          <w:szCs w:val="32"/>
          <w:lang w:val="en-US" w:eastAsia="zh-CN" w:bidi="ar-SA"/>
        </w:rPr>
        <w:t>及时</w:t>
      </w:r>
      <w:r>
        <w:rPr>
          <w:rFonts w:hint="default" w:ascii="Times New Roman" w:hAnsi="Times New Roman" w:eastAsia="方正仿宋_GBK" w:cs="方正仿宋_GBK"/>
          <w:b w:val="0"/>
          <w:bCs w:val="0"/>
          <w:color w:val="auto"/>
          <w:spacing w:val="0"/>
          <w:kern w:val="21"/>
          <w:sz w:val="32"/>
          <w:szCs w:val="32"/>
          <w:lang w:val="en-US" w:eastAsia="zh-CN" w:bidi="ar-SA"/>
        </w:rPr>
        <w:t>公开出让，租赁厂房项目</w:t>
      </w:r>
      <w:r>
        <w:rPr>
          <w:rFonts w:hint="eastAsia" w:ascii="Times New Roman" w:hAnsi="Times New Roman" w:eastAsia="方正仿宋_GBK" w:cs="方正仿宋_GBK"/>
          <w:b w:val="0"/>
          <w:bCs w:val="0"/>
          <w:color w:val="auto"/>
          <w:spacing w:val="0"/>
          <w:kern w:val="21"/>
          <w:sz w:val="32"/>
          <w:szCs w:val="32"/>
          <w:lang w:val="en-US" w:eastAsia="zh-CN" w:bidi="ar-SA"/>
        </w:rPr>
        <w:t>原则上</w:t>
      </w:r>
      <w:r>
        <w:rPr>
          <w:rFonts w:hint="default" w:ascii="Times New Roman" w:hAnsi="Times New Roman" w:eastAsia="方正仿宋_GBK" w:cs="方正仿宋_GBK"/>
          <w:b w:val="0"/>
          <w:bCs w:val="0"/>
          <w:color w:val="auto"/>
          <w:spacing w:val="0"/>
          <w:kern w:val="21"/>
          <w:sz w:val="32"/>
          <w:szCs w:val="32"/>
          <w:lang w:val="en-US" w:eastAsia="zh-CN" w:bidi="ar-SA"/>
        </w:rPr>
        <w:t>园区平台公司1个月内交付厂房。创新土地供应方式，探索推行先租后让、租让结合、标准地出让等新型供地模式，全力保障水、电、气等生产要素供给，实现招商引资项目高效落地。</w:t>
      </w:r>
    </w:p>
    <w:p w14:paraId="7A8891D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第十七条【落地开工】</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项目责任单位要从企业注册、开户、选址、用地、环评、设计、概算、招标投标、开工、施工、竣工、验收、投产（投运）等环节设置管控节点，制定项目履约进度跟踪表，并派专人进行跟踪监督，推进项目落地开工。签约后原则上供地项目</w:t>
      </w:r>
      <w:r>
        <w:rPr>
          <w:rFonts w:hint="eastAsia" w:ascii="Times New Roman" w:hAnsi="Times New Roman" w:eastAsia="方正仿宋_GBK" w:cs="方正仿宋_GBK"/>
          <w:b w:val="0"/>
          <w:bCs w:val="0"/>
          <w:color w:val="auto"/>
          <w:spacing w:val="0"/>
          <w:kern w:val="21"/>
          <w:sz w:val="32"/>
          <w:szCs w:val="32"/>
          <w:lang w:val="en-US" w:eastAsia="zh-CN" w:bidi="ar-SA"/>
        </w:rPr>
        <w:t>6</w:t>
      </w:r>
      <w:r>
        <w:rPr>
          <w:rFonts w:hint="default" w:ascii="Times New Roman" w:hAnsi="Times New Roman" w:eastAsia="方正仿宋_GBK" w:cs="方正仿宋_GBK"/>
          <w:b w:val="0"/>
          <w:bCs w:val="0"/>
          <w:color w:val="auto"/>
          <w:spacing w:val="0"/>
          <w:kern w:val="21"/>
          <w:sz w:val="32"/>
          <w:szCs w:val="32"/>
          <w:lang w:val="en-US" w:eastAsia="zh-CN" w:bidi="ar-SA"/>
        </w:rPr>
        <w:t>个月内、租赁厂房项目45天内应开工建设，开工后原则上1个月内推进项目入库。</w:t>
      </w:r>
    </w:p>
    <w:p w14:paraId="56CCCA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第十八条【投产达效】</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项目责任单位及相关部门要提供良好的投资环境，积极协调企业在生产、生活中的各种问题，在资源要素、资金支持、创新发展等方面给予充分保障和支持，推进企业投产达效。开工后原则上供地项目18个月内、租赁厂房项目3个月内应投产，投产后原则上2年内应升为规上企业、3年内应达效，制造业4年内申报为国家高新技术企业。</w:t>
      </w:r>
    </w:p>
    <w:p w14:paraId="6913C7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w:t>
      </w:r>
      <w:r>
        <w:rPr>
          <w:rFonts w:hint="eastAsia" w:ascii="Times New Roman" w:hAnsi="Times New Roman" w:eastAsia="方正黑体_GBK" w:cs="方正黑体_GBK"/>
          <w:color w:val="auto"/>
          <w:sz w:val="32"/>
          <w:szCs w:val="32"/>
          <w:lang w:val="en-US" w:eastAsia="zh-CN"/>
        </w:rPr>
        <w:t>十九</w:t>
      </w:r>
      <w:r>
        <w:rPr>
          <w:rFonts w:hint="default" w:ascii="Times New Roman" w:hAnsi="Times New Roman" w:eastAsia="方正黑体_GBK" w:cs="方正黑体_GBK"/>
          <w:color w:val="auto"/>
          <w:sz w:val="32"/>
          <w:szCs w:val="32"/>
          <w:lang w:val="en-US" w:eastAsia="zh-CN"/>
        </w:rPr>
        <w:t>条【综合评价】</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区经济信息委会同相关单位对工业企业亩均效益指标（亩均增加值、亩均税收、单位能耗增加值、单位排放增加值、全员劳动生产率、研发费用占主营业务收入比重）进行综合评价，根据企业综合评价得分高低，分别划为A、B、C、D四类。对A、B、C、D类企业在用地、用电、用水、用能、信贷等资源要素配置上实施差别化措施。对A、B类企业，在资源要素、资金支持、创新发展等方面给予充分保障和优先支持，推进C、D类低效企业分类改造提升、转型升级。</w:t>
      </w:r>
    </w:p>
    <w:p w14:paraId="20E972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第二十条【考核激励】</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对标市考核任务和全区高质量发展要求，聚焦</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招商、投资、建设、投产、达产</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五个阶段效能，重点考核资金到位额及增长率、</w:t>
      </w:r>
      <w:r>
        <w:rPr>
          <w:rFonts w:hint="eastAsia" w:ascii="Times New Roman" w:hAnsi="Times New Roman" w:eastAsia="方正仿宋_GBK" w:cs="方正仿宋_GBK"/>
          <w:b w:val="0"/>
          <w:bCs w:val="0"/>
          <w:color w:val="auto"/>
          <w:spacing w:val="0"/>
          <w:kern w:val="21"/>
          <w:sz w:val="32"/>
          <w:szCs w:val="32"/>
          <w:lang w:val="en-US" w:eastAsia="zh-CN" w:bidi="ar-SA"/>
        </w:rPr>
        <w:t>开工率、招大引优</w:t>
      </w:r>
      <w:r>
        <w:rPr>
          <w:rFonts w:hint="default" w:ascii="Times New Roman" w:hAnsi="Times New Roman" w:eastAsia="方正仿宋_GBK" w:cs="方正仿宋_GBK"/>
          <w:b w:val="0"/>
          <w:bCs w:val="0"/>
          <w:color w:val="auto"/>
          <w:spacing w:val="0"/>
          <w:kern w:val="21"/>
          <w:sz w:val="32"/>
          <w:szCs w:val="32"/>
          <w:lang w:val="en-US" w:eastAsia="zh-CN" w:bidi="ar-SA"/>
        </w:rPr>
        <w:t>等指标。每月在政府常务会上通报</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招商工作活跃指数</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，发布</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招商赛马榜</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，晒动态、晒投资、晒进度、晒绩效、比干劲。</w:t>
      </w:r>
    </w:p>
    <w:p w14:paraId="5CC35630">
      <w:pPr>
        <w:keepNext w:val="0"/>
        <w:keepLines w:val="0"/>
        <w:pageBreakBefore w:val="0"/>
        <w:widowControl w:val="0"/>
        <w:kinsoku/>
        <w:wordWrap/>
        <w:overflowPunct/>
        <w:topLinePunct w:val="0"/>
        <w:autoSpaceDE/>
        <w:autoSpaceDN/>
        <w:bidi w:val="0"/>
        <w:adjustRightInd/>
        <w:snapToGrid/>
        <w:spacing w:before="303" w:beforeLines="50" w:after="303" w:afterLines="50" w:line="594" w:lineRule="exact"/>
        <w:ind w:left="0" w:leftChars="0" w:right="0" w:rightChars="0" w:firstLine="0" w:firstLineChars="0"/>
        <w:jc w:val="center"/>
        <w:textAlignment w:val="auto"/>
        <w:rPr>
          <w:rFonts w:hint="default" w:ascii="Times New Roman" w:hAnsi="Times New Roman" w:eastAsia="方正黑体_GBK" w:cs="方正黑体_GBK"/>
          <w:color w:val="auto"/>
          <w:sz w:val="32"/>
          <w:szCs w:val="32"/>
          <w:lang w:val="en-US" w:eastAsia="zh-CN"/>
        </w:rPr>
      </w:pPr>
      <w:r>
        <w:rPr>
          <w:rFonts w:hint="default" w:ascii="Times New Roman" w:hAnsi="Times New Roman" w:eastAsia="方正黑体_GBK" w:cs="方正黑体_GBK"/>
          <w:color w:val="auto"/>
          <w:sz w:val="32"/>
          <w:szCs w:val="32"/>
          <w:lang w:val="en-US" w:eastAsia="zh-CN"/>
        </w:rPr>
        <w:t>第三章  项目监管</w:t>
      </w:r>
    </w:p>
    <w:p w14:paraId="58440C7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第二十</w:t>
      </w:r>
      <w:r>
        <w:rPr>
          <w:rFonts w:hint="eastAsia" w:ascii="Times New Roman" w:hAnsi="Times New Roman" w:eastAsia="方正黑体_GBK" w:cs="方正黑体_GBK"/>
          <w:color w:val="auto"/>
          <w:sz w:val="32"/>
          <w:szCs w:val="32"/>
          <w:lang w:val="en-US" w:eastAsia="zh-CN"/>
        </w:rPr>
        <w:t>一</w:t>
      </w:r>
      <w:r>
        <w:rPr>
          <w:rFonts w:hint="default" w:ascii="Times New Roman" w:hAnsi="Times New Roman" w:eastAsia="方正黑体_GBK" w:cs="方正黑体_GBK"/>
          <w:color w:val="auto"/>
          <w:sz w:val="32"/>
          <w:szCs w:val="32"/>
          <w:lang w:val="en-US" w:eastAsia="zh-CN"/>
        </w:rPr>
        <w:t xml:space="preserve">条【监管主体】 </w:t>
      </w:r>
      <w:r>
        <w:rPr>
          <w:rFonts w:hint="default" w:ascii="Times New Roman" w:hAnsi="Times New Roman" w:eastAsia="方正仿宋_GBK" w:cs="方正仿宋_GBK"/>
          <w:b w:val="0"/>
          <w:bCs w:val="0"/>
          <w:color w:val="auto"/>
          <w:spacing w:val="0"/>
          <w:kern w:val="21"/>
          <w:sz w:val="32"/>
          <w:szCs w:val="32"/>
          <w:lang w:val="en-US" w:eastAsia="zh-CN" w:bidi="ar-SA"/>
        </w:rPr>
        <w:t>项目落户到开发区（园区）等承接单位的，由项目承接单位负责项目合同履约监管服务工作；项目落户到开发区（园区）等承接单位以外的，由项目引进单位负责项目合同履约监管服务工作；区规划自然资源局履行用地合同签订、交地、开竣工和低效闲置土地监管服务工作；经开区投资局统筹协调督促经开区范围项目合同履约监管服务工作；区招商投资局统筹协调督促全区项目合同履约监管服务工作；其他部门</w:t>
      </w:r>
      <w:r>
        <w:rPr>
          <w:rFonts w:hint="eastAsia" w:ascii="Times New Roman" w:hAnsi="Times New Roman" w:eastAsia="方正仿宋_GBK" w:cs="方正仿宋_GBK"/>
          <w:b w:val="0"/>
          <w:bCs w:val="0"/>
          <w:color w:val="auto"/>
          <w:spacing w:val="0"/>
          <w:kern w:val="21"/>
          <w:sz w:val="32"/>
          <w:szCs w:val="32"/>
          <w:lang w:val="en-US" w:eastAsia="zh-CN" w:bidi="ar-SA"/>
        </w:rPr>
        <w:t>按职责</w:t>
      </w:r>
      <w:r>
        <w:rPr>
          <w:rFonts w:hint="default" w:ascii="Times New Roman" w:hAnsi="Times New Roman" w:eastAsia="方正仿宋_GBK" w:cs="方正仿宋_GBK"/>
          <w:b w:val="0"/>
          <w:bCs w:val="0"/>
          <w:color w:val="auto"/>
          <w:spacing w:val="0"/>
          <w:kern w:val="21"/>
          <w:sz w:val="32"/>
          <w:szCs w:val="32"/>
          <w:lang w:val="en-US" w:eastAsia="zh-CN" w:bidi="ar-SA"/>
        </w:rPr>
        <w:t>负责</w:t>
      </w:r>
      <w:r>
        <w:rPr>
          <w:rFonts w:hint="eastAsia" w:ascii="Times New Roman" w:hAnsi="Times New Roman" w:eastAsia="方正仿宋_GBK" w:cs="方正仿宋_GBK"/>
          <w:b w:val="0"/>
          <w:bCs w:val="0"/>
          <w:color w:val="auto"/>
          <w:spacing w:val="0"/>
          <w:kern w:val="21"/>
          <w:sz w:val="32"/>
          <w:szCs w:val="32"/>
          <w:lang w:val="en-US" w:eastAsia="zh-CN" w:bidi="ar-SA"/>
        </w:rPr>
        <w:t>项目合同</w:t>
      </w:r>
      <w:r>
        <w:rPr>
          <w:rFonts w:hint="default" w:ascii="Times New Roman" w:hAnsi="Times New Roman" w:eastAsia="方正仿宋_GBK" w:cs="方正仿宋_GBK"/>
          <w:b w:val="0"/>
          <w:bCs w:val="0"/>
          <w:color w:val="auto"/>
          <w:spacing w:val="0"/>
          <w:kern w:val="21"/>
          <w:sz w:val="32"/>
          <w:szCs w:val="32"/>
          <w:lang w:val="en-US" w:eastAsia="zh-CN" w:bidi="ar-SA"/>
        </w:rPr>
        <w:t>的监管服务工作。</w:t>
      </w:r>
    </w:p>
    <w:p w14:paraId="7E005FF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黑体_GBK" w:cs="方正黑体_GBK"/>
          <w:color w:val="auto"/>
          <w:sz w:val="32"/>
          <w:szCs w:val="32"/>
          <w:lang w:val="en-US" w:eastAsia="zh-CN"/>
        </w:rPr>
        <w:t>第二十</w:t>
      </w:r>
      <w:r>
        <w:rPr>
          <w:rFonts w:hint="eastAsia" w:ascii="Times New Roman" w:hAnsi="Times New Roman" w:eastAsia="方正黑体_GBK" w:cs="方正黑体_GBK"/>
          <w:color w:val="auto"/>
          <w:sz w:val="32"/>
          <w:szCs w:val="32"/>
          <w:lang w:val="en-US" w:eastAsia="zh-CN"/>
        </w:rPr>
        <w:t>二</w:t>
      </w:r>
      <w:r>
        <w:rPr>
          <w:rFonts w:hint="default" w:ascii="Times New Roman" w:hAnsi="Times New Roman" w:eastAsia="方正黑体_GBK" w:cs="方正黑体_GBK"/>
          <w:color w:val="auto"/>
          <w:sz w:val="32"/>
          <w:szCs w:val="32"/>
          <w:lang w:val="en-US" w:eastAsia="zh-CN"/>
        </w:rPr>
        <w:t>条【风险防范】</w:t>
      </w:r>
      <w:r>
        <w:rPr>
          <w:rFonts w:hint="default" w:ascii="Times New Roman" w:hAnsi="Times New Roman"/>
          <w:color w:val="auto"/>
          <w:sz w:val="32"/>
          <w:szCs w:val="32"/>
          <w:lang w:val="en-US" w:eastAsia="zh-CN"/>
        </w:rPr>
        <w:t xml:space="preserve"> </w:t>
      </w:r>
      <w:r>
        <w:rPr>
          <w:rFonts w:hint="default" w:ascii="Times New Roman" w:hAnsi="Times New Roman" w:eastAsia="方正仿宋_GBK" w:cs="方正仿宋_GBK"/>
          <w:b w:val="0"/>
          <w:bCs w:val="0"/>
          <w:color w:val="auto"/>
          <w:spacing w:val="0"/>
          <w:kern w:val="21"/>
          <w:sz w:val="32"/>
          <w:szCs w:val="32"/>
          <w:lang w:val="en-US" w:eastAsia="zh-CN" w:bidi="ar-SA"/>
        </w:rPr>
        <w:t>合同履行过程中出现可能影响合同正常履行情形的，项目合同监管服务单位应及时向区政府、经开区管委会提交预警报告，提出处理意见，并抄送行业主管部门和区司法局，同时采取约谈企业、制定</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一企一策</w:t>
      </w:r>
      <w:r>
        <w:rPr>
          <w:rFonts w:hint="eastAsia" w:ascii="Times New Roman" w:hAnsi="Times New Roman" w:eastAsia="方正仿宋_GBK" w:cs="方正仿宋_GBK"/>
          <w:b w:val="0"/>
          <w:bCs w:val="0"/>
          <w:color w:val="auto"/>
          <w:spacing w:val="0"/>
          <w:kern w:val="21"/>
          <w:sz w:val="32"/>
          <w:szCs w:val="32"/>
          <w:lang w:val="en-US" w:eastAsia="zh-CN" w:bidi="ar-SA"/>
        </w:rPr>
        <w:t>”</w:t>
      </w:r>
      <w:r>
        <w:rPr>
          <w:rFonts w:hint="default" w:ascii="Times New Roman" w:hAnsi="Times New Roman" w:eastAsia="方正仿宋_GBK" w:cs="方正仿宋_GBK"/>
          <w:b w:val="0"/>
          <w:bCs w:val="0"/>
          <w:color w:val="auto"/>
          <w:spacing w:val="0"/>
          <w:kern w:val="21"/>
          <w:sz w:val="32"/>
          <w:szCs w:val="32"/>
          <w:lang w:val="en-US" w:eastAsia="zh-CN" w:bidi="ar-SA"/>
        </w:rPr>
        <w:t>整改方案等措施应对合同风险的发生。已发生企业违约等合同纠纷的，相关单位应首先通过协商、调解方式解决合同纠纷，经协商或者调解达成一致意见的，应当签订书面补充协议，经协商或者调解不能达成一致协议的，</w:t>
      </w:r>
      <w:r>
        <w:rPr>
          <w:rFonts w:hint="eastAsia" w:ascii="Times New Roman" w:hAnsi="Times New Roman" w:eastAsia="方正仿宋_GBK" w:cs="方正仿宋_GBK"/>
          <w:b w:val="0"/>
          <w:bCs w:val="0"/>
          <w:color w:val="auto"/>
          <w:spacing w:val="0"/>
          <w:kern w:val="21"/>
          <w:sz w:val="32"/>
          <w:szCs w:val="32"/>
          <w:lang w:val="en-US" w:eastAsia="zh-CN" w:bidi="ar-SA"/>
        </w:rPr>
        <w:t>按协议约定方式</w:t>
      </w:r>
      <w:r>
        <w:rPr>
          <w:rFonts w:hint="default" w:ascii="Times New Roman" w:hAnsi="Times New Roman" w:eastAsia="方正仿宋_GBK" w:cs="方正仿宋_GBK"/>
          <w:b w:val="0"/>
          <w:bCs w:val="0"/>
          <w:color w:val="auto"/>
          <w:spacing w:val="0"/>
          <w:kern w:val="21"/>
          <w:sz w:val="32"/>
          <w:szCs w:val="32"/>
          <w:lang w:val="en-US" w:eastAsia="zh-CN" w:bidi="ar-SA"/>
        </w:rPr>
        <w:t>解决争议。</w:t>
      </w:r>
    </w:p>
    <w:p w14:paraId="3476712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黑体_GBK" w:cs="方正黑体_GBK"/>
          <w:color w:val="auto"/>
          <w:sz w:val="32"/>
          <w:szCs w:val="32"/>
          <w:lang w:val="en-US" w:eastAsia="zh-CN"/>
        </w:rPr>
        <w:t>第二十</w:t>
      </w:r>
      <w:r>
        <w:rPr>
          <w:rFonts w:hint="eastAsia" w:ascii="Times New Roman" w:hAnsi="Times New Roman" w:eastAsia="方正黑体_GBK" w:cs="方正黑体_GBK"/>
          <w:color w:val="auto"/>
          <w:sz w:val="32"/>
          <w:szCs w:val="32"/>
          <w:lang w:val="en-US" w:eastAsia="zh-CN"/>
        </w:rPr>
        <w:t>三</w:t>
      </w:r>
      <w:r>
        <w:rPr>
          <w:rFonts w:hint="default" w:ascii="Times New Roman" w:hAnsi="Times New Roman" w:eastAsia="方正黑体_GBK" w:cs="方正黑体_GBK"/>
          <w:color w:val="auto"/>
          <w:sz w:val="32"/>
          <w:szCs w:val="32"/>
          <w:lang w:val="en-US" w:eastAsia="zh-CN"/>
        </w:rPr>
        <w:t>条【综合处置】</w:t>
      </w:r>
    </w:p>
    <w:p w14:paraId="0FAF946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楷体_GBK" w:cs="方正楷体_GBK"/>
          <w:color w:val="auto"/>
          <w:sz w:val="32"/>
          <w:szCs w:val="32"/>
          <w:lang w:val="en-US" w:eastAsia="zh-CN"/>
        </w:rPr>
        <w:t>（一）</w:t>
      </w:r>
      <w:r>
        <w:rPr>
          <w:rFonts w:hint="default" w:ascii="Times New Roman" w:hAnsi="Times New Roman" w:eastAsia="方正仿宋_GBK" w:cs="方正仿宋_GBK"/>
          <w:b w:val="0"/>
          <w:bCs w:val="0"/>
          <w:color w:val="auto"/>
          <w:spacing w:val="0"/>
          <w:kern w:val="21"/>
          <w:sz w:val="32"/>
          <w:szCs w:val="32"/>
          <w:lang w:val="en-US" w:eastAsia="zh-CN" w:bidi="ar-SA"/>
        </w:rPr>
        <w:t>对产出效率差的项目（未达到合同约定纳税额的用地项目；按合同约定已建成，企业处于未投产（运营）、停产或半停产6个月以上的项目；租赁区属国企标准厂房，未达到合同约定纳税额或逾期未支付租金的项目）应向企业主张权利，推进企业转型升级、兼并重组、二次招商、自主改建、清退出场、司法处置等。</w:t>
      </w:r>
    </w:p>
    <w:p w14:paraId="17F847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楷体_GBK" w:cs="方正楷体_GBK"/>
          <w:color w:val="auto"/>
          <w:sz w:val="32"/>
          <w:szCs w:val="32"/>
          <w:lang w:val="en-US" w:eastAsia="zh-CN"/>
        </w:rPr>
        <w:t>（二）</w:t>
      </w:r>
      <w:r>
        <w:rPr>
          <w:rFonts w:hint="default" w:ascii="Times New Roman" w:hAnsi="Times New Roman" w:eastAsia="方正仿宋_GBK" w:cs="方正仿宋_GBK"/>
          <w:b w:val="0"/>
          <w:bCs w:val="0"/>
          <w:color w:val="auto"/>
          <w:spacing w:val="0"/>
          <w:kern w:val="21"/>
          <w:sz w:val="32"/>
          <w:szCs w:val="32"/>
          <w:lang w:val="en-US" w:eastAsia="zh-CN" w:bidi="ar-SA"/>
        </w:rPr>
        <w:t>对建设未完成的项目（已动工开发建设的土地面积超过应动工开发建设土地总面积的三分之一，但在约定的建设工期满时，仍未达到约定建设面积的或用地范围内尚有成片空地，按空间规划可开发利用而未开发的项目；开工后中止开发建设连续6个月以上未继续开发建设的项目；超过合同约定竣工期限6个月以上未竣工的项目）应向企业主张权利，推进企业限期建设、分割转让、协议收购等。</w:t>
      </w:r>
    </w:p>
    <w:p w14:paraId="2A31914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r>
        <w:rPr>
          <w:rFonts w:hint="default" w:ascii="Times New Roman" w:hAnsi="Times New Roman" w:eastAsia="方正楷体_GBK" w:cs="方正楷体_GBK"/>
          <w:color w:val="auto"/>
          <w:sz w:val="32"/>
          <w:szCs w:val="32"/>
          <w:lang w:val="en-US" w:eastAsia="zh-CN"/>
        </w:rPr>
        <w:t>（三）</w:t>
      </w:r>
      <w:r>
        <w:rPr>
          <w:rFonts w:hint="default" w:ascii="Times New Roman" w:hAnsi="Times New Roman" w:eastAsia="方正仿宋_GBK" w:cs="方正仿宋_GBK"/>
          <w:b w:val="0"/>
          <w:bCs w:val="0"/>
          <w:color w:val="auto"/>
          <w:spacing w:val="0"/>
          <w:kern w:val="21"/>
          <w:sz w:val="32"/>
          <w:szCs w:val="32"/>
          <w:lang w:val="en-US" w:eastAsia="zh-CN" w:bidi="ar-SA"/>
        </w:rPr>
        <w:t>对涉嫌闲置用地项目（国有建设用地使用权人超过《国有建设用地使用权出让合同》约定、规定的动工开发日期满一年未动工开发的项目；已动工开发但开发建设用地面积占应动工开发建设用地总面积不足三分之一或者已投资额占总投资额不足四分之一，中止开发建设满一年的项目）处置方式：征缴土地闲置费、无偿收回、有偿收回。</w:t>
      </w:r>
    </w:p>
    <w:p w14:paraId="5E0DDF0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楷体_GBK" w:cs="方正楷体_GBK"/>
          <w:color w:val="auto"/>
          <w:sz w:val="32"/>
          <w:szCs w:val="32"/>
          <w:lang w:val="en-US" w:eastAsia="zh-CN"/>
        </w:rPr>
        <w:t>（四）</w:t>
      </w:r>
      <w:r>
        <w:rPr>
          <w:rFonts w:hint="default" w:ascii="Times New Roman" w:hAnsi="Times New Roman" w:eastAsia="方正仿宋_GBK" w:cs="方正仿宋_GBK"/>
          <w:b w:val="0"/>
          <w:bCs w:val="0"/>
          <w:color w:val="auto"/>
          <w:spacing w:val="0"/>
          <w:kern w:val="21"/>
          <w:sz w:val="32"/>
          <w:szCs w:val="32"/>
          <w:lang w:val="en-US" w:eastAsia="zh-CN" w:bidi="ar-SA"/>
        </w:rPr>
        <w:t>对不符合要求的项目（国家相关政策规定的禁止类、淘汰类产业项目；不符合能耗、安全生产和环保要求的项目；不符合国家有关产品技术、质量、规模标准的项目）应向企业主张权利，推进企业自主改造、土地置换、淘汰退出、腾笼换鸟等。</w:t>
      </w:r>
    </w:p>
    <w:p w14:paraId="4F0EFE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b w:val="0"/>
          <w:bCs w:val="0"/>
          <w:color w:val="auto"/>
          <w:spacing w:val="0"/>
          <w:kern w:val="21"/>
          <w:sz w:val="32"/>
          <w:szCs w:val="32"/>
          <w:lang w:val="en-US" w:eastAsia="zh-CN" w:bidi="ar-SA"/>
        </w:rPr>
      </w:pPr>
      <w:r>
        <w:rPr>
          <w:rFonts w:hint="eastAsia" w:ascii="Times New Roman" w:hAnsi="Times New Roman" w:eastAsia="方正仿宋_GBK" w:cs="方正仿宋_GBK"/>
          <w:b w:val="0"/>
          <w:bCs w:val="0"/>
          <w:color w:val="auto"/>
          <w:spacing w:val="0"/>
          <w:kern w:val="21"/>
          <w:sz w:val="32"/>
          <w:szCs w:val="32"/>
          <w:lang w:val="en-US" w:eastAsia="zh-CN" w:bidi="ar-SA"/>
        </w:rPr>
        <w:t>双桥</w:t>
      </w:r>
      <w:r>
        <w:rPr>
          <w:rFonts w:hint="default" w:ascii="Times New Roman" w:hAnsi="Times New Roman" w:eastAsia="方正仿宋_GBK" w:cs="方正仿宋_GBK"/>
          <w:b w:val="0"/>
          <w:bCs w:val="0"/>
          <w:color w:val="auto"/>
          <w:spacing w:val="0"/>
          <w:kern w:val="21"/>
          <w:sz w:val="32"/>
          <w:szCs w:val="32"/>
          <w:lang w:val="en-US" w:eastAsia="zh-CN" w:bidi="ar-SA"/>
        </w:rPr>
        <w:t>经开区</w:t>
      </w:r>
      <w:r>
        <w:rPr>
          <w:rFonts w:hint="eastAsia" w:ascii="Times New Roman" w:hAnsi="Times New Roman" w:eastAsia="方正仿宋_GBK" w:cs="方正仿宋_GBK"/>
          <w:b w:val="0"/>
          <w:bCs w:val="0"/>
          <w:color w:val="auto"/>
          <w:spacing w:val="0"/>
          <w:kern w:val="21"/>
          <w:sz w:val="32"/>
          <w:szCs w:val="32"/>
          <w:lang w:val="en-US" w:eastAsia="zh-CN" w:bidi="ar-SA"/>
        </w:rPr>
        <w:t>、大足高新区</w:t>
      </w:r>
      <w:r>
        <w:rPr>
          <w:rFonts w:hint="default" w:ascii="Times New Roman" w:hAnsi="Times New Roman" w:eastAsia="方正仿宋_GBK" w:cs="方正仿宋_GBK"/>
          <w:b w:val="0"/>
          <w:bCs w:val="0"/>
          <w:color w:val="auto"/>
          <w:spacing w:val="0"/>
          <w:kern w:val="21"/>
          <w:sz w:val="32"/>
          <w:szCs w:val="32"/>
          <w:lang w:val="en-US" w:eastAsia="zh-CN" w:bidi="ar-SA"/>
        </w:rPr>
        <w:t>另有规定的，从其规定。</w:t>
      </w:r>
    </w:p>
    <w:p w14:paraId="3DA4E9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olor w:val="auto"/>
          <w:sz w:val="32"/>
          <w:szCs w:val="32"/>
          <w:lang w:val="en-US" w:eastAsia="zh-CN"/>
        </w:rPr>
      </w:pPr>
    </w:p>
    <w:p w14:paraId="4C14A7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pacing w:val="0"/>
          <w:kern w:val="21"/>
          <w:sz w:val="32"/>
          <w:szCs w:val="32"/>
          <w:lang w:val="en-US" w:eastAsia="zh-CN" w:bidi="ar-SA"/>
        </w:rPr>
      </w:pPr>
      <w:r>
        <w:rPr>
          <w:rFonts w:hint="default" w:ascii="Times New Roman" w:hAnsi="Times New Roman" w:eastAsia="方正仿宋_GBK" w:cs="方正仿宋_GBK"/>
          <w:b w:val="0"/>
          <w:bCs w:val="0"/>
          <w:color w:val="auto"/>
          <w:spacing w:val="0"/>
          <w:kern w:val="21"/>
          <w:sz w:val="32"/>
          <w:szCs w:val="32"/>
          <w:lang w:val="en-US" w:eastAsia="zh-CN" w:bidi="ar-SA"/>
        </w:rPr>
        <w:t>附件：大足区招商引资项目全生命周期闭环管理服务流程图</w:t>
      </w:r>
    </w:p>
    <w:p w14:paraId="0BE24A9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方正仿宋_GBK" w:hAnsi="方正仿宋_GBK" w:eastAsia="方正仿宋_GBK" w:cs="方正仿宋_GBK"/>
          <w:sz w:val="32"/>
          <w:szCs w:val="32"/>
        </w:rPr>
      </w:pPr>
    </w:p>
    <w:p w14:paraId="48A4D0F2">
      <w:pPr>
        <w:spacing w:line="560" w:lineRule="exact"/>
        <w:rPr>
          <w:rFonts w:ascii="方正仿宋_GBK" w:hAnsi="方正仿宋_GBK" w:eastAsia="方正仿宋_GBK" w:cs="方正仿宋_GBK"/>
          <w:sz w:val="32"/>
          <w:szCs w:val="32"/>
        </w:rPr>
      </w:pPr>
    </w:p>
    <w:p w14:paraId="6DB2C23E"/>
    <w:p w14:paraId="2D4B1FBC">
      <w:pPr>
        <w:pStyle w:val="8"/>
      </w:pPr>
    </w:p>
    <w:p w14:paraId="3EFED7DD">
      <w:pPr>
        <w:pStyle w:val="8"/>
      </w:pPr>
    </w:p>
    <w:p w14:paraId="33B260EF">
      <w:pPr>
        <w:pStyle w:val="8"/>
      </w:pPr>
    </w:p>
    <w:p w14:paraId="28D0C9DF">
      <w:pPr>
        <w:pStyle w:val="8"/>
        <w:sectPr>
          <w:pgSz w:w="11906" w:h="16838"/>
          <w:pgMar w:top="1440" w:right="1800" w:bottom="1440" w:left="1800" w:header="851" w:footer="992" w:gutter="0"/>
          <w:cols w:space="425" w:num="1"/>
          <w:docGrid w:type="lines" w:linePitch="312" w:charSpace="0"/>
        </w:sectPr>
      </w:pPr>
    </w:p>
    <w:p w14:paraId="242D5AA5">
      <w:pPr>
        <w:bidi w:val="0"/>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w:t>
      </w:r>
    </w:p>
    <w:p w14:paraId="6DE1D129">
      <w:pPr>
        <w:pStyle w:val="8"/>
      </w:pPr>
      <w:r>
        <w:rPr>
          <w:rFonts w:hint="eastAsia" w:ascii="Times New Roman" w:hAnsi="Times New Roman" w:eastAsia="仿宋_GB2312"/>
          <w:color w:val="auto"/>
          <w:lang w:eastAsia="zh-CN"/>
        </w:rPr>
        <w:drawing>
          <wp:inline distT="0" distB="0" distL="114300" distR="114300">
            <wp:extent cx="8968105" cy="4775200"/>
            <wp:effectExtent l="0" t="0" r="4445" b="6350"/>
            <wp:docPr id="1" name="图片 1" descr="全生命周期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生命周期流程图"/>
                    <pic:cNvPicPr>
                      <a:picLocks noChangeAspect="1"/>
                    </pic:cNvPicPr>
                  </pic:nvPicPr>
                  <pic:blipFill>
                    <a:blip r:embed="rId4"/>
                    <a:stretch>
                      <a:fillRect/>
                    </a:stretch>
                  </pic:blipFill>
                  <pic:spPr>
                    <a:xfrm>
                      <a:off x="0" y="0"/>
                      <a:ext cx="8968105" cy="477520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092379C-6429-490F-9BC3-00E9E1DEF03A}"/>
  </w:font>
  <w:font w:name="方正仿宋_GBK">
    <w:panose1 w:val="03000509000000000000"/>
    <w:charset w:val="86"/>
    <w:family w:val="script"/>
    <w:pitch w:val="default"/>
    <w:sig w:usb0="00000001" w:usb1="080E0000" w:usb2="00000000" w:usb3="00000000" w:csb0="00040000" w:csb1="00000000"/>
    <w:embedRegular r:id="rId2" w:fontKey="{BDF17B64-DFC1-44BD-9FB0-1F5223B362ED}"/>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2F29A4D8-150B-4F17-87C6-0DC74EFE508D}"/>
  </w:font>
  <w:font w:name="方正小标宋_GBK">
    <w:panose1 w:val="02000000000000000000"/>
    <w:charset w:val="86"/>
    <w:family w:val="script"/>
    <w:pitch w:val="default"/>
    <w:sig w:usb0="A00002BF" w:usb1="38CF7CFA" w:usb2="00082016" w:usb3="00000000" w:csb0="00040001" w:csb1="00000000"/>
    <w:embedRegular r:id="rId4" w:fontKey="{64C1CF95-6705-4BD0-893C-71618B7FEDDB}"/>
  </w:font>
  <w:font w:name="方正黑体_GBK">
    <w:panose1 w:val="03000509000000000000"/>
    <w:charset w:val="86"/>
    <w:family w:val="auto"/>
    <w:pitch w:val="default"/>
    <w:sig w:usb0="00000001" w:usb1="080E0000" w:usb2="00000000" w:usb3="00000000" w:csb0="00040000" w:csb1="00000000"/>
    <w:embedRegular r:id="rId5" w:fontKey="{269BE808-24FB-4A0A-AAE0-BE0C29C6AC93}"/>
  </w:font>
  <w:font w:name="方正楷体_GBK">
    <w:panose1 w:val="02000000000000000000"/>
    <w:charset w:val="86"/>
    <w:family w:val="auto"/>
    <w:pitch w:val="default"/>
    <w:sig w:usb0="800002BF" w:usb1="38CF7CFA" w:usb2="00000016" w:usb3="00000000" w:csb0="00040000" w:csb1="00000000"/>
    <w:embedRegular r:id="rId6" w:fontKey="{586814AD-852D-43EB-8B82-AB056FA515C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OTgwMGE3N2IwODk4MTEzZDNiY2VhYjk4OTNkOWEifQ=="/>
  </w:docVars>
  <w:rsids>
    <w:rsidRoot w:val="0D672AFF"/>
    <w:rsid w:val="000B17F7"/>
    <w:rsid w:val="001A7562"/>
    <w:rsid w:val="00267E8C"/>
    <w:rsid w:val="00385AA5"/>
    <w:rsid w:val="005A7419"/>
    <w:rsid w:val="006F55B4"/>
    <w:rsid w:val="007A1658"/>
    <w:rsid w:val="00812627"/>
    <w:rsid w:val="008430A1"/>
    <w:rsid w:val="00986008"/>
    <w:rsid w:val="00A30A7E"/>
    <w:rsid w:val="00AC671F"/>
    <w:rsid w:val="00AD5A8E"/>
    <w:rsid w:val="00AF119B"/>
    <w:rsid w:val="00B91009"/>
    <w:rsid w:val="00C94A2D"/>
    <w:rsid w:val="00DC5E6F"/>
    <w:rsid w:val="00E40FFA"/>
    <w:rsid w:val="010B44D9"/>
    <w:rsid w:val="011547AB"/>
    <w:rsid w:val="01187121"/>
    <w:rsid w:val="01215609"/>
    <w:rsid w:val="01482F09"/>
    <w:rsid w:val="01654BE5"/>
    <w:rsid w:val="01777BAB"/>
    <w:rsid w:val="01AC3951"/>
    <w:rsid w:val="01C05433"/>
    <w:rsid w:val="01C94EB1"/>
    <w:rsid w:val="01F60974"/>
    <w:rsid w:val="01FA553F"/>
    <w:rsid w:val="020776A3"/>
    <w:rsid w:val="02517C6B"/>
    <w:rsid w:val="02621191"/>
    <w:rsid w:val="026D1F94"/>
    <w:rsid w:val="027B6917"/>
    <w:rsid w:val="028E4E61"/>
    <w:rsid w:val="02921F30"/>
    <w:rsid w:val="02B96468"/>
    <w:rsid w:val="02BF08A4"/>
    <w:rsid w:val="02CD3A70"/>
    <w:rsid w:val="03157416"/>
    <w:rsid w:val="03183A40"/>
    <w:rsid w:val="03230320"/>
    <w:rsid w:val="0328714A"/>
    <w:rsid w:val="0340123B"/>
    <w:rsid w:val="035F2D00"/>
    <w:rsid w:val="036A24E3"/>
    <w:rsid w:val="036F06C9"/>
    <w:rsid w:val="03AC2AD2"/>
    <w:rsid w:val="03E12677"/>
    <w:rsid w:val="03E219EE"/>
    <w:rsid w:val="03EA4810"/>
    <w:rsid w:val="03F1668F"/>
    <w:rsid w:val="04181B32"/>
    <w:rsid w:val="0425568D"/>
    <w:rsid w:val="042D7AC2"/>
    <w:rsid w:val="0431245E"/>
    <w:rsid w:val="043B6939"/>
    <w:rsid w:val="046028A8"/>
    <w:rsid w:val="046252B5"/>
    <w:rsid w:val="04664804"/>
    <w:rsid w:val="04832CC7"/>
    <w:rsid w:val="04A0640B"/>
    <w:rsid w:val="04A90BEE"/>
    <w:rsid w:val="04CB0ED7"/>
    <w:rsid w:val="04D92C60"/>
    <w:rsid w:val="04EB6F42"/>
    <w:rsid w:val="04F05B66"/>
    <w:rsid w:val="04F07A81"/>
    <w:rsid w:val="05041230"/>
    <w:rsid w:val="051D3CB0"/>
    <w:rsid w:val="05262F34"/>
    <w:rsid w:val="05312C14"/>
    <w:rsid w:val="053D3CF8"/>
    <w:rsid w:val="05527E74"/>
    <w:rsid w:val="05657CD4"/>
    <w:rsid w:val="0580627D"/>
    <w:rsid w:val="05B23107"/>
    <w:rsid w:val="05C43B75"/>
    <w:rsid w:val="05D726F8"/>
    <w:rsid w:val="05F02086"/>
    <w:rsid w:val="060C7486"/>
    <w:rsid w:val="06357A7C"/>
    <w:rsid w:val="06474D78"/>
    <w:rsid w:val="06741073"/>
    <w:rsid w:val="06917A3D"/>
    <w:rsid w:val="069301AD"/>
    <w:rsid w:val="06BC38B2"/>
    <w:rsid w:val="06C72620"/>
    <w:rsid w:val="06D10D8B"/>
    <w:rsid w:val="06E0135B"/>
    <w:rsid w:val="074A22BD"/>
    <w:rsid w:val="074B16CA"/>
    <w:rsid w:val="074F0165"/>
    <w:rsid w:val="07742B61"/>
    <w:rsid w:val="07771468"/>
    <w:rsid w:val="07836467"/>
    <w:rsid w:val="0788183C"/>
    <w:rsid w:val="07884F32"/>
    <w:rsid w:val="079671F0"/>
    <w:rsid w:val="07A95D9A"/>
    <w:rsid w:val="07B8312D"/>
    <w:rsid w:val="07CE4919"/>
    <w:rsid w:val="07D96A5F"/>
    <w:rsid w:val="07F55170"/>
    <w:rsid w:val="08034A8E"/>
    <w:rsid w:val="08072654"/>
    <w:rsid w:val="08312B60"/>
    <w:rsid w:val="08354D78"/>
    <w:rsid w:val="0848584A"/>
    <w:rsid w:val="084C38DE"/>
    <w:rsid w:val="086756EE"/>
    <w:rsid w:val="087201C0"/>
    <w:rsid w:val="08937714"/>
    <w:rsid w:val="08A368BF"/>
    <w:rsid w:val="08AB3DF4"/>
    <w:rsid w:val="08AC5272"/>
    <w:rsid w:val="08AE53B4"/>
    <w:rsid w:val="08BF7B9B"/>
    <w:rsid w:val="08C3383F"/>
    <w:rsid w:val="08C73C71"/>
    <w:rsid w:val="08D234DB"/>
    <w:rsid w:val="08F521B9"/>
    <w:rsid w:val="09082AB2"/>
    <w:rsid w:val="0913639D"/>
    <w:rsid w:val="09241E71"/>
    <w:rsid w:val="093777BE"/>
    <w:rsid w:val="093D5E51"/>
    <w:rsid w:val="09445D49"/>
    <w:rsid w:val="095B09F3"/>
    <w:rsid w:val="09640B9E"/>
    <w:rsid w:val="098842F7"/>
    <w:rsid w:val="09962BB1"/>
    <w:rsid w:val="099A0675"/>
    <w:rsid w:val="09A843BF"/>
    <w:rsid w:val="09C56974"/>
    <w:rsid w:val="09CC6F7F"/>
    <w:rsid w:val="09CD0A4B"/>
    <w:rsid w:val="09F733CD"/>
    <w:rsid w:val="0A077740"/>
    <w:rsid w:val="0A1A33E2"/>
    <w:rsid w:val="0A366C66"/>
    <w:rsid w:val="0A3C4D5A"/>
    <w:rsid w:val="0A3F1445"/>
    <w:rsid w:val="0A6B3EB1"/>
    <w:rsid w:val="0A7F5345"/>
    <w:rsid w:val="0A852FF3"/>
    <w:rsid w:val="0A8C3AA2"/>
    <w:rsid w:val="0A8F6D6D"/>
    <w:rsid w:val="0A9846F2"/>
    <w:rsid w:val="0ABA44E8"/>
    <w:rsid w:val="0ABA7CA1"/>
    <w:rsid w:val="0ABF7A4D"/>
    <w:rsid w:val="0AC02385"/>
    <w:rsid w:val="0AC754FE"/>
    <w:rsid w:val="0ADD4C1F"/>
    <w:rsid w:val="0B2E1954"/>
    <w:rsid w:val="0B342903"/>
    <w:rsid w:val="0B5429C3"/>
    <w:rsid w:val="0B7038F5"/>
    <w:rsid w:val="0B900F2D"/>
    <w:rsid w:val="0B9A6772"/>
    <w:rsid w:val="0BC55D2E"/>
    <w:rsid w:val="0BDA6FC5"/>
    <w:rsid w:val="0BEB23E9"/>
    <w:rsid w:val="0C136300"/>
    <w:rsid w:val="0C411665"/>
    <w:rsid w:val="0C6271FD"/>
    <w:rsid w:val="0C7F75C0"/>
    <w:rsid w:val="0C82391C"/>
    <w:rsid w:val="0C85340A"/>
    <w:rsid w:val="0C8E5432"/>
    <w:rsid w:val="0C982C51"/>
    <w:rsid w:val="0CD908EB"/>
    <w:rsid w:val="0CE45454"/>
    <w:rsid w:val="0CE73BA1"/>
    <w:rsid w:val="0CE90B7D"/>
    <w:rsid w:val="0CE91C12"/>
    <w:rsid w:val="0CF00141"/>
    <w:rsid w:val="0D484F68"/>
    <w:rsid w:val="0D4D65F8"/>
    <w:rsid w:val="0D672AFF"/>
    <w:rsid w:val="0D723183"/>
    <w:rsid w:val="0DBE4675"/>
    <w:rsid w:val="0DCF0F43"/>
    <w:rsid w:val="0E1E052D"/>
    <w:rsid w:val="0E2B2714"/>
    <w:rsid w:val="0E3E2134"/>
    <w:rsid w:val="0E4A5F3D"/>
    <w:rsid w:val="0E6F0423"/>
    <w:rsid w:val="0E736FFC"/>
    <w:rsid w:val="0E7E3D57"/>
    <w:rsid w:val="0E87253C"/>
    <w:rsid w:val="0E981B86"/>
    <w:rsid w:val="0EC64664"/>
    <w:rsid w:val="0EF053FB"/>
    <w:rsid w:val="0EF2447B"/>
    <w:rsid w:val="0EFF558B"/>
    <w:rsid w:val="0F0C05B1"/>
    <w:rsid w:val="0F187782"/>
    <w:rsid w:val="0F1E6430"/>
    <w:rsid w:val="0F42089E"/>
    <w:rsid w:val="0F8A1140"/>
    <w:rsid w:val="0FB515F1"/>
    <w:rsid w:val="0FD1231B"/>
    <w:rsid w:val="0FD96036"/>
    <w:rsid w:val="0FFC63EA"/>
    <w:rsid w:val="10041A68"/>
    <w:rsid w:val="10110F72"/>
    <w:rsid w:val="10301CCC"/>
    <w:rsid w:val="103F5E51"/>
    <w:rsid w:val="108475B7"/>
    <w:rsid w:val="10915DD2"/>
    <w:rsid w:val="10995B5F"/>
    <w:rsid w:val="10A5627E"/>
    <w:rsid w:val="10AD13E0"/>
    <w:rsid w:val="10C51B47"/>
    <w:rsid w:val="10CC42CC"/>
    <w:rsid w:val="10DD3770"/>
    <w:rsid w:val="10DF0D3B"/>
    <w:rsid w:val="10F60A32"/>
    <w:rsid w:val="11047182"/>
    <w:rsid w:val="11160AC9"/>
    <w:rsid w:val="112D0CEE"/>
    <w:rsid w:val="11304E0A"/>
    <w:rsid w:val="11551BA2"/>
    <w:rsid w:val="117F6667"/>
    <w:rsid w:val="118A66A5"/>
    <w:rsid w:val="118D6D46"/>
    <w:rsid w:val="11B6307E"/>
    <w:rsid w:val="11C6133D"/>
    <w:rsid w:val="11C82818"/>
    <w:rsid w:val="11CD21FA"/>
    <w:rsid w:val="11ED0B73"/>
    <w:rsid w:val="120B2133"/>
    <w:rsid w:val="12412E91"/>
    <w:rsid w:val="1256790E"/>
    <w:rsid w:val="12A021D4"/>
    <w:rsid w:val="12A240B1"/>
    <w:rsid w:val="12A4486D"/>
    <w:rsid w:val="130D08F4"/>
    <w:rsid w:val="13170A8A"/>
    <w:rsid w:val="1317154B"/>
    <w:rsid w:val="132B255B"/>
    <w:rsid w:val="13382F8D"/>
    <w:rsid w:val="13383AFE"/>
    <w:rsid w:val="134242C3"/>
    <w:rsid w:val="134D6163"/>
    <w:rsid w:val="13527A51"/>
    <w:rsid w:val="135B67F9"/>
    <w:rsid w:val="136D63F1"/>
    <w:rsid w:val="137830F5"/>
    <w:rsid w:val="138D61D0"/>
    <w:rsid w:val="13B60703"/>
    <w:rsid w:val="13B80FE1"/>
    <w:rsid w:val="13BB2F48"/>
    <w:rsid w:val="13F246EB"/>
    <w:rsid w:val="14024CF7"/>
    <w:rsid w:val="140E3EE9"/>
    <w:rsid w:val="14142ACB"/>
    <w:rsid w:val="142577AF"/>
    <w:rsid w:val="142B3FDF"/>
    <w:rsid w:val="14321E1F"/>
    <w:rsid w:val="14444DAA"/>
    <w:rsid w:val="1450271E"/>
    <w:rsid w:val="147F3BFC"/>
    <w:rsid w:val="14A277C7"/>
    <w:rsid w:val="14B0562E"/>
    <w:rsid w:val="14B92052"/>
    <w:rsid w:val="14BA55C2"/>
    <w:rsid w:val="14C43669"/>
    <w:rsid w:val="14CB278B"/>
    <w:rsid w:val="14D85538"/>
    <w:rsid w:val="14DF7426"/>
    <w:rsid w:val="14EF4905"/>
    <w:rsid w:val="15154CE1"/>
    <w:rsid w:val="15166140"/>
    <w:rsid w:val="151C7D64"/>
    <w:rsid w:val="152C3146"/>
    <w:rsid w:val="15437E13"/>
    <w:rsid w:val="15685B3C"/>
    <w:rsid w:val="15810B04"/>
    <w:rsid w:val="1587445C"/>
    <w:rsid w:val="15937F09"/>
    <w:rsid w:val="15A42C52"/>
    <w:rsid w:val="15AE4C6D"/>
    <w:rsid w:val="15C00962"/>
    <w:rsid w:val="15CA7367"/>
    <w:rsid w:val="16010973"/>
    <w:rsid w:val="160329CA"/>
    <w:rsid w:val="16215E6F"/>
    <w:rsid w:val="162246AE"/>
    <w:rsid w:val="16226475"/>
    <w:rsid w:val="16327E1F"/>
    <w:rsid w:val="16392049"/>
    <w:rsid w:val="165203F1"/>
    <w:rsid w:val="16526637"/>
    <w:rsid w:val="16536BC9"/>
    <w:rsid w:val="166221ED"/>
    <w:rsid w:val="16660F3A"/>
    <w:rsid w:val="16686DEB"/>
    <w:rsid w:val="166A0727"/>
    <w:rsid w:val="166D11F1"/>
    <w:rsid w:val="167317FF"/>
    <w:rsid w:val="16756C2F"/>
    <w:rsid w:val="1690616B"/>
    <w:rsid w:val="169B6CB5"/>
    <w:rsid w:val="169C57DF"/>
    <w:rsid w:val="16C32B7F"/>
    <w:rsid w:val="16C41AFF"/>
    <w:rsid w:val="16C71627"/>
    <w:rsid w:val="16C724CD"/>
    <w:rsid w:val="16FE1447"/>
    <w:rsid w:val="1706633F"/>
    <w:rsid w:val="171A50B9"/>
    <w:rsid w:val="17271087"/>
    <w:rsid w:val="173B68E7"/>
    <w:rsid w:val="17424CC3"/>
    <w:rsid w:val="17485746"/>
    <w:rsid w:val="175910B8"/>
    <w:rsid w:val="17762DDE"/>
    <w:rsid w:val="17893B70"/>
    <w:rsid w:val="178C490D"/>
    <w:rsid w:val="17BD68E8"/>
    <w:rsid w:val="17C96BC1"/>
    <w:rsid w:val="17CA5765"/>
    <w:rsid w:val="17CD3B0D"/>
    <w:rsid w:val="17D842C3"/>
    <w:rsid w:val="17DF30F2"/>
    <w:rsid w:val="17F15D42"/>
    <w:rsid w:val="17F43359"/>
    <w:rsid w:val="181C120B"/>
    <w:rsid w:val="18470D81"/>
    <w:rsid w:val="1850260D"/>
    <w:rsid w:val="187B1D00"/>
    <w:rsid w:val="18844D8B"/>
    <w:rsid w:val="18910DB5"/>
    <w:rsid w:val="18914742"/>
    <w:rsid w:val="189D46FA"/>
    <w:rsid w:val="18B856D7"/>
    <w:rsid w:val="18C50479"/>
    <w:rsid w:val="18E83B37"/>
    <w:rsid w:val="18F53AF0"/>
    <w:rsid w:val="190D3863"/>
    <w:rsid w:val="192348F7"/>
    <w:rsid w:val="193E7A58"/>
    <w:rsid w:val="194A1C6F"/>
    <w:rsid w:val="19600C29"/>
    <w:rsid w:val="19613CA5"/>
    <w:rsid w:val="19650358"/>
    <w:rsid w:val="196C2D55"/>
    <w:rsid w:val="19745D23"/>
    <w:rsid w:val="19AF28C5"/>
    <w:rsid w:val="19C13959"/>
    <w:rsid w:val="19DA4A50"/>
    <w:rsid w:val="19E23981"/>
    <w:rsid w:val="1A033033"/>
    <w:rsid w:val="1A0C7AB0"/>
    <w:rsid w:val="1A227C18"/>
    <w:rsid w:val="1A3C722E"/>
    <w:rsid w:val="1A567AF7"/>
    <w:rsid w:val="1A6F4BDB"/>
    <w:rsid w:val="1A8B7DE9"/>
    <w:rsid w:val="1A97226F"/>
    <w:rsid w:val="1A9972CF"/>
    <w:rsid w:val="1AA078D3"/>
    <w:rsid w:val="1AAB3DA7"/>
    <w:rsid w:val="1AAB4B24"/>
    <w:rsid w:val="1AB94352"/>
    <w:rsid w:val="1AE35E9E"/>
    <w:rsid w:val="1B0E7B27"/>
    <w:rsid w:val="1B12336C"/>
    <w:rsid w:val="1B19773F"/>
    <w:rsid w:val="1B1A19A0"/>
    <w:rsid w:val="1B680069"/>
    <w:rsid w:val="1B791A36"/>
    <w:rsid w:val="1B7D15EF"/>
    <w:rsid w:val="1BAA636E"/>
    <w:rsid w:val="1BCE2A0B"/>
    <w:rsid w:val="1BD15A8D"/>
    <w:rsid w:val="1BED27D2"/>
    <w:rsid w:val="1C1B3BD7"/>
    <w:rsid w:val="1C1D4C47"/>
    <w:rsid w:val="1C2C1437"/>
    <w:rsid w:val="1C30011A"/>
    <w:rsid w:val="1C554D50"/>
    <w:rsid w:val="1C63197D"/>
    <w:rsid w:val="1C72354E"/>
    <w:rsid w:val="1C7B04A6"/>
    <w:rsid w:val="1C8C1FF7"/>
    <w:rsid w:val="1C932024"/>
    <w:rsid w:val="1C942D66"/>
    <w:rsid w:val="1C9773C9"/>
    <w:rsid w:val="1CA742DB"/>
    <w:rsid w:val="1CAE373E"/>
    <w:rsid w:val="1CF87360"/>
    <w:rsid w:val="1D0F79C4"/>
    <w:rsid w:val="1D1D0F66"/>
    <w:rsid w:val="1D1E618D"/>
    <w:rsid w:val="1D3509E3"/>
    <w:rsid w:val="1D3A6548"/>
    <w:rsid w:val="1D537ECD"/>
    <w:rsid w:val="1D6318C5"/>
    <w:rsid w:val="1D73291A"/>
    <w:rsid w:val="1D737860"/>
    <w:rsid w:val="1D740B83"/>
    <w:rsid w:val="1D8F682E"/>
    <w:rsid w:val="1DCB1396"/>
    <w:rsid w:val="1DD20CFE"/>
    <w:rsid w:val="1DEE546A"/>
    <w:rsid w:val="1DF30300"/>
    <w:rsid w:val="1DFB39EC"/>
    <w:rsid w:val="1E0D1F3C"/>
    <w:rsid w:val="1E156EEE"/>
    <w:rsid w:val="1E21439A"/>
    <w:rsid w:val="1E2F7AE2"/>
    <w:rsid w:val="1E3E06B3"/>
    <w:rsid w:val="1E79483B"/>
    <w:rsid w:val="1E7D0B80"/>
    <w:rsid w:val="1E8A0290"/>
    <w:rsid w:val="1ED344CE"/>
    <w:rsid w:val="1EFB2018"/>
    <w:rsid w:val="1F0C4D63"/>
    <w:rsid w:val="1F2866C3"/>
    <w:rsid w:val="1F534925"/>
    <w:rsid w:val="1F97413A"/>
    <w:rsid w:val="1F9976EF"/>
    <w:rsid w:val="1FA67E51"/>
    <w:rsid w:val="1FCA35AF"/>
    <w:rsid w:val="2019310B"/>
    <w:rsid w:val="20306E2F"/>
    <w:rsid w:val="2038130B"/>
    <w:rsid w:val="206D6682"/>
    <w:rsid w:val="20774AF8"/>
    <w:rsid w:val="20872170"/>
    <w:rsid w:val="20A040D2"/>
    <w:rsid w:val="20A261B5"/>
    <w:rsid w:val="20A46024"/>
    <w:rsid w:val="20A62A22"/>
    <w:rsid w:val="20AA2118"/>
    <w:rsid w:val="20AC2551"/>
    <w:rsid w:val="20BE4A96"/>
    <w:rsid w:val="20DB53A4"/>
    <w:rsid w:val="20E43325"/>
    <w:rsid w:val="20ED6EA0"/>
    <w:rsid w:val="20F46083"/>
    <w:rsid w:val="20F87251"/>
    <w:rsid w:val="20FB1421"/>
    <w:rsid w:val="21034009"/>
    <w:rsid w:val="210A62F9"/>
    <w:rsid w:val="21214B9B"/>
    <w:rsid w:val="21225187"/>
    <w:rsid w:val="214435D7"/>
    <w:rsid w:val="214461AB"/>
    <w:rsid w:val="215328CB"/>
    <w:rsid w:val="21704FB8"/>
    <w:rsid w:val="217830AD"/>
    <w:rsid w:val="218237FD"/>
    <w:rsid w:val="21A950E4"/>
    <w:rsid w:val="21AF1FEE"/>
    <w:rsid w:val="21B51BC7"/>
    <w:rsid w:val="21FC25B1"/>
    <w:rsid w:val="21FC372F"/>
    <w:rsid w:val="220E2455"/>
    <w:rsid w:val="221C0454"/>
    <w:rsid w:val="222479CA"/>
    <w:rsid w:val="22353CEB"/>
    <w:rsid w:val="22451F76"/>
    <w:rsid w:val="225C5A69"/>
    <w:rsid w:val="226F0A4E"/>
    <w:rsid w:val="227B6459"/>
    <w:rsid w:val="22873597"/>
    <w:rsid w:val="22B83EA8"/>
    <w:rsid w:val="22B8608A"/>
    <w:rsid w:val="22C6065C"/>
    <w:rsid w:val="22CE21CB"/>
    <w:rsid w:val="23051D71"/>
    <w:rsid w:val="231255AA"/>
    <w:rsid w:val="23321383"/>
    <w:rsid w:val="233E78F0"/>
    <w:rsid w:val="234260C5"/>
    <w:rsid w:val="23530E13"/>
    <w:rsid w:val="23684A52"/>
    <w:rsid w:val="23730BE8"/>
    <w:rsid w:val="23752469"/>
    <w:rsid w:val="237D026F"/>
    <w:rsid w:val="23867F19"/>
    <w:rsid w:val="23A261BF"/>
    <w:rsid w:val="23AB1E16"/>
    <w:rsid w:val="23B80CC8"/>
    <w:rsid w:val="23BD6E2E"/>
    <w:rsid w:val="23D25CEE"/>
    <w:rsid w:val="23D5262F"/>
    <w:rsid w:val="23E22D5C"/>
    <w:rsid w:val="23E44BFD"/>
    <w:rsid w:val="23F1062A"/>
    <w:rsid w:val="23FB5154"/>
    <w:rsid w:val="241A3EEB"/>
    <w:rsid w:val="24225643"/>
    <w:rsid w:val="242D72C0"/>
    <w:rsid w:val="24412D38"/>
    <w:rsid w:val="24524C3D"/>
    <w:rsid w:val="247C729F"/>
    <w:rsid w:val="24860685"/>
    <w:rsid w:val="24915022"/>
    <w:rsid w:val="24BF7B92"/>
    <w:rsid w:val="24C23194"/>
    <w:rsid w:val="24C67C89"/>
    <w:rsid w:val="253A5AEC"/>
    <w:rsid w:val="254B2A90"/>
    <w:rsid w:val="257E483F"/>
    <w:rsid w:val="25801EAC"/>
    <w:rsid w:val="258E410D"/>
    <w:rsid w:val="25911149"/>
    <w:rsid w:val="25952B38"/>
    <w:rsid w:val="25997D97"/>
    <w:rsid w:val="25F82554"/>
    <w:rsid w:val="2608240D"/>
    <w:rsid w:val="260B508D"/>
    <w:rsid w:val="26196FBD"/>
    <w:rsid w:val="263918B6"/>
    <w:rsid w:val="263E4B2E"/>
    <w:rsid w:val="26503628"/>
    <w:rsid w:val="2656294C"/>
    <w:rsid w:val="265E696D"/>
    <w:rsid w:val="266137F6"/>
    <w:rsid w:val="26663375"/>
    <w:rsid w:val="26694C78"/>
    <w:rsid w:val="26721947"/>
    <w:rsid w:val="26775053"/>
    <w:rsid w:val="268D2614"/>
    <w:rsid w:val="2691044C"/>
    <w:rsid w:val="26B41EAB"/>
    <w:rsid w:val="26C32FA8"/>
    <w:rsid w:val="26D01026"/>
    <w:rsid w:val="26D116FF"/>
    <w:rsid w:val="26D77AEB"/>
    <w:rsid w:val="26EF6D5C"/>
    <w:rsid w:val="27113A91"/>
    <w:rsid w:val="271569F0"/>
    <w:rsid w:val="27214E95"/>
    <w:rsid w:val="273D5BE6"/>
    <w:rsid w:val="273F3A77"/>
    <w:rsid w:val="275773E8"/>
    <w:rsid w:val="27662A78"/>
    <w:rsid w:val="276C5384"/>
    <w:rsid w:val="277C1FD8"/>
    <w:rsid w:val="277C317A"/>
    <w:rsid w:val="27A17A8C"/>
    <w:rsid w:val="27CA212F"/>
    <w:rsid w:val="27CC024F"/>
    <w:rsid w:val="27D417C3"/>
    <w:rsid w:val="27E21A5F"/>
    <w:rsid w:val="27EA610E"/>
    <w:rsid w:val="27F217F5"/>
    <w:rsid w:val="28051DA9"/>
    <w:rsid w:val="28056708"/>
    <w:rsid w:val="280A38B7"/>
    <w:rsid w:val="28190237"/>
    <w:rsid w:val="28281479"/>
    <w:rsid w:val="283703C7"/>
    <w:rsid w:val="283B48D2"/>
    <w:rsid w:val="284A7C88"/>
    <w:rsid w:val="284B0B72"/>
    <w:rsid w:val="286B5BF5"/>
    <w:rsid w:val="28757D8E"/>
    <w:rsid w:val="287F6CA0"/>
    <w:rsid w:val="288E178F"/>
    <w:rsid w:val="28995DA5"/>
    <w:rsid w:val="28A76CE7"/>
    <w:rsid w:val="29117D15"/>
    <w:rsid w:val="29152B2E"/>
    <w:rsid w:val="291C02C1"/>
    <w:rsid w:val="29255DAF"/>
    <w:rsid w:val="292B5E9B"/>
    <w:rsid w:val="294237C9"/>
    <w:rsid w:val="294A43C7"/>
    <w:rsid w:val="2951008A"/>
    <w:rsid w:val="295A2F9C"/>
    <w:rsid w:val="296E65D1"/>
    <w:rsid w:val="2972328C"/>
    <w:rsid w:val="29725426"/>
    <w:rsid w:val="29760494"/>
    <w:rsid w:val="297F28DA"/>
    <w:rsid w:val="298A6312"/>
    <w:rsid w:val="29A674D5"/>
    <w:rsid w:val="29AA6DD1"/>
    <w:rsid w:val="29C323D4"/>
    <w:rsid w:val="2A02235D"/>
    <w:rsid w:val="2A0E6FE2"/>
    <w:rsid w:val="2A10257F"/>
    <w:rsid w:val="2A152DC9"/>
    <w:rsid w:val="2A1801DD"/>
    <w:rsid w:val="2A266B2C"/>
    <w:rsid w:val="2A3668AA"/>
    <w:rsid w:val="2A3F18EB"/>
    <w:rsid w:val="2A431FE2"/>
    <w:rsid w:val="2A6041CE"/>
    <w:rsid w:val="2A6546D7"/>
    <w:rsid w:val="2A6A3C37"/>
    <w:rsid w:val="2A907AD8"/>
    <w:rsid w:val="2A992064"/>
    <w:rsid w:val="2A9F3D68"/>
    <w:rsid w:val="2AD33125"/>
    <w:rsid w:val="2ADD4E58"/>
    <w:rsid w:val="2AF14D6A"/>
    <w:rsid w:val="2AF30523"/>
    <w:rsid w:val="2AF364E2"/>
    <w:rsid w:val="2B1E549D"/>
    <w:rsid w:val="2B201C1D"/>
    <w:rsid w:val="2B250101"/>
    <w:rsid w:val="2B466B14"/>
    <w:rsid w:val="2B68707F"/>
    <w:rsid w:val="2B6C7699"/>
    <w:rsid w:val="2B723B3D"/>
    <w:rsid w:val="2B8733E8"/>
    <w:rsid w:val="2B8E1990"/>
    <w:rsid w:val="2B9B6620"/>
    <w:rsid w:val="2BA7503E"/>
    <w:rsid w:val="2BA845A7"/>
    <w:rsid w:val="2BCD15C4"/>
    <w:rsid w:val="2BD13674"/>
    <w:rsid w:val="2C6114F5"/>
    <w:rsid w:val="2C6859DA"/>
    <w:rsid w:val="2C7150A6"/>
    <w:rsid w:val="2C806952"/>
    <w:rsid w:val="2C822254"/>
    <w:rsid w:val="2C8E3C12"/>
    <w:rsid w:val="2CBA4A07"/>
    <w:rsid w:val="2CC46CFF"/>
    <w:rsid w:val="2CC57D04"/>
    <w:rsid w:val="2CCB086A"/>
    <w:rsid w:val="2CD56C44"/>
    <w:rsid w:val="2CDF0146"/>
    <w:rsid w:val="2D416B0D"/>
    <w:rsid w:val="2D51363D"/>
    <w:rsid w:val="2D66224F"/>
    <w:rsid w:val="2D6D7DC0"/>
    <w:rsid w:val="2D735BD4"/>
    <w:rsid w:val="2D914F32"/>
    <w:rsid w:val="2DA14DDD"/>
    <w:rsid w:val="2DA37656"/>
    <w:rsid w:val="2DDE6D5B"/>
    <w:rsid w:val="2DE4308B"/>
    <w:rsid w:val="2DF30293"/>
    <w:rsid w:val="2DFA5DE5"/>
    <w:rsid w:val="2E290D0B"/>
    <w:rsid w:val="2E2F3699"/>
    <w:rsid w:val="2E354BB8"/>
    <w:rsid w:val="2E35644F"/>
    <w:rsid w:val="2E3C2BB7"/>
    <w:rsid w:val="2E4E4DA2"/>
    <w:rsid w:val="2E543B81"/>
    <w:rsid w:val="2E61338C"/>
    <w:rsid w:val="2E8C0A87"/>
    <w:rsid w:val="2EAE3598"/>
    <w:rsid w:val="2EB97120"/>
    <w:rsid w:val="2EC168A4"/>
    <w:rsid w:val="2EC94A4D"/>
    <w:rsid w:val="2ECC0FAC"/>
    <w:rsid w:val="2EE54C65"/>
    <w:rsid w:val="2EF55C13"/>
    <w:rsid w:val="2EFB45F7"/>
    <w:rsid w:val="2F000220"/>
    <w:rsid w:val="2F0802A0"/>
    <w:rsid w:val="2F204D4E"/>
    <w:rsid w:val="2F223D2C"/>
    <w:rsid w:val="2F250DFC"/>
    <w:rsid w:val="2F337398"/>
    <w:rsid w:val="2F413598"/>
    <w:rsid w:val="2F7C30F5"/>
    <w:rsid w:val="2F7D151B"/>
    <w:rsid w:val="2FDA5B4B"/>
    <w:rsid w:val="2FE02555"/>
    <w:rsid w:val="2FE12B3C"/>
    <w:rsid w:val="2FE4734E"/>
    <w:rsid w:val="2FF77D6E"/>
    <w:rsid w:val="30084F40"/>
    <w:rsid w:val="300F59E1"/>
    <w:rsid w:val="3011270B"/>
    <w:rsid w:val="3015285E"/>
    <w:rsid w:val="30174ADD"/>
    <w:rsid w:val="301775DB"/>
    <w:rsid w:val="301C23B4"/>
    <w:rsid w:val="302134EF"/>
    <w:rsid w:val="303F7CA4"/>
    <w:rsid w:val="30414952"/>
    <w:rsid w:val="30473890"/>
    <w:rsid w:val="30690C1E"/>
    <w:rsid w:val="3071153B"/>
    <w:rsid w:val="30857AFA"/>
    <w:rsid w:val="30960CCC"/>
    <w:rsid w:val="30B34A4D"/>
    <w:rsid w:val="30C92769"/>
    <w:rsid w:val="30CF1C17"/>
    <w:rsid w:val="31273B9F"/>
    <w:rsid w:val="312E6A1F"/>
    <w:rsid w:val="31550F21"/>
    <w:rsid w:val="3155493A"/>
    <w:rsid w:val="31555219"/>
    <w:rsid w:val="31706A4A"/>
    <w:rsid w:val="317367E2"/>
    <w:rsid w:val="318D6EE4"/>
    <w:rsid w:val="31A107E4"/>
    <w:rsid w:val="31A93277"/>
    <w:rsid w:val="31B4765C"/>
    <w:rsid w:val="31C83722"/>
    <w:rsid w:val="31CB2BA5"/>
    <w:rsid w:val="31CF2BBF"/>
    <w:rsid w:val="31D500FC"/>
    <w:rsid w:val="31DB7526"/>
    <w:rsid w:val="31FB5EDD"/>
    <w:rsid w:val="31FE5946"/>
    <w:rsid w:val="32156874"/>
    <w:rsid w:val="32561537"/>
    <w:rsid w:val="326F6F43"/>
    <w:rsid w:val="32B270C3"/>
    <w:rsid w:val="32B328F4"/>
    <w:rsid w:val="32D438CE"/>
    <w:rsid w:val="32DD170A"/>
    <w:rsid w:val="32FE03B5"/>
    <w:rsid w:val="330316D4"/>
    <w:rsid w:val="3304078D"/>
    <w:rsid w:val="3327504F"/>
    <w:rsid w:val="333855F0"/>
    <w:rsid w:val="333D795C"/>
    <w:rsid w:val="333F4D66"/>
    <w:rsid w:val="33442524"/>
    <w:rsid w:val="334D6566"/>
    <w:rsid w:val="3357440D"/>
    <w:rsid w:val="33925679"/>
    <w:rsid w:val="33BC4D40"/>
    <w:rsid w:val="33D37E12"/>
    <w:rsid w:val="33E76D4E"/>
    <w:rsid w:val="33FD4585"/>
    <w:rsid w:val="34080051"/>
    <w:rsid w:val="341F2393"/>
    <w:rsid w:val="34493C4B"/>
    <w:rsid w:val="344D4D15"/>
    <w:rsid w:val="345632D9"/>
    <w:rsid w:val="34924709"/>
    <w:rsid w:val="349631EE"/>
    <w:rsid w:val="34DE432F"/>
    <w:rsid w:val="34EA6F5F"/>
    <w:rsid w:val="34F3038E"/>
    <w:rsid w:val="34F75F98"/>
    <w:rsid w:val="34FA63E3"/>
    <w:rsid w:val="35251B72"/>
    <w:rsid w:val="352849C7"/>
    <w:rsid w:val="35372E79"/>
    <w:rsid w:val="3580176A"/>
    <w:rsid w:val="35881CF3"/>
    <w:rsid w:val="3590227A"/>
    <w:rsid w:val="360520A7"/>
    <w:rsid w:val="361B3756"/>
    <w:rsid w:val="362137F2"/>
    <w:rsid w:val="3631371C"/>
    <w:rsid w:val="36435234"/>
    <w:rsid w:val="3655303C"/>
    <w:rsid w:val="365B1BF1"/>
    <w:rsid w:val="36621DCB"/>
    <w:rsid w:val="3674061A"/>
    <w:rsid w:val="36743E79"/>
    <w:rsid w:val="36785BEA"/>
    <w:rsid w:val="368A5033"/>
    <w:rsid w:val="368C28A2"/>
    <w:rsid w:val="36BE030B"/>
    <w:rsid w:val="36DC399F"/>
    <w:rsid w:val="36DE135E"/>
    <w:rsid w:val="36E9036C"/>
    <w:rsid w:val="36F53C32"/>
    <w:rsid w:val="370527ED"/>
    <w:rsid w:val="370608DF"/>
    <w:rsid w:val="3708121A"/>
    <w:rsid w:val="3745688E"/>
    <w:rsid w:val="37493AB0"/>
    <w:rsid w:val="37604FC9"/>
    <w:rsid w:val="37772FB8"/>
    <w:rsid w:val="377E38F4"/>
    <w:rsid w:val="379538C7"/>
    <w:rsid w:val="37992EFA"/>
    <w:rsid w:val="379A40F4"/>
    <w:rsid w:val="37EA0D1D"/>
    <w:rsid w:val="37F06B38"/>
    <w:rsid w:val="37FC5B18"/>
    <w:rsid w:val="380D5B9E"/>
    <w:rsid w:val="3814487E"/>
    <w:rsid w:val="381A0DD0"/>
    <w:rsid w:val="383471A3"/>
    <w:rsid w:val="383F7A68"/>
    <w:rsid w:val="384261D2"/>
    <w:rsid w:val="38692F5F"/>
    <w:rsid w:val="386C08F6"/>
    <w:rsid w:val="38841AC6"/>
    <w:rsid w:val="38AB078B"/>
    <w:rsid w:val="38B27A1C"/>
    <w:rsid w:val="38B82434"/>
    <w:rsid w:val="38BB5260"/>
    <w:rsid w:val="38C576A5"/>
    <w:rsid w:val="38CC3019"/>
    <w:rsid w:val="38E63AD6"/>
    <w:rsid w:val="38FD6035"/>
    <w:rsid w:val="390B558F"/>
    <w:rsid w:val="390E6423"/>
    <w:rsid w:val="392C0A3B"/>
    <w:rsid w:val="393F3416"/>
    <w:rsid w:val="39734A4B"/>
    <w:rsid w:val="39751CE5"/>
    <w:rsid w:val="39787162"/>
    <w:rsid w:val="39AD77BA"/>
    <w:rsid w:val="39C7380C"/>
    <w:rsid w:val="39E06849"/>
    <w:rsid w:val="39F677F9"/>
    <w:rsid w:val="39F91FF9"/>
    <w:rsid w:val="39FB4703"/>
    <w:rsid w:val="3A075882"/>
    <w:rsid w:val="3A08798E"/>
    <w:rsid w:val="3A0A2110"/>
    <w:rsid w:val="3A203889"/>
    <w:rsid w:val="3A46233F"/>
    <w:rsid w:val="3A5125EE"/>
    <w:rsid w:val="3A630217"/>
    <w:rsid w:val="3A8912B8"/>
    <w:rsid w:val="3A8A457B"/>
    <w:rsid w:val="3A923D0C"/>
    <w:rsid w:val="3A99077C"/>
    <w:rsid w:val="3AA406A2"/>
    <w:rsid w:val="3AC75B4C"/>
    <w:rsid w:val="3AE26C66"/>
    <w:rsid w:val="3AFB3DC3"/>
    <w:rsid w:val="3B0747FB"/>
    <w:rsid w:val="3B1D21F5"/>
    <w:rsid w:val="3B1F72F1"/>
    <w:rsid w:val="3B2323EC"/>
    <w:rsid w:val="3B267548"/>
    <w:rsid w:val="3B317563"/>
    <w:rsid w:val="3B412C79"/>
    <w:rsid w:val="3B540269"/>
    <w:rsid w:val="3B59537C"/>
    <w:rsid w:val="3B6124B0"/>
    <w:rsid w:val="3B6E489E"/>
    <w:rsid w:val="3B777BB0"/>
    <w:rsid w:val="3B8A3D59"/>
    <w:rsid w:val="3B994F9D"/>
    <w:rsid w:val="3BBC58A5"/>
    <w:rsid w:val="3BBE375B"/>
    <w:rsid w:val="3BCC367E"/>
    <w:rsid w:val="3BE44548"/>
    <w:rsid w:val="3C1A214C"/>
    <w:rsid w:val="3C1F16D2"/>
    <w:rsid w:val="3C2675CD"/>
    <w:rsid w:val="3C275BED"/>
    <w:rsid w:val="3C3052CB"/>
    <w:rsid w:val="3C3559AD"/>
    <w:rsid w:val="3C3B1665"/>
    <w:rsid w:val="3C3D44FE"/>
    <w:rsid w:val="3C446616"/>
    <w:rsid w:val="3C5B600A"/>
    <w:rsid w:val="3C601112"/>
    <w:rsid w:val="3C6D7EF1"/>
    <w:rsid w:val="3C720330"/>
    <w:rsid w:val="3C8B5758"/>
    <w:rsid w:val="3C91206B"/>
    <w:rsid w:val="3C956BF8"/>
    <w:rsid w:val="3CA75138"/>
    <w:rsid w:val="3CC75ED1"/>
    <w:rsid w:val="3D062FBB"/>
    <w:rsid w:val="3D3E0F6E"/>
    <w:rsid w:val="3D4857DA"/>
    <w:rsid w:val="3D5252F4"/>
    <w:rsid w:val="3D567A46"/>
    <w:rsid w:val="3D5A3C91"/>
    <w:rsid w:val="3D6E10CE"/>
    <w:rsid w:val="3D8546B0"/>
    <w:rsid w:val="3D8C2045"/>
    <w:rsid w:val="3D9E36A0"/>
    <w:rsid w:val="3DA37B38"/>
    <w:rsid w:val="3DBA02C2"/>
    <w:rsid w:val="3DC6669D"/>
    <w:rsid w:val="3DD92957"/>
    <w:rsid w:val="3E220AFD"/>
    <w:rsid w:val="3E254D6E"/>
    <w:rsid w:val="3E287049"/>
    <w:rsid w:val="3E393955"/>
    <w:rsid w:val="3E7744E2"/>
    <w:rsid w:val="3E7B328B"/>
    <w:rsid w:val="3E8A080A"/>
    <w:rsid w:val="3EA954B7"/>
    <w:rsid w:val="3ECD14AF"/>
    <w:rsid w:val="3ED74A7A"/>
    <w:rsid w:val="3EED20BF"/>
    <w:rsid w:val="3EF70005"/>
    <w:rsid w:val="3F080B63"/>
    <w:rsid w:val="3F113710"/>
    <w:rsid w:val="3F1A4AAB"/>
    <w:rsid w:val="3F651FB6"/>
    <w:rsid w:val="3F736D94"/>
    <w:rsid w:val="3F742278"/>
    <w:rsid w:val="3F914527"/>
    <w:rsid w:val="3FA56BA1"/>
    <w:rsid w:val="3FB306F9"/>
    <w:rsid w:val="3FC20254"/>
    <w:rsid w:val="3FC85428"/>
    <w:rsid w:val="3FCC4B72"/>
    <w:rsid w:val="3FD93A52"/>
    <w:rsid w:val="3FE25BD8"/>
    <w:rsid w:val="3FF953AA"/>
    <w:rsid w:val="3FFA2333"/>
    <w:rsid w:val="400927CB"/>
    <w:rsid w:val="40207AF9"/>
    <w:rsid w:val="402977FE"/>
    <w:rsid w:val="404C6691"/>
    <w:rsid w:val="40931078"/>
    <w:rsid w:val="40967658"/>
    <w:rsid w:val="40AD12EB"/>
    <w:rsid w:val="40D21C9F"/>
    <w:rsid w:val="40D86720"/>
    <w:rsid w:val="40E3581B"/>
    <w:rsid w:val="411546AE"/>
    <w:rsid w:val="412E217F"/>
    <w:rsid w:val="41302C5D"/>
    <w:rsid w:val="413C09BF"/>
    <w:rsid w:val="414232DD"/>
    <w:rsid w:val="414D67EA"/>
    <w:rsid w:val="41517B2D"/>
    <w:rsid w:val="4170004F"/>
    <w:rsid w:val="417E0D19"/>
    <w:rsid w:val="418D69D2"/>
    <w:rsid w:val="419C28B5"/>
    <w:rsid w:val="41A044B9"/>
    <w:rsid w:val="41A42A44"/>
    <w:rsid w:val="41B73C3D"/>
    <w:rsid w:val="41C8544B"/>
    <w:rsid w:val="41F53DBC"/>
    <w:rsid w:val="4213363D"/>
    <w:rsid w:val="42145A64"/>
    <w:rsid w:val="421D615A"/>
    <w:rsid w:val="422A0490"/>
    <w:rsid w:val="42421BC4"/>
    <w:rsid w:val="42522642"/>
    <w:rsid w:val="426E1959"/>
    <w:rsid w:val="428020E7"/>
    <w:rsid w:val="428A5952"/>
    <w:rsid w:val="42A075D5"/>
    <w:rsid w:val="42A239AC"/>
    <w:rsid w:val="42B82EAC"/>
    <w:rsid w:val="42C85EA4"/>
    <w:rsid w:val="42D75573"/>
    <w:rsid w:val="42DA48D4"/>
    <w:rsid w:val="430279F1"/>
    <w:rsid w:val="431237D3"/>
    <w:rsid w:val="4325445D"/>
    <w:rsid w:val="43686476"/>
    <w:rsid w:val="436B565E"/>
    <w:rsid w:val="437634D4"/>
    <w:rsid w:val="43936956"/>
    <w:rsid w:val="43A16934"/>
    <w:rsid w:val="43AA6240"/>
    <w:rsid w:val="43B508CF"/>
    <w:rsid w:val="43C45599"/>
    <w:rsid w:val="43D02E89"/>
    <w:rsid w:val="43EA4921"/>
    <w:rsid w:val="43EF0BA9"/>
    <w:rsid w:val="43F55295"/>
    <w:rsid w:val="43F85AE1"/>
    <w:rsid w:val="43F908D5"/>
    <w:rsid w:val="43FB584D"/>
    <w:rsid w:val="441C7484"/>
    <w:rsid w:val="442C2706"/>
    <w:rsid w:val="443062F0"/>
    <w:rsid w:val="44336C48"/>
    <w:rsid w:val="445F61A3"/>
    <w:rsid w:val="446A161F"/>
    <w:rsid w:val="4497472B"/>
    <w:rsid w:val="449817BC"/>
    <w:rsid w:val="44A65752"/>
    <w:rsid w:val="44B47C66"/>
    <w:rsid w:val="44C94256"/>
    <w:rsid w:val="44CA5C9C"/>
    <w:rsid w:val="44E842F1"/>
    <w:rsid w:val="44EA62FB"/>
    <w:rsid w:val="44ED7533"/>
    <w:rsid w:val="455153C4"/>
    <w:rsid w:val="45544E1C"/>
    <w:rsid w:val="4563419A"/>
    <w:rsid w:val="45670630"/>
    <w:rsid w:val="45716F09"/>
    <w:rsid w:val="45820082"/>
    <w:rsid w:val="45B876DB"/>
    <w:rsid w:val="45BC0F48"/>
    <w:rsid w:val="45C927B5"/>
    <w:rsid w:val="45CC09E8"/>
    <w:rsid w:val="45F66658"/>
    <w:rsid w:val="45FE6E7A"/>
    <w:rsid w:val="460D0843"/>
    <w:rsid w:val="4650678A"/>
    <w:rsid w:val="46537F87"/>
    <w:rsid w:val="466859FD"/>
    <w:rsid w:val="46804844"/>
    <w:rsid w:val="46814483"/>
    <w:rsid w:val="46906D3E"/>
    <w:rsid w:val="46BD267A"/>
    <w:rsid w:val="46C4392D"/>
    <w:rsid w:val="46DE2C8C"/>
    <w:rsid w:val="46E62E8A"/>
    <w:rsid w:val="46F52FC5"/>
    <w:rsid w:val="46F569AA"/>
    <w:rsid w:val="470E3F6D"/>
    <w:rsid w:val="471425AF"/>
    <w:rsid w:val="471D733A"/>
    <w:rsid w:val="47240A17"/>
    <w:rsid w:val="473651D4"/>
    <w:rsid w:val="4787318A"/>
    <w:rsid w:val="478B40F0"/>
    <w:rsid w:val="478C0E47"/>
    <w:rsid w:val="479565B1"/>
    <w:rsid w:val="479F2099"/>
    <w:rsid w:val="47AD2E24"/>
    <w:rsid w:val="4814570B"/>
    <w:rsid w:val="48180615"/>
    <w:rsid w:val="48182427"/>
    <w:rsid w:val="482354BE"/>
    <w:rsid w:val="482617A3"/>
    <w:rsid w:val="483F6230"/>
    <w:rsid w:val="48447206"/>
    <w:rsid w:val="484476C0"/>
    <w:rsid w:val="4846785F"/>
    <w:rsid w:val="484A3AA3"/>
    <w:rsid w:val="484C7711"/>
    <w:rsid w:val="486231D8"/>
    <w:rsid w:val="4877379D"/>
    <w:rsid w:val="48924773"/>
    <w:rsid w:val="489D543C"/>
    <w:rsid w:val="48CD7211"/>
    <w:rsid w:val="48DD0505"/>
    <w:rsid w:val="48DD29E6"/>
    <w:rsid w:val="490B6BBE"/>
    <w:rsid w:val="49286AA2"/>
    <w:rsid w:val="492A7450"/>
    <w:rsid w:val="492B7517"/>
    <w:rsid w:val="493B1858"/>
    <w:rsid w:val="49423339"/>
    <w:rsid w:val="494672C5"/>
    <w:rsid w:val="495F2DE4"/>
    <w:rsid w:val="49711E0A"/>
    <w:rsid w:val="497832A2"/>
    <w:rsid w:val="49851E7C"/>
    <w:rsid w:val="498C6390"/>
    <w:rsid w:val="499404A7"/>
    <w:rsid w:val="499E54EB"/>
    <w:rsid w:val="49A96F62"/>
    <w:rsid w:val="49B55336"/>
    <w:rsid w:val="49D639AA"/>
    <w:rsid w:val="49D9225D"/>
    <w:rsid w:val="49FA1718"/>
    <w:rsid w:val="4A0763E4"/>
    <w:rsid w:val="4A177E29"/>
    <w:rsid w:val="4A1B020F"/>
    <w:rsid w:val="4A43642E"/>
    <w:rsid w:val="4A4E5FEB"/>
    <w:rsid w:val="4A5C0FF0"/>
    <w:rsid w:val="4A620A54"/>
    <w:rsid w:val="4A702F2B"/>
    <w:rsid w:val="4A902749"/>
    <w:rsid w:val="4AA00FD2"/>
    <w:rsid w:val="4AC20F7D"/>
    <w:rsid w:val="4ACD2B90"/>
    <w:rsid w:val="4AD96422"/>
    <w:rsid w:val="4ADB30A1"/>
    <w:rsid w:val="4AE6006F"/>
    <w:rsid w:val="4AEC002A"/>
    <w:rsid w:val="4AF52377"/>
    <w:rsid w:val="4B29237B"/>
    <w:rsid w:val="4B2B16A0"/>
    <w:rsid w:val="4B3D046D"/>
    <w:rsid w:val="4B3F3070"/>
    <w:rsid w:val="4B491417"/>
    <w:rsid w:val="4B524375"/>
    <w:rsid w:val="4B6458AB"/>
    <w:rsid w:val="4B6C754A"/>
    <w:rsid w:val="4B700EFE"/>
    <w:rsid w:val="4B792774"/>
    <w:rsid w:val="4B90006B"/>
    <w:rsid w:val="4B922864"/>
    <w:rsid w:val="4BA7741B"/>
    <w:rsid w:val="4BB223ED"/>
    <w:rsid w:val="4BB555FA"/>
    <w:rsid w:val="4BEE4A49"/>
    <w:rsid w:val="4C090F58"/>
    <w:rsid w:val="4C2841CA"/>
    <w:rsid w:val="4C302713"/>
    <w:rsid w:val="4C370B02"/>
    <w:rsid w:val="4C391C1B"/>
    <w:rsid w:val="4C525B40"/>
    <w:rsid w:val="4C774AF0"/>
    <w:rsid w:val="4C8C2990"/>
    <w:rsid w:val="4CAA7F22"/>
    <w:rsid w:val="4CBA54E2"/>
    <w:rsid w:val="4CC06044"/>
    <w:rsid w:val="4CCD51D5"/>
    <w:rsid w:val="4D0955E0"/>
    <w:rsid w:val="4D155109"/>
    <w:rsid w:val="4D294D3E"/>
    <w:rsid w:val="4D4205F9"/>
    <w:rsid w:val="4D4763C9"/>
    <w:rsid w:val="4D4B0F75"/>
    <w:rsid w:val="4D994499"/>
    <w:rsid w:val="4DA35103"/>
    <w:rsid w:val="4DC17153"/>
    <w:rsid w:val="4DC63CE9"/>
    <w:rsid w:val="4DCF2221"/>
    <w:rsid w:val="4DE66FB2"/>
    <w:rsid w:val="4DEC5CC4"/>
    <w:rsid w:val="4DF70A71"/>
    <w:rsid w:val="4E1F3BD6"/>
    <w:rsid w:val="4E25467E"/>
    <w:rsid w:val="4E31543F"/>
    <w:rsid w:val="4E3C7656"/>
    <w:rsid w:val="4E41707E"/>
    <w:rsid w:val="4E463559"/>
    <w:rsid w:val="4E5E365F"/>
    <w:rsid w:val="4E750B97"/>
    <w:rsid w:val="4E7F4F7B"/>
    <w:rsid w:val="4E9F25EB"/>
    <w:rsid w:val="4EBA3C30"/>
    <w:rsid w:val="4EC448B7"/>
    <w:rsid w:val="4ECD60AD"/>
    <w:rsid w:val="4F0A170B"/>
    <w:rsid w:val="4F362B9E"/>
    <w:rsid w:val="4F3F7463"/>
    <w:rsid w:val="4F403BE0"/>
    <w:rsid w:val="4F495F22"/>
    <w:rsid w:val="4F563999"/>
    <w:rsid w:val="4F701FC0"/>
    <w:rsid w:val="4F761B22"/>
    <w:rsid w:val="4F813AAC"/>
    <w:rsid w:val="4F904D9A"/>
    <w:rsid w:val="4F9862AC"/>
    <w:rsid w:val="4FA33D51"/>
    <w:rsid w:val="4FA93E74"/>
    <w:rsid w:val="4FB12CD8"/>
    <w:rsid w:val="4FBA31CA"/>
    <w:rsid w:val="4FBC0DBA"/>
    <w:rsid w:val="4FBE3648"/>
    <w:rsid w:val="4FD96FB7"/>
    <w:rsid w:val="4FDC159C"/>
    <w:rsid w:val="4FFF62C6"/>
    <w:rsid w:val="500636FB"/>
    <w:rsid w:val="500A342C"/>
    <w:rsid w:val="50242190"/>
    <w:rsid w:val="50395FA0"/>
    <w:rsid w:val="505A6BC2"/>
    <w:rsid w:val="50902B77"/>
    <w:rsid w:val="50913525"/>
    <w:rsid w:val="50A078EC"/>
    <w:rsid w:val="50A47812"/>
    <w:rsid w:val="50AB7ED3"/>
    <w:rsid w:val="50B3110D"/>
    <w:rsid w:val="50B72ACE"/>
    <w:rsid w:val="50C61C73"/>
    <w:rsid w:val="50DA2A30"/>
    <w:rsid w:val="50FD1D6A"/>
    <w:rsid w:val="50FE57A9"/>
    <w:rsid w:val="51435C59"/>
    <w:rsid w:val="514F30C0"/>
    <w:rsid w:val="519D51A6"/>
    <w:rsid w:val="519F5663"/>
    <w:rsid w:val="51B366B5"/>
    <w:rsid w:val="51C1710B"/>
    <w:rsid w:val="51D07EA4"/>
    <w:rsid w:val="51EA437C"/>
    <w:rsid w:val="51F14AA4"/>
    <w:rsid w:val="520806BD"/>
    <w:rsid w:val="522E24E8"/>
    <w:rsid w:val="523E0049"/>
    <w:rsid w:val="5242166E"/>
    <w:rsid w:val="524E350F"/>
    <w:rsid w:val="52557351"/>
    <w:rsid w:val="52605431"/>
    <w:rsid w:val="52800DF4"/>
    <w:rsid w:val="52875D10"/>
    <w:rsid w:val="52A50B3C"/>
    <w:rsid w:val="52A82D0E"/>
    <w:rsid w:val="52AC1D41"/>
    <w:rsid w:val="52B17716"/>
    <w:rsid w:val="52CB153A"/>
    <w:rsid w:val="52D26885"/>
    <w:rsid w:val="52F04CC5"/>
    <w:rsid w:val="533F0464"/>
    <w:rsid w:val="534913C3"/>
    <w:rsid w:val="53727993"/>
    <w:rsid w:val="53AE0572"/>
    <w:rsid w:val="53D15786"/>
    <w:rsid w:val="53D75988"/>
    <w:rsid w:val="53E85A9F"/>
    <w:rsid w:val="54034791"/>
    <w:rsid w:val="54231FA3"/>
    <w:rsid w:val="54260EC2"/>
    <w:rsid w:val="54303DB7"/>
    <w:rsid w:val="543A6673"/>
    <w:rsid w:val="54431858"/>
    <w:rsid w:val="54433B8D"/>
    <w:rsid w:val="544A330D"/>
    <w:rsid w:val="54522C0A"/>
    <w:rsid w:val="546C78D6"/>
    <w:rsid w:val="547A7ACB"/>
    <w:rsid w:val="54A0258D"/>
    <w:rsid w:val="54A31BC6"/>
    <w:rsid w:val="54A3774A"/>
    <w:rsid w:val="54B94751"/>
    <w:rsid w:val="54F52ADA"/>
    <w:rsid w:val="54FD25E1"/>
    <w:rsid w:val="554961DB"/>
    <w:rsid w:val="55562C6F"/>
    <w:rsid w:val="55670D59"/>
    <w:rsid w:val="55802B99"/>
    <w:rsid w:val="55845DB9"/>
    <w:rsid w:val="5586557F"/>
    <w:rsid w:val="55CA05CD"/>
    <w:rsid w:val="55CD750A"/>
    <w:rsid w:val="55D60121"/>
    <w:rsid w:val="55DE4B29"/>
    <w:rsid w:val="56404489"/>
    <w:rsid w:val="56551179"/>
    <w:rsid w:val="565E70F3"/>
    <w:rsid w:val="56780CBC"/>
    <w:rsid w:val="56833A16"/>
    <w:rsid w:val="56967967"/>
    <w:rsid w:val="56AB61AF"/>
    <w:rsid w:val="56B25003"/>
    <w:rsid w:val="56C01608"/>
    <w:rsid w:val="56C716AB"/>
    <w:rsid w:val="56DF5074"/>
    <w:rsid w:val="56ED27ED"/>
    <w:rsid w:val="570F0AD4"/>
    <w:rsid w:val="5716477B"/>
    <w:rsid w:val="572600DC"/>
    <w:rsid w:val="57272B72"/>
    <w:rsid w:val="572747C8"/>
    <w:rsid w:val="572E33A8"/>
    <w:rsid w:val="572E5501"/>
    <w:rsid w:val="57311F53"/>
    <w:rsid w:val="57363BE5"/>
    <w:rsid w:val="57374423"/>
    <w:rsid w:val="573A1129"/>
    <w:rsid w:val="573B080F"/>
    <w:rsid w:val="57513842"/>
    <w:rsid w:val="57591215"/>
    <w:rsid w:val="57671583"/>
    <w:rsid w:val="57803FED"/>
    <w:rsid w:val="5781472A"/>
    <w:rsid w:val="57BC1404"/>
    <w:rsid w:val="57EC2B5F"/>
    <w:rsid w:val="57F209C6"/>
    <w:rsid w:val="583049DD"/>
    <w:rsid w:val="583E2142"/>
    <w:rsid w:val="58462A3C"/>
    <w:rsid w:val="5856656E"/>
    <w:rsid w:val="586A5A6E"/>
    <w:rsid w:val="587E1725"/>
    <w:rsid w:val="58841AF6"/>
    <w:rsid w:val="58AE1A08"/>
    <w:rsid w:val="58C82205"/>
    <w:rsid w:val="58DF297B"/>
    <w:rsid w:val="58E142A2"/>
    <w:rsid w:val="58E14F84"/>
    <w:rsid w:val="58EB1DD3"/>
    <w:rsid w:val="58F25754"/>
    <w:rsid w:val="58F25EB2"/>
    <w:rsid w:val="58F41BC7"/>
    <w:rsid w:val="5909588E"/>
    <w:rsid w:val="59176FA8"/>
    <w:rsid w:val="59311929"/>
    <w:rsid w:val="593C7DD5"/>
    <w:rsid w:val="593F4915"/>
    <w:rsid w:val="594B128F"/>
    <w:rsid w:val="596A2F2D"/>
    <w:rsid w:val="599F6673"/>
    <w:rsid w:val="59A92790"/>
    <w:rsid w:val="59A95CB0"/>
    <w:rsid w:val="59DB6E0B"/>
    <w:rsid w:val="59F315E2"/>
    <w:rsid w:val="59F70AB4"/>
    <w:rsid w:val="59FE6E8A"/>
    <w:rsid w:val="5A024C6A"/>
    <w:rsid w:val="5A267BEA"/>
    <w:rsid w:val="5A5E5663"/>
    <w:rsid w:val="5A6E10D0"/>
    <w:rsid w:val="5A802998"/>
    <w:rsid w:val="5A990100"/>
    <w:rsid w:val="5AB34EDF"/>
    <w:rsid w:val="5AB37ACF"/>
    <w:rsid w:val="5B1C10F6"/>
    <w:rsid w:val="5B1F2396"/>
    <w:rsid w:val="5B282AE1"/>
    <w:rsid w:val="5B2F074D"/>
    <w:rsid w:val="5B365C93"/>
    <w:rsid w:val="5B564CB8"/>
    <w:rsid w:val="5B565C6A"/>
    <w:rsid w:val="5B6345C4"/>
    <w:rsid w:val="5B694969"/>
    <w:rsid w:val="5B760B02"/>
    <w:rsid w:val="5B852AF2"/>
    <w:rsid w:val="5B962799"/>
    <w:rsid w:val="5B9D46AE"/>
    <w:rsid w:val="5B9F289F"/>
    <w:rsid w:val="5BA135F4"/>
    <w:rsid w:val="5BA650E9"/>
    <w:rsid w:val="5BB24252"/>
    <w:rsid w:val="5BC17FFF"/>
    <w:rsid w:val="5BD867C7"/>
    <w:rsid w:val="5C0A7448"/>
    <w:rsid w:val="5C13781A"/>
    <w:rsid w:val="5C417C90"/>
    <w:rsid w:val="5C690F7A"/>
    <w:rsid w:val="5C74712D"/>
    <w:rsid w:val="5C774085"/>
    <w:rsid w:val="5C81790A"/>
    <w:rsid w:val="5C912A62"/>
    <w:rsid w:val="5C9A78C6"/>
    <w:rsid w:val="5CE26051"/>
    <w:rsid w:val="5D0433A7"/>
    <w:rsid w:val="5D097FDA"/>
    <w:rsid w:val="5D2D78D4"/>
    <w:rsid w:val="5D5078D2"/>
    <w:rsid w:val="5D69465F"/>
    <w:rsid w:val="5D6A32A6"/>
    <w:rsid w:val="5D787612"/>
    <w:rsid w:val="5D846AB7"/>
    <w:rsid w:val="5D987769"/>
    <w:rsid w:val="5D990BA1"/>
    <w:rsid w:val="5DD8243E"/>
    <w:rsid w:val="5DDC256A"/>
    <w:rsid w:val="5DF11774"/>
    <w:rsid w:val="5E0C6097"/>
    <w:rsid w:val="5E215240"/>
    <w:rsid w:val="5E3F1023"/>
    <w:rsid w:val="5E532DB9"/>
    <w:rsid w:val="5E5F1A91"/>
    <w:rsid w:val="5E603E2D"/>
    <w:rsid w:val="5E610551"/>
    <w:rsid w:val="5E6F4495"/>
    <w:rsid w:val="5E865ED7"/>
    <w:rsid w:val="5E8B3797"/>
    <w:rsid w:val="5E9B3F2C"/>
    <w:rsid w:val="5EA52A3E"/>
    <w:rsid w:val="5EAD2E70"/>
    <w:rsid w:val="5EB240C6"/>
    <w:rsid w:val="5EBB253D"/>
    <w:rsid w:val="5EBB30E1"/>
    <w:rsid w:val="5EC23D29"/>
    <w:rsid w:val="5EE31C71"/>
    <w:rsid w:val="5EEB540B"/>
    <w:rsid w:val="5F021163"/>
    <w:rsid w:val="5F1B16B2"/>
    <w:rsid w:val="5F5244A8"/>
    <w:rsid w:val="5F580F23"/>
    <w:rsid w:val="5F5A5079"/>
    <w:rsid w:val="5F6A5203"/>
    <w:rsid w:val="5F6A7AE4"/>
    <w:rsid w:val="5F7C28A3"/>
    <w:rsid w:val="5F9153D7"/>
    <w:rsid w:val="5FA05683"/>
    <w:rsid w:val="5FA858AE"/>
    <w:rsid w:val="5FB72A38"/>
    <w:rsid w:val="5FBA722C"/>
    <w:rsid w:val="5FCB72C4"/>
    <w:rsid w:val="5FEB7354"/>
    <w:rsid w:val="5FF51AF7"/>
    <w:rsid w:val="602120CC"/>
    <w:rsid w:val="60353358"/>
    <w:rsid w:val="606759A5"/>
    <w:rsid w:val="606C7176"/>
    <w:rsid w:val="60704B6C"/>
    <w:rsid w:val="60735710"/>
    <w:rsid w:val="607F1367"/>
    <w:rsid w:val="608F3BE5"/>
    <w:rsid w:val="60AF28D2"/>
    <w:rsid w:val="60E82759"/>
    <w:rsid w:val="61205CC1"/>
    <w:rsid w:val="6128702F"/>
    <w:rsid w:val="612C63A0"/>
    <w:rsid w:val="6143028B"/>
    <w:rsid w:val="614C5C14"/>
    <w:rsid w:val="61692875"/>
    <w:rsid w:val="61840F78"/>
    <w:rsid w:val="618B0B87"/>
    <w:rsid w:val="618B7596"/>
    <w:rsid w:val="61943858"/>
    <w:rsid w:val="619A2588"/>
    <w:rsid w:val="619B058F"/>
    <w:rsid w:val="619D35CF"/>
    <w:rsid w:val="61A407C5"/>
    <w:rsid w:val="61B720F4"/>
    <w:rsid w:val="61BF1FFF"/>
    <w:rsid w:val="61ED23D5"/>
    <w:rsid w:val="61F26F42"/>
    <w:rsid w:val="61F91C17"/>
    <w:rsid w:val="62082A2F"/>
    <w:rsid w:val="62200932"/>
    <w:rsid w:val="6224450C"/>
    <w:rsid w:val="62434EDC"/>
    <w:rsid w:val="62446DF1"/>
    <w:rsid w:val="626D60B9"/>
    <w:rsid w:val="62775293"/>
    <w:rsid w:val="629E4022"/>
    <w:rsid w:val="62B54F29"/>
    <w:rsid w:val="62B641CE"/>
    <w:rsid w:val="62BE6A24"/>
    <w:rsid w:val="62D81168"/>
    <w:rsid w:val="62E65394"/>
    <w:rsid w:val="62F82FE1"/>
    <w:rsid w:val="63185F69"/>
    <w:rsid w:val="6338336D"/>
    <w:rsid w:val="634B4E44"/>
    <w:rsid w:val="634B7199"/>
    <w:rsid w:val="6364191F"/>
    <w:rsid w:val="6365229E"/>
    <w:rsid w:val="637B6F38"/>
    <w:rsid w:val="639707E6"/>
    <w:rsid w:val="63A31EB4"/>
    <w:rsid w:val="63B94F18"/>
    <w:rsid w:val="63BB3118"/>
    <w:rsid w:val="63CE7C55"/>
    <w:rsid w:val="63D06BB7"/>
    <w:rsid w:val="63E36FF2"/>
    <w:rsid w:val="63F91396"/>
    <w:rsid w:val="64066B40"/>
    <w:rsid w:val="644F29EE"/>
    <w:rsid w:val="64581B32"/>
    <w:rsid w:val="64683238"/>
    <w:rsid w:val="646F7AB3"/>
    <w:rsid w:val="648026AB"/>
    <w:rsid w:val="649F3E0A"/>
    <w:rsid w:val="64A506EC"/>
    <w:rsid w:val="64AD7A97"/>
    <w:rsid w:val="64AF0990"/>
    <w:rsid w:val="64B4348D"/>
    <w:rsid w:val="64D27B8D"/>
    <w:rsid w:val="64D527E8"/>
    <w:rsid w:val="64D92DBE"/>
    <w:rsid w:val="64E32F3F"/>
    <w:rsid w:val="64F0143E"/>
    <w:rsid w:val="6507187C"/>
    <w:rsid w:val="653F5E6C"/>
    <w:rsid w:val="65676008"/>
    <w:rsid w:val="65773727"/>
    <w:rsid w:val="657B43D4"/>
    <w:rsid w:val="65997273"/>
    <w:rsid w:val="65B85461"/>
    <w:rsid w:val="65BA6CAF"/>
    <w:rsid w:val="65C97926"/>
    <w:rsid w:val="65CC1055"/>
    <w:rsid w:val="65CC77A6"/>
    <w:rsid w:val="65CF78B0"/>
    <w:rsid w:val="65D200F0"/>
    <w:rsid w:val="65D86766"/>
    <w:rsid w:val="65E94D0A"/>
    <w:rsid w:val="65F633BF"/>
    <w:rsid w:val="65F83B3B"/>
    <w:rsid w:val="66047635"/>
    <w:rsid w:val="660F2EC6"/>
    <w:rsid w:val="66300575"/>
    <w:rsid w:val="663536E9"/>
    <w:rsid w:val="663B18D7"/>
    <w:rsid w:val="664A0F9D"/>
    <w:rsid w:val="665B77F3"/>
    <w:rsid w:val="666E6F40"/>
    <w:rsid w:val="66814ECE"/>
    <w:rsid w:val="66947844"/>
    <w:rsid w:val="669716F7"/>
    <w:rsid w:val="66A64819"/>
    <w:rsid w:val="66AF2330"/>
    <w:rsid w:val="66C27D00"/>
    <w:rsid w:val="66EC7D68"/>
    <w:rsid w:val="66F40766"/>
    <w:rsid w:val="66FC1377"/>
    <w:rsid w:val="66FE38F4"/>
    <w:rsid w:val="672459EB"/>
    <w:rsid w:val="672D6F5B"/>
    <w:rsid w:val="673A0D3B"/>
    <w:rsid w:val="673A7C6C"/>
    <w:rsid w:val="673B5233"/>
    <w:rsid w:val="6747733F"/>
    <w:rsid w:val="674C4184"/>
    <w:rsid w:val="678B75EF"/>
    <w:rsid w:val="67A7705F"/>
    <w:rsid w:val="67AF6B0F"/>
    <w:rsid w:val="67C22F25"/>
    <w:rsid w:val="67C93395"/>
    <w:rsid w:val="67E175A1"/>
    <w:rsid w:val="67E65243"/>
    <w:rsid w:val="67ED6EEB"/>
    <w:rsid w:val="67F15E56"/>
    <w:rsid w:val="67F22154"/>
    <w:rsid w:val="68062501"/>
    <w:rsid w:val="68155B5B"/>
    <w:rsid w:val="68207F5F"/>
    <w:rsid w:val="682E0A98"/>
    <w:rsid w:val="684D30E6"/>
    <w:rsid w:val="685C5285"/>
    <w:rsid w:val="68646F22"/>
    <w:rsid w:val="688344C7"/>
    <w:rsid w:val="6886329D"/>
    <w:rsid w:val="689F6D79"/>
    <w:rsid w:val="68A4766D"/>
    <w:rsid w:val="68A711FD"/>
    <w:rsid w:val="68AD08CA"/>
    <w:rsid w:val="68CA2DFA"/>
    <w:rsid w:val="68D1428C"/>
    <w:rsid w:val="6900126F"/>
    <w:rsid w:val="690F6293"/>
    <w:rsid w:val="691909FD"/>
    <w:rsid w:val="692D5F2E"/>
    <w:rsid w:val="692E2FE5"/>
    <w:rsid w:val="69317FF0"/>
    <w:rsid w:val="69466635"/>
    <w:rsid w:val="695D1F03"/>
    <w:rsid w:val="696504D2"/>
    <w:rsid w:val="69943848"/>
    <w:rsid w:val="699B4CA3"/>
    <w:rsid w:val="69AE5124"/>
    <w:rsid w:val="69C92D08"/>
    <w:rsid w:val="69F803FB"/>
    <w:rsid w:val="6A0F1075"/>
    <w:rsid w:val="6A1E690D"/>
    <w:rsid w:val="6A2922A9"/>
    <w:rsid w:val="6A3B5ECC"/>
    <w:rsid w:val="6A3D79AE"/>
    <w:rsid w:val="6A5D2CE4"/>
    <w:rsid w:val="6A6560C6"/>
    <w:rsid w:val="6A695165"/>
    <w:rsid w:val="6A782301"/>
    <w:rsid w:val="6A793123"/>
    <w:rsid w:val="6A7A7AEF"/>
    <w:rsid w:val="6A846FA2"/>
    <w:rsid w:val="6AA560D1"/>
    <w:rsid w:val="6AAF2BA9"/>
    <w:rsid w:val="6AB00E44"/>
    <w:rsid w:val="6AB50BA6"/>
    <w:rsid w:val="6AB87CA2"/>
    <w:rsid w:val="6ABF0F28"/>
    <w:rsid w:val="6AF175F5"/>
    <w:rsid w:val="6B1160EA"/>
    <w:rsid w:val="6B2267B2"/>
    <w:rsid w:val="6B244B72"/>
    <w:rsid w:val="6B2D4BAA"/>
    <w:rsid w:val="6B3453A9"/>
    <w:rsid w:val="6B4A3DE5"/>
    <w:rsid w:val="6B502C52"/>
    <w:rsid w:val="6B526A2B"/>
    <w:rsid w:val="6B585D87"/>
    <w:rsid w:val="6B6A4531"/>
    <w:rsid w:val="6B731AA8"/>
    <w:rsid w:val="6B7D2AE4"/>
    <w:rsid w:val="6BA260BD"/>
    <w:rsid w:val="6BAB7270"/>
    <w:rsid w:val="6BB10498"/>
    <w:rsid w:val="6BDB169E"/>
    <w:rsid w:val="6BDD64E7"/>
    <w:rsid w:val="6BE50141"/>
    <w:rsid w:val="6BFD7CC2"/>
    <w:rsid w:val="6C0E780C"/>
    <w:rsid w:val="6C1455AD"/>
    <w:rsid w:val="6C202FFF"/>
    <w:rsid w:val="6C2131DC"/>
    <w:rsid w:val="6C2A678A"/>
    <w:rsid w:val="6C382A9F"/>
    <w:rsid w:val="6C52345D"/>
    <w:rsid w:val="6C5839F1"/>
    <w:rsid w:val="6C6A7A21"/>
    <w:rsid w:val="6C9309D2"/>
    <w:rsid w:val="6CA128B4"/>
    <w:rsid w:val="6CA90AF6"/>
    <w:rsid w:val="6CAF54B1"/>
    <w:rsid w:val="6CB1291D"/>
    <w:rsid w:val="6CB41A04"/>
    <w:rsid w:val="6CC854E3"/>
    <w:rsid w:val="6CD87BED"/>
    <w:rsid w:val="6CED4A0E"/>
    <w:rsid w:val="6D011B72"/>
    <w:rsid w:val="6D164616"/>
    <w:rsid w:val="6D242707"/>
    <w:rsid w:val="6D263DF1"/>
    <w:rsid w:val="6D487742"/>
    <w:rsid w:val="6D6F29A6"/>
    <w:rsid w:val="6D9640F9"/>
    <w:rsid w:val="6DA01B83"/>
    <w:rsid w:val="6DC30AF7"/>
    <w:rsid w:val="6DC422E0"/>
    <w:rsid w:val="6DD65337"/>
    <w:rsid w:val="6DDA3872"/>
    <w:rsid w:val="6DDD7E1A"/>
    <w:rsid w:val="6DE05AAF"/>
    <w:rsid w:val="6E153ED3"/>
    <w:rsid w:val="6E2A6565"/>
    <w:rsid w:val="6E3E315A"/>
    <w:rsid w:val="6E3E38C7"/>
    <w:rsid w:val="6E6475E7"/>
    <w:rsid w:val="6E717867"/>
    <w:rsid w:val="6E7F2754"/>
    <w:rsid w:val="6E801957"/>
    <w:rsid w:val="6E9746C1"/>
    <w:rsid w:val="6E9D5A4D"/>
    <w:rsid w:val="6EC61E3C"/>
    <w:rsid w:val="6EC826AA"/>
    <w:rsid w:val="6EFE7E21"/>
    <w:rsid w:val="6F223007"/>
    <w:rsid w:val="6F3E7621"/>
    <w:rsid w:val="6F667AFB"/>
    <w:rsid w:val="6F6C7EFA"/>
    <w:rsid w:val="6F757BE0"/>
    <w:rsid w:val="6F9857AB"/>
    <w:rsid w:val="6F9C366C"/>
    <w:rsid w:val="6FD33CDB"/>
    <w:rsid w:val="6FE645E6"/>
    <w:rsid w:val="6FFA27AE"/>
    <w:rsid w:val="7007414B"/>
    <w:rsid w:val="702036F6"/>
    <w:rsid w:val="702166AA"/>
    <w:rsid w:val="70392228"/>
    <w:rsid w:val="70483BD1"/>
    <w:rsid w:val="705B05DF"/>
    <w:rsid w:val="70745923"/>
    <w:rsid w:val="707E058E"/>
    <w:rsid w:val="707F5E9F"/>
    <w:rsid w:val="708C2B1F"/>
    <w:rsid w:val="708D1DCC"/>
    <w:rsid w:val="70906793"/>
    <w:rsid w:val="70913862"/>
    <w:rsid w:val="70B83BBD"/>
    <w:rsid w:val="70C87938"/>
    <w:rsid w:val="70EC11CE"/>
    <w:rsid w:val="70F8730C"/>
    <w:rsid w:val="712E135F"/>
    <w:rsid w:val="71575147"/>
    <w:rsid w:val="71620540"/>
    <w:rsid w:val="7163552A"/>
    <w:rsid w:val="716D4AB8"/>
    <w:rsid w:val="71721FB0"/>
    <w:rsid w:val="717E15D6"/>
    <w:rsid w:val="71895FE3"/>
    <w:rsid w:val="71BA56D5"/>
    <w:rsid w:val="71BA6C85"/>
    <w:rsid w:val="71CD1778"/>
    <w:rsid w:val="71D26A5A"/>
    <w:rsid w:val="71E509E7"/>
    <w:rsid w:val="71E61F91"/>
    <w:rsid w:val="7205669E"/>
    <w:rsid w:val="7212600E"/>
    <w:rsid w:val="72134ED5"/>
    <w:rsid w:val="722713CF"/>
    <w:rsid w:val="72317640"/>
    <w:rsid w:val="725C0EDC"/>
    <w:rsid w:val="725E11F3"/>
    <w:rsid w:val="72691556"/>
    <w:rsid w:val="72736DF1"/>
    <w:rsid w:val="72AE55C4"/>
    <w:rsid w:val="72B800A3"/>
    <w:rsid w:val="72D5137C"/>
    <w:rsid w:val="72DF1F4A"/>
    <w:rsid w:val="72E15A3F"/>
    <w:rsid w:val="73117380"/>
    <w:rsid w:val="731E4AA1"/>
    <w:rsid w:val="73283D62"/>
    <w:rsid w:val="73365DF0"/>
    <w:rsid w:val="733C293E"/>
    <w:rsid w:val="73472666"/>
    <w:rsid w:val="735B7CEA"/>
    <w:rsid w:val="736B5758"/>
    <w:rsid w:val="736D415E"/>
    <w:rsid w:val="73762E31"/>
    <w:rsid w:val="73C628F7"/>
    <w:rsid w:val="73D12FBE"/>
    <w:rsid w:val="73D472AE"/>
    <w:rsid w:val="73D7017A"/>
    <w:rsid w:val="73DB7DB7"/>
    <w:rsid w:val="73F47856"/>
    <w:rsid w:val="73F478A3"/>
    <w:rsid w:val="73F66304"/>
    <w:rsid w:val="73FF6571"/>
    <w:rsid w:val="74054C42"/>
    <w:rsid w:val="741905BA"/>
    <w:rsid w:val="7437114C"/>
    <w:rsid w:val="745777ED"/>
    <w:rsid w:val="74697AF9"/>
    <w:rsid w:val="747C72A9"/>
    <w:rsid w:val="748518A1"/>
    <w:rsid w:val="74874717"/>
    <w:rsid w:val="748D5E7E"/>
    <w:rsid w:val="748E00AD"/>
    <w:rsid w:val="74975458"/>
    <w:rsid w:val="74DA6BCA"/>
    <w:rsid w:val="74EE5612"/>
    <w:rsid w:val="74F31AC8"/>
    <w:rsid w:val="75374B5D"/>
    <w:rsid w:val="75403DD6"/>
    <w:rsid w:val="754123CA"/>
    <w:rsid w:val="757337FB"/>
    <w:rsid w:val="75AA2392"/>
    <w:rsid w:val="75AD2C91"/>
    <w:rsid w:val="75B00EF5"/>
    <w:rsid w:val="75B464FF"/>
    <w:rsid w:val="75FB430F"/>
    <w:rsid w:val="7617028A"/>
    <w:rsid w:val="76433D89"/>
    <w:rsid w:val="764428BF"/>
    <w:rsid w:val="76671E92"/>
    <w:rsid w:val="769E27B1"/>
    <w:rsid w:val="76A45896"/>
    <w:rsid w:val="76B37FBB"/>
    <w:rsid w:val="76BB66C2"/>
    <w:rsid w:val="76EB546E"/>
    <w:rsid w:val="76F0501E"/>
    <w:rsid w:val="77106C57"/>
    <w:rsid w:val="771E3648"/>
    <w:rsid w:val="7734341B"/>
    <w:rsid w:val="77403A15"/>
    <w:rsid w:val="77421578"/>
    <w:rsid w:val="77666B29"/>
    <w:rsid w:val="7799094A"/>
    <w:rsid w:val="77AB7E89"/>
    <w:rsid w:val="77B32AAB"/>
    <w:rsid w:val="77BE7767"/>
    <w:rsid w:val="77C73C29"/>
    <w:rsid w:val="77CA6D8B"/>
    <w:rsid w:val="77D960E5"/>
    <w:rsid w:val="77DA184E"/>
    <w:rsid w:val="77DB409E"/>
    <w:rsid w:val="77E03771"/>
    <w:rsid w:val="77FD2FA6"/>
    <w:rsid w:val="78092727"/>
    <w:rsid w:val="780D7482"/>
    <w:rsid w:val="781A4188"/>
    <w:rsid w:val="782F4B28"/>
    <w:rsid w:val="784629E5"/>
    <w:rsid w:val="784F5FBB"/>
    <w:rsid w:val="785054BD"/>
    <w:rsid w:val="78597E08"/>
    <w:rsid w:val="786D7880"/>
    <w:rsid w:val="78864A05"/>
    <w:rsid w:val="78A233CB"/>
    <w:rsid w:val="78AB1BCD"/>
    <w:rsid w:val="78AC47D1"/>
    <w:rsid w:val="78BF3A6A"/>
    <w:rsid w:val="78C64BB0"/>
    <w:rsid w:val="78E5688F"/>
    <w:rsid w:val="78E6418C"/>
    <w:rsid w:val="78E95AD1"/>
    <w:rsid w:val="78F1702B"/>
    <w:rsid w:val="78F56FFE"/>
    <w:rsid w:val="790A439B"/>
    <w:rsid w:val="7920629F"/>
    <w:rsid w:val="792D66E0"/>
    <w:rsid w:val="79334536"/>
    <w:rsid w:val="797701F7"/>
    <w:rsid w:val="79824B61"/>
    <w:rsid w:val="7984176E"/>
    <w:rsid w:val="798425F7"/>
    <w:rsid w:val="79886DF4"/>
    <w:rsid w:val="79A4029F"/>
    <w:rsid w:val="79AD7CED"/>
    <w:rsid w:val="79C26BF9"/>
    <w:rsid w:val="79EE1516"/>
    <w:rsid w:val="7A1E4836"/>
    <w:rsid w:val="7A282272"/>
    <w:rsid w:val="7A5A424D"/>
    <w:rsid w:val="7A661E96"/>
    <w:rsid w:val="7A7352A1"/>
    <w:rsid w:val="7A8F43AA"/>
    <w:rsid w:val="7AC50B37"/>
    <w:rsid w:val="7AC553E7"/>
    <w:rsid w:val="7AD943C1"/>
    <w:rsid w:val="7AE55C4D"/>
    <w:rsid w:val="7AF05102"/>
    <w:rsid w:val="7AF2550C"/>
    <w:rsid w:val="7B0302E3"/>
    <w:rsid w:val="7B1055EB"/>
    <w:rsid w:val="7B2C77BB"/>
    <w:rsid w:val="7B327DED"/>
    <w:rsid w:val="7B335600"/>
    <w:rsid w:val="7B4221F9"/>
    <w:rsid w:val="7B500227"/>
    <w:rsid w:val="7B5E63EC"/>
    <w:rsid w:val="7B7E30C3"/>
    <w:rsid w:val="7B860404"/>
    <w:rsid w:val="7B8A3D1E"/>
    <w:rsid w:val="7B9F70DA"/>
    <w:rsid w:val="7BA2591F"/>
    <w:rsid w:val="7BA54219"/>
    <w:rsid w:val="7BB95978"/>
    <w:rsid w:val="7BDB7086"/>
    <w:rsid w:val="7BDD5587"/>
    <w:rsid w:val="7BED3793"/>
    <w:rsid w:val="7BEE1753"/>
    <w:rsid w:val="7C0038FA"/>
    <w:rsid w:val="7C0067CB"/>
    <w:rsid w:val="7C030FA4"/>
    <w:rsid w:val="7C147A44"/>
    <w:rsid w:val="7C1716A9"/>
    <w:rsid w:val="7C2433FB"/>
    <w:rsid w:val="7C2D44BB"/>
    <w:rsid w:val="7C61158D"/>
    <w:rsid w:val="7C6800E7"/>
    <w:rsid w:val="7C86125B"/>
    <w:rsid w:val="7C870210"/>
    <w:rsid w:val="7C965B05"/>
    <w:rsid w:val="7C9B2AC4"/>
    <w:rsid w:val="7CA92545"/>
    <w:rsid w:val="7CC43C6E"/>
    <w:rsid w:val="7CD3320B"/>
    <w:rsid w:val="7CE42818"/>
    <w:rsid w:val="7D18748C"/>
    <w:rsid w:val="7D2160EB"/>
    <w:rsid w:val="7D2D742B"/>
    <w:rsid w:val="7D5A5C00"/>
    <w:rsid w:val="7D6560E6"/>
    <w:rsid w:val="7D844FEB"/>
    <w:rsid w:val="7D845E4E"/>
    <w:rsid w:val="7DA56A3E"/>
    <w:rsid w:val="7DB6681A"/>
    <w:rsid w:val="7DBE023E"/>
    <w:rsid w:val="7DC02D00"/>
    <w:rsid w:val="7DD91074"/>
    <w:rsid w:val="7DEB0215"/>
    <w:rsid w:val="7E0C0F0B"/>
    <w:rsid w:val="7E1D4F1F"/>
    <w:rsid w:val="7E294CF4"/>
    <w:rsid w:val="7E3514D0"/>
    <w:rsid w:val="7E356BEA"/>
    <w:rsid w:val="7E687B07"/>
    <w:rsid w:val="7E8E046B"/>
    <w:rsid w:val="7E8F39E1"/>
    <w:rsid w:val="7EB515D0"/>
    <w:rsid w:val="7EBA6623"/>
    <w:rsid w:val="7EBD5CCD"/>
    <w:rsid w:val="7EBE6A65"/>
    <w:rsid w:val="7EE5790A"/>
    <w:rsid w:val="7F01433E"/>
    <w:rsid w:val="7F08561A"/>
    <w:rsid w:val="7F0B2F20"/>
    <w:rsid w:val="7F4E6622"/>
    <w:rsid w:val="7F742DA0"/>
    <w:rsid w:val="7F881F61"/>
    <w:rsid w:val="7F940B50"/>
    <w:rsid w:val="7FA80C8F"/>
    <w:rsid w:val="7FAD43F0"/>
    <w:rsid w:val="7FB144C9"/>
    <w:rsid w:val="7FB56661"/>
    <w:rsid w:val="7FD67D4B"/>
    <w:rsid w:val="7FD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5"/>
    <w:qFormat/>
    <w:uiPriority w:val="0"/>
    <w:pPr>
      <w:spacing w:after="120" w:afterLines="0"/>
    </w:pPr>
    <w:rPr>
      <w:rFonts w:ascii="Times New Roman" w:hAnsi="Times New Roman" w:eastAsia="方正仿宋_GBK" w:cs="Times New Roman"/>
      <w:sz w:val="32"/>
      <w:szCs w:val="24"/>
      <w:lang w:bidi="ar-SA"/>
    </w:rPr>
  </w:style>
  <w:style w:type="paragraph" w:customStyle="1" w:styleId="5">
    <w:name w:val="Body Text Indent1"/>
    <w:basedOn w:val="1"/>
    <w:qFormat/>
    <w:uiPriority w:val="0"/>
    <w:pPr>
      <w:spacing w:line="560" w:lineRule="exact"/>
      <w:ind w:firstLine="200" w:firstLineChars="200"/>
    </w:pPr>
    <w:rPr>
      <w:rFonts w:ascii="宋体" w:eastAsia="宋体"/>
      <w:sz w:val="28"/>
      <w:szCs w:val="28"/>
    </w:rPr>
  </w:style>
  <w:style w:type="paragraph" w:customStyle="1" w:styleId="8">
    <w:name w:val="Body Text First Indent"/>
    <w:basedOn w:val="4"/>
    <w:qFormat/>
    <w:uiPriority w:val="0"/>
    <w:pPr>
      <w:adjustRightInd w:val="0"/>
      <w:spacing w:line="275" w:lineRule="atLeast"/>
      <w:ind w:firstLine="420"/>
      <w:textAlignment w:val="baseline"/>
    </w:pPr>
    <w:rPr>
      <w:rFonts w:ascii="宋体" w:eastAsia="楷体_GB2312"/>
      <w:sz w:val="24"/>
    </w:rPr>
  </w:style>
  <w:style w:type="paragraph" w:customStyle="1" w:styleId="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6549</Words>
  <Characters>6667</Characters>
  <Lines>0</Lines>
  <Paragraphs>0</Paragraphs>
  <TotalTime>23</TotalTime>
  <ScaleCrop>false</ScaleCrop>
  <LinksUpToDate>false</LinksUpToDate>
  <CharactersWithSpaces>6693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2022-06-30T06:52:00Z</dcterms:created>
  <dc:creator>WPS_1478610647</dc:creator>
  <cp:lastModifiedBy>W&amp;W</cp:lastModifiedBy>
  <cp:lastPrinted>2024-09-09T03:01:00Z</cp:lastPrinted>
  <dcterms:modified xsi:type="dcterms:W3CDTF">2024-09-09T03:50:35Z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94573D1A0D4D47DA8551523EC523BEF4_13</vt:lpwstr>
  </property>
</Properties>
</file>