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94" w:lineRule="exact"/>
        <w:ind w:left="0" w:leftChars="0" w:firstLine="320" w:firstLineChars="100"/>
        <w:jc w:val="left"/>
        <w:textAlignment w:val="auto"/>
        <w:rPr>
          <w:rFonts w:hint="eastAsia" w:ascii="方正小标宋_GBK" w:hAnsi="方正小标宋_GBK" w:eastAsia="方正小标宋_GBK" w:cs="方正小标宋_GBK"/>
          <w:b w:val="0"/>
          <w:bCs/>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snapToGrid w:val="0"/>
        <w:spacing w:line="594" w:lineRule="exact"/>
        <w:ind w:left="0" w:leftChars="0" w:firstLine="440" w:firstLineChars="100"/>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重庆市大足区一环北路</w:t>
      </w:r>
    </w:p>
    <w:p>
      <w:pPr>
        <w:keepNext w:val="0"/>
        <w:keepLines w:val="0"/>
        <w:pageBreakBefore w:val="0"/>
        <w:kinsoku/>
        <w:wordWrap/>
        <w:overflowPunct/>
        <w:topLinePunct w:val="0"/>
        <w:autoSpaceDE/>
        <w:autoSpaceDN/>
        <w:bidi w:val="0"/>
        <w:snapToGrid w:val="0"/>
        <w:spacing w:line="594" w:lineRule="exact"/>
        <w:ind w:left="0" w:leftChars="0" w:firstLine="440" w:firstLineChars="100"/>
        <w:jc w:val="center"/>
        <w:textAlignment w:val="auto"/>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利郎服饰“8·18”触电</w:t>
      </w: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事故调查报告</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2023年8月18日下午2时40分许，大足区龙岗街道一环北路中段39号利郎男装门市装修过程中，发生一起触电事故，造成1人死亡。</w:t>
      </w:r>
    </w:p>
    <w:p>
      <w:pPr>
        <w:keepNext w:val="0"/>
        <w:keepLines w:val="0"/>
        <w:pageBreakBefore w:val="0"/>
        <w:kinsoku/>
        <w:wordWrap/>
        <w:overflowPunct/>
        <w:topLinePunct w:val="0"/>
        <w:autoSpaceDE/>
        <w:autoSpaceDN/>
        <w:bidi w:val="0"/>
        <w:snapToGrid w:val="0"/>
        <w:spacing w:line="594" w:lineRule="exact"/>
        <w:ind w:left="0" w:leftChars="0"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依据《中华人民共和国安全生产法》、《生产安全事故报告和调查处理条例》（国务院令第493令）等法律法规，受大足区人民政府委托，成立了由区应急局、区总工会、区公安局、区城乡建委、龙岗街道办事处组成的大足区一环北路利郎服饰“8·18”触电事故调查组（简称事故调查组）开展事故调查。同时邀请区监委、区检察院派员参加事故调查工作。</w:t>
      </w:r>
    </w:p>
    <w:p>
      <w:pPr>
        <w:keepNext w:val="0"/>
        <w:keepLines w:val="0"/>
        <w:pageBreakBefore w:val="0"/>
        <w:kinsoku/>
        <w:wordWrap/>
        <w:overflowPunct/>
        <w:topLinePunct w:val="0"/>
        <w:autoSpaceDE/>
        <w:autoSpaceDN/>
        <w:bidi w:val="0"/>
        <w:spacing w:line="594" w:lineRule="exact"/>
        <w:ind w:left="0" w:leftChars="0" w:firstLine="640" w:firstLineChars="200"/>
        <w:textAlignment w:val="auto"/>
        <w:rPr>
          <w:rFonts w:hint="eastAsia" w:ascii="方正黑体_GBK" w:hAnsi="方正黑体_GBK" w:eastAsia="方正黑体_GBK" w:cs="方正黑体_GBK"/>
          <w:b/>
          <w:bCs/>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一、基本情况</w:t>
      </w:r>
    </w:p>
    <w:p>
      <w:pPr>
        <w:keepNext w:val="0"/>
        <w:keepLines w:val="0"/>
        <w:pageBreakBefore w:val="0"/>
        <w:kinsoku/>
        <w:wordWrap/>
        <w:overflowPunct/>
        <w:topLinePunct w:val="0"/>
        <w:autoSpaceDE/>
        <w:autoSpaceDN/>
        <w:bidi w:val="0"/>
        <w:snapToGrid w:val="0"/>
        <w:spacing w:line="594" w:lineRule="exact"/>
        <w:ind w:left="0" w:leftChars="0" w:firstLine="643" w:firstLineChars="200"/>
        <w:jc w:val="left"/>
        <w:textAlignment w:val="auto"/>
        <w:rPr>
          <w:rStyle w:val="9"/>
          <w:rFonts w:hint="eastAsia" w:ascii="方正楷体_GBK" w:hAnsi="方正楷体_GBK" w:eastAsia="方正楷体_GBK" w:cs="方正楷体_GBK"/>
          <w:kern w:val="0"/>
          <w:sz w:val="32"/>
          <w:szCs w:val="32"/>
          <w:lang w:val="en-US" w:eastAsia="zh-CN" w:bidi="ar-SA"/>
        </w:rPr>
      </w:pPr>
      <w:r>
        <w:rPr>
          <w:rStyle w:val="9"/>
          <w:rFonts w:hint="eastAsia" w:ascii="方正楷体_GBK" w:hAnsi="方正楷体_GBK" w:eastAsia="方正楷体_GBK" w:cs="方正楷体_GBK"/>
          <w:kern w:val="0"/>
          <w:sz w:val="32"/>
          <w:szCs w:val="32"/>
          <w:lang w:val="en-US" w:eastAsia="zh-CN" w:bidi="ar-SA"/>
        </w:rPr>
        <w:t>（一）装修房屋情况</w:t>
      </w:r>
    </w:p>
    <w:p>
      <w:pPr>
        <w:keepNext w:val="0"/>
        <w:keepLines w:val="0"/>
        <w:pageBreakBefore w:val="0"/>
        <w:kinsoku/>
        <w:wordWrap/>
        <w:overflowPunct/>
        <w:topLinePunct w:val="0"/>
        <w:autoSpaceDE/>
        <w:autoSpaceDN/>
        <w:bidi w:val="0"/>
        <w:snapToGrid w:val="0"/>
        <w:spacing w:line="594" w:lineRule="exact"/>
        <w:ind w:left="0" w:leftChars="0" w:firstLine="320" w:firstLineChars="1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一环北路利郎服饰大足店：位于重庆市大足区一环北路39-45号，该门店经营利郎男装，门店为了换新升级，由该门店经营者吴兴琼（个体工商经营者）全权委托刘兴慧与余登田签订了工程装修合同，该门店于2023年8月8日开始装修施工，8月18日事发时正在进行最后一道喷漆工艺和装饰灯饰线路的接通。</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4" w:lineRule="exact"/>
        <w:ind w:left="0" w:right="0" w:firstLine="647"/>
        <w:textAlignment w:val="auto"/>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相关人员情况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1、王雄：男，24岁，身份证号：5002**********851x,户籍地：重庆市垫江县**镇**村3组**号，大足一环北路利郎服饰门店装修电工，无相关电工的资质，也是本次事故死者。</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2、刘兴慧，女，40岁，身份证号：5002**********3042，居住地：大足区棠香街道**路24号附**号*-**，利郎服饰大足一环北路门店实际负责人。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3、余登田，男，53岁，身份证号：5123**********7579，居住地：重庆巴南李家沱**坪，利郎服饰大足一环北路门店装修承包者。重庆芷汀装饰工程有限公司法人，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重庆芷汀装饰工程有限公司（自然人独资），成立于2022年04月07日，统一社会信用代码：915**********J4XXO,注册地位于重庆市垫江县桂溪街道环城中路，法定代表人为余登田。经营范围包括许可项目：住宅室内装饰装修；施工专业作业；建设工程施工；建设工程施工（除核电站建设经营、民用机场建设）。（依法须经批准的项目，经相关部门批准后方可开展经营活动，具体经营项目以相关部门批准文件或许可证件为准）一般项目：建筑装饰材料销售；对外承包工程；金属门窗工程施工；园林绿化工程施工；五金产品批发；五金产品零售；五金产品制造；物业管理；家政服务；专业保洁、清洗、消毒服务。（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Style w:val="9"/>
          <w:rFonts w:hint="eastAsia" w:ascii="方正楷体_GBK" w:hAnsi="方正楷体_GBK" w:eastAsia="方正楷体_GBK" w:cs="方正楷体_GBK"/>
          <w:kern w:val="0"/>
          <w:sz w:val="32"/>
          <w:szCs w:val="32"/>
          <w:lang w:val="en-US" w:eastAsia="zh-CN" w:bidi="ar-SA"/>
        </w:rPr>
      </w:pPr>
      <w:r>
        <w:rPr>
          <w:rStyle w:val="9"/>
          <w:rFonts w:hint="eastAsia" w:ascii="方正楷体_GBK" w:hAnsi="方正楷体_GBK" w:eastAsia="方正楷体_GBK" w:cs="方正楷体_GBK"/>
          <w:kern w:val="0"/>
          <w:sz w:val="32"/>
          <w:szCs w:val="32"/>
          <w:lang w:val="en-US" w:eastAsia="zh-CN" w:bidi="ar-SA"/>
        </w:rPr>
        <w:t>（三）合同签订情况</w:t>
      </w:r>
    </w:p>
    <w:p>
      <w:pPr>
        <w:keepNext w:val="0"/>
        <w:keepLines w:val="0"/>
        <w:pageBreakBefore w:val="0"/>
        <w:widowControl/>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8日</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刘兴慧受吴兴琼委托与余登田签订了《工程装修合同》，合同总价十二万元（包含部份辅材），合同就工程地点，装修内容，材料选择和提供以及工程质量等进行了明确，同时两人签订了装修安全责任保证书，保证书强调装修期间的一切安全事项由余登田负责。</w:t>
      </w:r>
      <w:r>
        <w:rPr>
          <w:rFonts w:hint="eastAsia" w:ascii="方正仿宋_GBK" w:hAnsi="方正仿宋_GBK" w:eastAsia="方正仿宋_GBK" w:cs="方正仿宋_GBK"/>
          <w:b/>
          <w:color w:val="000000" w:themeColor="text1"/>
          <w:sz w:val="32"/>
          <w:szCs w:val="32"/>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594" w:lineRule="exact"/>
        <w:ind w:left="647" w:leftChars="0"/>
        <w:jc w:val="both"/>
        <w:textAlignment w:val="auto"/>
        <w:rPr>
          <w:rFonts w:hint="eastAsia" w:ascii="方正楷体_GBK" w:hAnsi="方正楷体_GBK" w:eastAsia="方正楷体_GBK" w:cs="方正楷体_GBK"/>
          <w:b/>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color w:val="000000" w:themeColor="text1"/>
          <w:sz w:val="32"/>
          <w:szCs w:val="32"/>
          <w:lang w:eastAsia="zh-CN"/>
          <w14:textFill>
            <w14:solidFill>
              <w14:schemeClr w14:val="tx1"/>
            </w14:solidFill>
          </w14:textFill>
        </w:rPr>
        <w:t>（四）装修费用的结算情况</w:t>
      </w:r>
    </w:p>
    <w:p>
      <w:pPr>
        <w:keepNext w:val="0"/>
        <w:keepLines w:val="0"/>
        <w:pageBreakBefore w:val="0"/>
        <w:widowControl/>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8月18日事故发生后，余登田收到刘兴慧方转账三万陆仟元并向刘兴慧出具收条，余登田尚未向其临时聘请的工人支付工资。</w:t>
      </w:r>
    </w:p>
    <w:p>
      <w:pPr>
        <w:keepNext w:val="0"/>
        <w:keepLines w:val="0"/>
        <w:pageBreakBefore w:val="0"/>
        <w:widowControl/>
        <w:numPr>
          <w:ilvl w:val="0"/>
          <w:numId w:val="3"/>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lang w:val="en-US" w:eastAsia="zh-CN" w:bidi="ar-SA"/>
          <w14:textFill>
            <w14:solidFill>
              <w14:schemeClr w14:val="tx1"/>
            </w14:solidFill>
          </w14:textFill>
        </w:rPr>
        <w:t>事故</w:t>
      </w:r>
      <w:bookmarkStart w:id="0" w:name="_GoBack"/>
      <w:bookmarkEnd w:id="0"/>
      <w:r>
        <w:rPr>
          <w:rFonts w:hint="eastAsia" w:ascii="方正黑体_GBK" w:hAnsi="方正黑体_GBK" w:eastAsia="方正黑体_GBK" w:cs="方正黑体_GBK"/>
          <w:b w:val="0"/>
          <w:bCs w:val="0"/>
          <w:color w:val="000000" w:themeColor="text1"/>
          <w:kern w:val="2"/>
          <w:sz w:val="32"/>
          <w:szCs w:val="32"/>
          <w:lang w:val="en-US" w:eastAsia="zh-CN" w:bidi="ar-SA"/>
          <w14:textFill>
            <w14:solidFill>
              <w14:schemeClr w14:val="tx1"/>
            </w14:solidFill>
          </w14:textFill>
        </w:rPr>
        <w:t>发生经过、善后处理情况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（一）事故发生经过</w:t>
      </w:r>
    </w:p>
    <w:p>
      <w:pPr>
        <w:keepNext w:val="0"/>
        <w:keepLines w:val="0"/>
        <w:pageBreakBefore w:val="0"/>
        <w:numPr>
          <w:ilvl w:val="0"/>
          <w:numId w:val="0"/>
        </w:numPr>
        <w:kinsoku/>
        <w:wordWrap/>
        <w:overflowPunct/>
        <w:topLinePunct w:val="0"/>
        <w:autoSpaceDE/>
        <w:autoSpaceDN/>
        <w:bidi w:val="0"/>
        <w:spacing w:line="594" w:lineRule="exact"/>
        <w:ind w:left="0" w:lef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2023年8月18日下午2时40分许，利郎服饰大足一环北路门店装修工人王雄独自一人排查门店电路及照明，王雄站立于约2米高的脚手架上通过检修口带电检查线路，王雄在初次触电，并经现场工友木工胡波提醒后，坚持带电操作，不慎触电坠落，后送往大足区人民医院抢救，后因抢救无效死亡了。</w:t>
      </w:r>
    </w:p>
    <w:p>
      <w:pPr>
        <w:numPr>
          <w:ilvl w:val="0"/>
          <w:numId w:val="0"/>
        </w:numPr>
        <w:ind w:firstLine="640" w:firstLineChars="200"/>
        <w:jc w:val="righ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eastAsiaTheme="minorEastAsia"/>
          <w:sz w:val="32"/>
          <w:szCs w:val="32"/>
          <w:lang w:eastAsia="zh-CN"/>
        </w:rPr>
        <w:drawing>
          <wp:inline distT="0" distB="0" distL="114300" distR="114300">
            <wp:extent cx="5135880" cy="3242945"/>
            <wp:effectExtent l="0" t="0" r="7620" b="14605"/>
            <wp:docPr id="2" name="图片 1" descr="微信图片_2023102509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31025093733"/>
                    <pic:cNvPicPr>
                      <a:picLocks noChangeAspect="1"/>
                    </pic:cNvPicPr>
                  </pic:nvPicPr>
                  <pic:blipFill>
                    <a:blip r:embed="rId6"/>
                    <a:stretch>
                      <a:fillRect/>
                    </a:stretch>
                  </pic:blipFill>
                  <pic:spPr>
                    <a:xfrm>
                      <a:off x="0" y="0"/>
                      <a:ext cx="5135880" cy="3242945"/>
                    </a:xfrm>
                    <a:prstGeom prst="rect">
                      <a:avLst/>
                    </a:prstGeom>
                    <a:noFill/>
                    <a:ln w="9525">
                      <a:noFill/>
                    </a:ln>
                  </pic:spPr>
                </pic:pic>
              </a:graphicData>
            </a:graphic>
          </wp:inline>
        </w:drawing>
      </w:r>
      <w:r>
        <w:rPr>
          <w:rFonts w:hint="eastAsia" w:eastAsiaTheme="minorEastAsia"/>
          <w:sz w:val="32"/>
          <w:szCs w:val="32"/>
          <w:lang w:val="en-US" w:eastAsia="zh-CN"/>
        </w:rPr>
        <w:t xml:space="preserve"> </w:t>
      </w:r>
      <w:r>
        <w:rPr>
          <w:rFonts w:hint="eastAsia" w:eastAsiaTheme="minorEastAsia"/>
          <w:sz w:val="32"/>
          <w:szCs w:val="32"/>
          <w:lang w:eastAsia="zh-CN"/>
        </w:rPr>
        <w:drawing>
          <wp:inline distT="0" distB="0" distL="114300" distR="114300">
            <wp:extent cx="4937760" cy="3903345"/>
            <wp:effectExtent l="0" t="0" r="15240" b="1905"/>
            <wp:docPr id="4" name="图片 2" descr="微信图片_2023102509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31025093806"/>
                    <pic:cNvPicPr>
                      <a:picLocks noChangeAspect="1"/>
                    </pic:cNvPicPr>
                  </pic:nvPicPr>
                  <pic:blipFill>
                    <a:blip r:embed="rId7"/>
                    <a:stretch>
                      <a:fillRect/>
                    </a:stretch>
                  </pic:blipFill>
                  <pic:spPr>
                    <a:xfrm>
                      <a:off x="0" y="0"/>
                      <a:ext cx="4937760" cy="390334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图：图片为事发现场</w:t>
      </w:r>
    </w:p>
    <w:p>
      <w:pPr>
        <w:pageBreakBefore w:val="0"/>
        <w:widowControl/>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Style w:val="9"/>
          <w:rFonts w:hint="eastAsia" w:ascii="方正楷体_GBK" w:hAnsi="方正楷体_GBK" w:eastAsia="方正楷体_GBK" w:cs="方正楷体_GBK"/>
          <w:kern w:val="0"/>
          <w:sz w:val="32"/>
          <w:szCs w:val="32"/>
          <w:lang w:val="en-US" w:eastAsia="zh-CN" w:bidi="ar-SA"/>
        </w:rPr>
      </w:pPr>
      <w:r>
        <w:rPr>
          <w:rStyle w:val="9"/>
          <w:rFonts w:hint="eastAsia" w:ascii="方正楷体_GBK" w:hAnsi="方正楷体_GBK" w:eastAsia="方正楷体_GBK" w:cs="方正楷体_GBK"/>
          <w:kern w:val="0"/>
          <w:sz w:val="32"/>
          <w:szCs w:val="32"/>
          <w:lang w:val="en-US" w:eastAsia="zh-CN" w:bidi="ar-SA"/>
        </w:rPr>
        <w:t>（二）事发救援及善后处理情况</w:t>
      </w:r>
    </w:p>
    <w:p>
      <w:pPr>
        <w:pageBreakBefore w:val="0"/>
        <w:widowControl/>
        <w:numPr>
          <w:ilvl w:val="0"/>
          <w:numId w:val="0"/>
        </w:numPr>
        <w:kinsoku/>
        <w:wordWrap/>
        <w:overflowPunct/>
        <w:topLinePunct w:val="0"/>
        <w:autoSpaceDE/>
        <w:autoSpaceDN/>
        <w:bidi w:val="0"/>
        <w:adjustRightInd w:val="0"/>
        <w:snapToGrid w:val="0"/>
        <w:spacing w:line="594" w:lineRule="exact"/>
        <w:ind w:leftChars="0" w:firstLine="64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事故发生后，现场工人拨打了“120”急救电话，十余分钟后，“120”急救医生赶到并现场对王雄实施了心脏复苏后送往区人民医院抢救，后经抢救无效死亡。事后，经重庆市大足区龙岗街道人民调解委员会组织余登田、刘学慧与死者家属协商善后事宜，双方未能达成赔付协议，目前，死者家属还在通过司法途径维权。</w:t>
      </w:r>
    </w:p>
    <w:p>
      <w:pPr>
        <w:pStyle w:val="11"/>
        <w:pageBreakBefore w:val="0"/>
        <w:numPr>
          <w:ilvl w:val="0"/>
          <w:numId w:val="3"/>
        </w:numPr>
        <w:kinsoku/>
        <w:wordWrap/>
        <w:overflowPunct/>
        <w:topLinePunct w:val="0"/>
        <w:bidi w:val="0"/>
        <w:spacing w:line="594" w:lineRule="exact"/>
        <w:ind w:left="0" w:leftChars="0"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事故现场勘测情况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1"/>
        <w:jc w:val="lef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事故地点位于大足区一环北路39-45号，</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该</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商铺装修之前经营利郎服饰男装店，为了经营需要重新装修，事发时装修已到收尾工程，灯饰工程已经安装完毕进入调试阶段，施工地门外搭设有两米高的脚手架和围挡，脚手架上搭设工作台，工作台上面的天花板检修口开启，作业现场未见安全帽、防护手套，未见安全警示标识标语。</w:t>
      </w:r>
    </w:p>
    <w:p>
      <w:pPr>
        <w:pageBreakBefore w:val="0"/>
        <w:kinsoku/>
        <w:wordWrap/>
        <w:overflowPunct/>
        <w:topLinePunct w:val="0"/>
        <w:autoSpaceDE/>
        <w:autoSpaceDN/>
        <w:bidi w:val="0"/>
        <w:spacing w:line="594" w:lineRule="exact"/>
        <w:ind w:leftChars="0"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四、事故造成的人员伤亡和直接经济损失</w:t>
      </w:r>
    </w:p>
    <w:p>
      <w:pPr>
        <w:pageBreakBefore w:val="0"/>
        <w:kinsoku/>
        <w:wordWrap/>
        <w:overflowPunct/>
        <w:topLinePunct w:val="0"/>
        <w:autoSpaceDE/>
        <w:autoSpaceDN/>
        <w:bidi w:val="0"/>
        <w:spacing w:line="594" w:lineRule="exact"/>
        <w:ind w:leftChars="0" w:firstLine="643" w:firstLineChars="200"/>
        <w:textAlignment w:val="auto"/>
        <w:rPr>
          <w:rStyle w:val="9"/>
          <w:rFonts w:hint="eastAsia" w:ascii="方正楷体_GBK" w:hAnsi="方正楷体_GBK" w:eastAsia="方正楷体_GBK" w:cs="方正楷体_GBK"/>
          <w:kern w:val="0"/>
          <w:sz w:val="32"/>
          <w:szCs w:val="32"/>
          <w:lang w:val="en-US" w:eastAsia="zh-CN" w:bidi="ar-SA"/>
        </w:rPr>
      </w:pPr>
      <w:r>
        <w:rPr>
          <w:rStyle w:val="9"/>
          <w:rFonts w:hint="eastAsia" w:ascii="方正楷体_GBK" w:hAnsi="方正楷体_GBK" w:eastAsia="方正楷体_GBK" w:cs="方正楷体_GBK"/>
          <w:kern w:val="0"/>
          <w:sz w:val="32"/>
          <w:szCs w:val="32"/>
          <w:lang w:val="en-US" w:eastAsia="zh-CN" w:bidi="ar-SA"/>
        </w:rPr>
        <w:t>（一）人员伤亡情况</w:t>
      </w:r>
    </w:p>
    <w:p>
      <w:pPr>
        <w:pageBreakBefore w:val="0"/>
        <w:kinsoku/>
        <w:wordWrap/>
        <w:overflowPunct/>
        <w:topLinePunct w:val="0"/>
        <w:autoSpaceDE/>
        <w:autoSpaceDN/>
        <w:bidi w:val="0"/>
        <w:spacing w:line="594" w:lineRule="exact"/>
        <w:ind w:leftChars="0"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该起事故造成1人死亡。死者：王雄，男，汉族，24岁，户籍地：重庆市垫江县永平镇**村*组**号，身份证号：5002**********851x。</w:t>
      </w:r>
    </w:p>
    <w:p>
      <w:pPr>
        <w:pageBreakBefore w:val="0"/>
        <w:kinsoku/>
        <w:wordWrap/>
        <w:overflowPunct/>
        <w:topLinePunct w:val="0"/>
        <w:autoSpaceDE/>
        <w:autoSpaceDN/>
        <w:bidi w:val="0"/>
        <w:spacing w:line="594" w:lineRule="exact"/>
        <w:ind w:leftChars="0" w:firstLine="643" w:firstLineChars="200"/>
        <w:textAlignment w:val="auto"/>
        <w:rPr>
          <w:rStyle w:val="9"/>
          <w:rFonts w:hint="eastAsia" w:ascii="方正楷体_GBK" w:hAnsi="方正楷体_GBK" w:eastAsia="方正楷体_GBK" w:cs="方正楷体_GBK"/>
          <w:kern w:val="0"/>
          <w:sz w:val="32"/>
          <w:szCs w:val="32"/>
          <w:lang w:val="en-US" w:eastAsia="zh-CN" w:bidi="ar-SA"/>
        </w:rPr>
      </w:pPr>
      <w:r>
        <w:rPr>
          <w:rStyle w:val="9"/>
          <w:rFonts w:hint="eastAsia" w:ascii="方正楷体_GBK" w:hAnsi="方正楷体_GBK" w:eastAsia="方正楷体_GBK" w:cs="方正楷体_GBK"/>
          <w:kern w:val="0"/>
          <w:sz w:val="32"/>
          <w:szCs w:val="32"/>
          <w:lang w:val="en-US" w:eastAsia="zh-CN" w:bidi="ar-SA"/>
        </w:rPr>
        <w:t>（二）直接经济损失情况</w:t>
      </w:r>
    </w:p>
    <w:p>
      <w:pPr>
        <w:pageBreakBefore w:val="0"/>
        <w:kinsoku/>
        <w:wordWrap/>
        <w:overflowPunct/>
        <w:topLinePunct w:val="0"/>
        <w:autoSpaceDE/>
        <w:autoSpaceDN/>
        <w:bidi w:val="0"/>
        <w:spacing w:line="594" w:lineRule="exact"/>
        <w:ind w:leftChars="0"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按照工伤事故计算，该起事故造成直接经济损失约80万元。</w:t>
      </w:r>
    </w:p>
    <w:p>
      <w:pPr>
        <w:pStyle w:val="4"/>
        <w:pageBreakBefore w:val="0"/>
        <w:numPr>
          <w:ilvl w:val="0"/>
          <w:numId w:val="0"/>
        </w:numPr>
        <w:kinsoku/>
        <w:wordWrap/>
        <w:overflowPunct/>
        <w:topLinePunct w:val="0"/>
        <w:autoSpaceDE/>
        <w:autoSpaceDN/>
        <w:bidi w:val="0"/>
        <w:snapToGrid w:val="0"/>
        <w:spacing w:before="0" w:after="0" w:line="594" w:lineRule="exact"/>
        <w:ind w:left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五、事故原因分析</w:t>
      </w:r>
    </w:p>
    <w:p>
      <w:pPr>
        <w:pageBreakBefore w:val="0"/>
        <w:numPr>
          <w:ilvl w:val="0"/>
          <w:numId w:val="0"/>
        </w:numPr>
        <w:kinsoku/>
        <w:wordWrap/>
        <w:overflowPunct/>
        <w:topLinePunct w:val="0"/>
        <w:bidi w:val="0"/>
        <w:spacing w:line="594" w:lineRule="exact"/>
        <w:ind w:leftChars="200" w:firstLine="321" w:firstLineChars="100"/>
        <w:textAlignment w:val="auto"/>
        <w:rPr>
          <w:rFonts w:hint="eastAsia" w:ascii="方正楷体_GBK" w:hAnsi="方正楷体_GBK" w:eastAsia="方正楷体_GBK" w:cs="方正楷体_GBK"/>
          <w:sz w:val="32"/>
          <w:szCs w:val="32"/>
          <w:lang w:val="en-US" w:eastAsia="zh-CN"/>
        </w:rPr>
      </w:pPr>
      <w:r>
        <w:rPr>
          <w:rStyle w:val="9"/>
          <w:rFonts w:hint="eastAsia" w:ascii="方正楷体_GBK" w:hAnsi="方正楷体_GBK" w:eastAsia="方正楷体_GBK" w:cs="方正楷体_GBK"/>
          <w:kern w:val="0"/>
          <w:sz w:val="32"/>
          <w:szCs w:val="32"/>
          <w:lang w:val="en-US" w:eastAsia="zh-CN" w:bidi="ar"/>
        </w:rPr>
        <w:t>（一）直接原因：</w:t>
      </w:r>
    </w:p>
    <w:p>
      <w:pPr>
        <w:pageBreakBefore w:val="0"/>
        <w:numPr>
          <w:ilvl w:val="0"/>
          <w:numId w:val="0"/>
        </w:numPr>
        <w:shd w:val="clear"/>
        <w:kinsoku/>
        <w:wordWrap/>
        <w:overflowPunct/>
        <w:topLinePunct w:val="0"/>
        <w:autoSpaceDE/>
        <w:autoSpaceDN/>
        <w:bidi w:val="0"/>
        <w:spacing w:line="594" w:lineRule="exact"/>
        <w:ind w:leftChars="0" w:firstLine="640"/>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eastAsia="zh-CN"/>
        </w:rPr>
        <w:t>施工人员王雄</w:t>
      </w:r>
      <w:r>
        <w:rPr>
          <w:rFonts w:hint="eastAsia" w:ascii="方正仿宋_GBK" w:hAnsi="方正仿宋_GBK" w:eastAsia="方正仿宋_GBK" w:cs="方正仿宋_GBK"/>
          <w:b w:val="0"/>
          <w:sz w:val="32"/>
          <w:szCs w:val="32"/>
        </w:rPr>
        <w:t>在</w:t>
      </w:r>
      <w:r>
        <w:rPr>
          <w:rFonts w:hint="eastAsia" w:ascii="方正仿宋_GBK" w:hAnsi="方正仿宋_GBK" w:eastAsia="方正仿宋_GBK" w:cs="方正仿宋_GBK"/>
          <w:b w:val="0"/>
          <w:sz w:val="32"/>
          <w:szCs w:val="32"/>
          <w:lang w:eastAsia="zh-CN"/>
        </w:rPr>
        <w:t>对门市外灯饰通电情况排查时</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eastAsia="zh-CN"/>
        </w:rPr>
        <w:t>带电施工，未采取防范措施，</w:t>
      </w:r>
      <w:r>
        <w:rPr>
          <w:rFonts w:hint="eastAsia" w:ascii="方正仿宋_GBK" w:hAnsi="方正仿宋_GBK" w:eastAsia="方正仿宋_GBK" w:cs="方正仿宋_GBK"/>
          <w:b w:val="0"/>
          <w:sz w:val="32"/>
          <w:szCs w:val="32"/>
        </w:rPr>
        <w:t>碰触</w:t>
      </w:r>
      <w:r>
        <w:rPr>
          <w:rFonts w:hint="eastAsia" w:ascii="方正仿宋_GBK" w:hAnsi="方正仿宋_GBK" w:eastAsia="方正仿宋_GBK" w:cs="方正仿宋_GBK"/>
          <w:b w:val="0"/>
          <w:sz w:val="32"/>
          <w:szCs w:val="32"/>
          <w:lang w:eastAsia="zh-CN"/>
        </w:rPr>
        <w:t>裸露的</w:t>
      </w:r>
      <w:r>
        <w:rPr>
          <w:rFonts w:hint="eastAsia" w:ascii="方正仿宋_GBK" w:hAnsi="方正仿宋_GBK" w:eastAsia="方正仿宋_GBK" w:cs="方正仿宋_GBK"/>
          <w:b w:val="0"/>
          <w:sz w:val="32"/>
          <w:szCs w:val="32"/>
        </w:rPr>
        <w:t>电线，是发生触电事故的直接原因。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right="0" w:firstLine="643" w:firstLineChars="200"/>
        <w:jc w:val="left"/>
        <w:textAlignment w:val="auto"/>
        <w:rPr>
          <w:rFonts w:hint="eastAsia" w:ascii="方正楷体_GBK" w:hAnsi="方正楷体_GBK" w:eastAsia="方正楷体_GBK" w:cs="方正楷体_GBK"/>
          <w:b w:val="0"/>
          <w:sz w:val="32"/>
          <w:szCs w:val="32"/>
        </w:rPr>
      </w:pPr>
      <w:r>
        <w:rPr>
          <w:rStyle w:val="9"/>
          <w:rFonts w:hint="eastAsia" w:ascii="方正楷体_GBK" w:hAnsi="方正楷体_GBK" w:eastAsia="方正楷体_GBK" w:cs="方正楷体_GBK"/>
          <w:b/>
          <w:sz w:val="32"/>
          <w:szCs w:val="32"/>
        </w:rPr>
        <w:t>（二）间接原因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1)王雄，未持电工证从事电工作业，安全意识</w:t>
      </w:r>
      <w:r>
        <w:rPr>
          <w:rFonts w:hint="eastAsia" w:ascii="方正仿宋_GBK" w:hAnsi="方正仿宋_GBK" w:eastAsia="方正仿宋_GBK" w:cs="方正仿宋_GBK"/>
          <w:b w:val="0"/>
          <w:sz w:val="32"/>
          <w:szCs w:val="32"/>
        </w:rPr>
        <w:t>淡薄，</w:t>
      </w:r>
      <w:r>
        <w:rPr>
          <w:rFonts w:hint="eastAsia" w:ascii="方正仿宋_GBK" w:hAnsi="方正仿宋_GBK" w:eastAsia="方正仿宋_GBK" w:cs="方正仿宋_GBK"/>
          <w:b w:val="0"/>
          <w:sz w:val="32"/>
          <w:szCs w:val="32"/>
          <w:lang w:eastAsia="zh-CN"/>
        </w:rPr>
        <w:t>带电</w:t>
      </w:r>
      <w:r>
        <w:rPr>
          <w:rFonts w:hint="eastAsia" w:ascii="方正仿宋_GBK" w:hAnsi="方正仿宋_GBK" w:eastAsia="方正仿宋_GBK" w:cs="方正仿宋_GBK"/>
          <w:b w:val="0"/>
          <w:sz w:val="32"/>
          <w:szCs w:val="32"/>
        </w:rPr>
        <w:t>施工作业时未穿戴绝缘</w:t>
      </w:r>
      <w:r>
        <w:rPr>
          <w:rFonts w:hint="eastAsia" w:ascii="方正仿宋_GBK" w:hAnsi="方正仿宋_GBK" w:eastAsia="方正仿宋_GBK" w:cs="方正仿宋_GBK"/>
          <w:b w:val="0"/>
          <w:sz w:val="32"/>
          <w:szCs w:val="32"/>
          <w:lang w:eastAsia="zh-CN"/>
        </w:rPr>
        <w:t>手套</w:t>
      </w:r>
      <w:r>
        <w:rPr>
          <w:rFonts w:hint="eastAsia" w:ascii="方正仿宋_GBK" w:hAnsi="方正仿宋_GBK" w:eastAsia="方正仿宋_GBK" w:cs="方正仿宋_GBK"/>
          <w:b w:val="0"/>
          <w:sz w:val="32"/>
          <w:szCs w:val="32"/>
        </w:rPr>
        <w:t>等防护用品。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val="en-US" w:eastAsia="zh-CN"/>
        </w:rPr>
        <w:t>2</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eastAsia="zh-CN"/>
        </w:rPr>
        <w:t>余登田</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eastAsia="zh-CN"/>
        </w:rPr>
        <w:t>聘用王雄时未审查王雄是否按有关规定经过专门的安全教育培训并取得电工证，</w:t>
      </w:r>
      <w:r>
        <w:rPr>
          <w:rFonts w:hint="eastAsia" w:ascii="方正仿宋_GBK" w:hAnsi="方正仿宋_GBK" w:eastAsia="方正仿宋_GBK" w:cs="方正仿宋_GBK"/>
          <w:b w:val="0"/>
          <w:sz w:val="32"/>
          <w:szCs w:val="32"/>
        </w:rPr>
        <w:t>未对施工现场安全状况进行</w:t>
      </w:r>
      <w:r>
        <w:rPr>
          <w:rFonts w:hint="eastAsia" w:ascii="方正仿宋_GBK" w:hAnsi="方正仿宋_GBK" w:eastAsia="方正仿宋_GBK" w:cs="方正仿宋_GBK"/>
          <w:b w:val="0"/>
          <w:sz w:val="32"/>
          <w:szCs w:val="32"/>
          <w:lang w:eastAsia="zh-CN"/>
        </w:rPr>
        <w:t>经常性</w:t>
      </w:r>
      <w:r>
        <w:rPr>
          <w:rFonts w:hint="eastAsia" w:ascii="方正仿宋_GBK" w:hAnsi="方正仿宋_GBK" w:eastAsia="方正仿宋_GBK" w:cs="方正仿宋_GBK"/>
          <w:b w:val="0"/>
          <w:sz w:val="32"/>
          <w:szCs w:val="32"/>
        </w:rPr>
        <w:t>检查，</w:t>
      </w:r>
      <w:r>
        <w:rPr>
          <w:rFonts w:hint="eastAsia" w:ascii="方正仿宋_GBK" w:hAnsi="方正仿宋_GBK" w:eastAsia="方正仿宋_GBK" w:cs="方正仿宋_GBK"/>
          <w:b w:val="0"/>
          <w:sz w:val="32"/>
          <w:szCs w:val="32"/>
          <w:lang w:eastAsia="zh-CN"/>
        </w:rPr>
        <w:t>制止和纠正冒险作业。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val="en-US" w:eastAsia="zh-CN"/>
        </w:rPr>
        <w:t>3</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eastAsia="zh-CN"/>
        </w:rPr>
        <w:t>刘兴慧</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eastAsia="zh-CN"/>
        </w:rPr>
        <w:t>作为吴兴琼经营的一环北路利郎服饰门店的实际负责人，未对施工现场进行经常性的检查，未对承包人余登田临时聘用的施工人员的资质进行审查，制止和纠正冒险作业。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94" w:lineRule="exact"/>
        <w:ind w:leftChars="0" w:right="0" w:rightChars="0" w:firstLine="640" w:firstLineChars="200"/>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六、事故性质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经调查认定，该起事故是一起施工人员安全意识淡薄、安全措施不到位导致的触电事故，属一般生产安全责任事故。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sz w:val="32"/>
          <w:szCs w:val="32"/>
          <w:lang w:eastAsia="zh-CN"/>
        </w:rPr>
        <w:t>七</w:t>
      </w:r>
      <w:r>
        <w:rPr>
          <w:rStyle w:val="9"/>
          <w:rFonts w:hint="eastAsia" w:ascii="方正黑体_GBK" w:hAnsi="方正黑体_GBK" w:eastAsia="方正黑体_GBK" w:cs="方正黑体_GBK"/>
          <w:b/>
          <w:sz w:val="32"/>
          <w:szCs w:val="32"/>
        </w:rPr>
        <w:t>、事故责任认定和处理建议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楷体_GBK" w:hAnsi="方正楷体_GBK" w:eastAsia="方正楷体_GBK" w:cs="方正楷体_GBK"/>
          <w:b w:val="0"/>
          <w:sz w:val="32"/>
          <w:szCs w:val="32"/>
        </w:rPr>
      </w:pPr>
      <w:r>
        <w:rPr>
          <w:rStyle w:val="9"/>
          <w:rFonts w:hint="eastAsia" w:ascii="方正楷体_GBK" w:hAnsi="方正楷体_GBK" w:eastAsia="方正楷体_GBK" w:cs="方正楷体_GBK"/>
          <w:b/>
          <w:sz w:val="32"/>
          <w:szCs w:val="32"/>
        </w:rPr>
        <w:t>（一）对责任</w:t>
      </w:r>
      <w:r>
        <w:rPr>
          <w:rStyle w:val="9"/>
          <w:rFonts w:hint="eastAsia" w:ascii="方正楷体_GBK" w:hAnsi="方正楷体_GBK" w:eastAsia="方正楷体_GBK" w:cs="方正楷体_GBK"/>
          <w:b/>
          <w:sz w:val="32"/>
          <w:szCs w:val="32"/>
          <w:lang w:eastAsia="zh-CN"/>
        </w:rPr>
        <w:t>单位、</w:t>
      </w:r>
      <w:r>
        <w:rPr>
          <w:rStyle w:val="9"/>
          <w:rFonts w:hint="eastAsia" w:ascii="方正楷体_GBK" w:hAnsi="方正楷体_GBK" w:eastAsia="方正楷体_GBK" w:cs="方正楷体_GBK"/>
          <w:b/>
          <w:sz w:val="32"/>
          <w:szCs w:val="32"/>
        </w:rPr>
        <w:t>个人的责任认定和处理建议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（1）</w:t>
      </w:r>
      <w:r>
        <w:rPr>
          <w:rFonts w:hint="eastAsia" w:ascii="方正仿宋_GBK" w:hAnsi="方正仿宋_GBK" w:eastAsia="方正仿宋_GBK" w:cs="方正仿宋_GBK"/>
          <w:b w:val="0"/>
          <w:sz w:val="32"/>
          <w:szCs w:val="32"/>
          <w:lang w:eastAsia="zh-CN"/>
        </w:rPr>
        <w:t>王雄</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val="en-US" w:eastAsia="zh-CN"/>
        </w:rPr>
        <w:t>未持电工证上岗作业，安全意识</w:t>
      </w:r>
      <w:r>
        <w:rPr>
          <w:rFonts w:hint="eastAsia" w:ascii="方正仿宋_GBK" w:hAnsi="方正仿宋_GBK" w:eastAsia="方正仿宋_GBK" w:cs="方正仿宋_GBK"/>
          <w:b w:val="0"/>
          <w:sz w:val="32"/>
          <w:szCs w:val="32"/>
        </w:rPr>
        <w:t>淡薄，</w:t>
      </w:r>
      <w:r>
        <w:rPr>
          <w:rFonts w:hint="eastAsia" w:ascii="方正仿宋_GBK" w:hAnsi="方正仿宋_GBK" w:eastAsia="方正仿宋_GBK" w:cs="方正仿宋_GBK"/>
          <w:b w:val="0"/>
          <w:sz w:val="32"/>
          <w:szCs w:val="32"/>
          <w:lang w:eastAsia="zh-CN"/>
        </w:rPr>
        <w:t>带电</w:t>
      </w:r>
      <w:r>
        <w:rPr>
          <w:rFonts w:hint="eastAsia" w:ascii="方正仿宋_GBK" w:hAnsi="方正仿宋_GBK" w:eastAsia="方正仿宋_GBK" w:cs="方正仿宋_GBK"/>
          <w:b w:val="0"/>
          <w:sz w:val="32"/>
          <w:szCs w:val="32"/>
        </w:rPr>
        <w:t>施工作业时未穿戴绝缘</w:t>
      </w:r>
      <w:r>
        <w:rPr>
          <w:rFonts w:hint="eastAsia" w:ascii="方正仿宋_GBK" w:hAnsi="方正仿宋_GBK" w:eastAsia="方正仿宋_GBK" w:cs="方正仿宋_GBK"/>
          <w:b w:val="0"/>
          <w:sz w:val="32"/>
          <w:szCs w:val="32"/>
          <w:lang w:eastAsia="zh-CN"/>
        </w:rPr>
        <w:t>手套</w:t>
      </w:r>
      <w:r>
        <w:rPr>
          <w:rFonts w:hint="eastAsia" w:ascii="方正仿宋_GBK" w:hAnsi="方正仿宋_GBK" w:eastAsia="方正仿宋_GBK" w:cs="方正仿宋_GBK"/>
          <w:b w:val="0"/>
          <w:sz w:val="32"/>
          <w:szCs w:val="32"/>
        </w:rPr>
        <w:t>等防护用品。对事故负有责任。鉴于在事故中死亡，建议不予追究责任。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rPr>
        <w:t>（2）</w:t>
      </w:r>
      <w:r>
        <w:rPr>
          <w:rFonts w:hint="eastAsia" w:ascii="方正仿宋_GBK" w:hAnsi="方正仿宋_GBK" w:eastAsia="方正仿宋_GBK" w:cs="方正仿宋_GBK"/>
          <w:b w:val="0"/>
          <w:sz w:val="32"/>
          <w:szCs w:val="32"/>
          <w:lang w:val="en-US" w:eastAsia="zh-CN"/>
        </w:rPr>
        <w:t>重庆芷汀装饰工程有限公司（自然人独资）</w:t>
      </w:r>
      <w:r>
        <w:rPr>
          <w:rFonts w:hint="eastAsia" w:ascii="方正仿宋_GBK" w:hAnsi="方正仿宋_GBK" w:eastAsia="方正仿宋_GBK" w:cs="方正仿宋_GBK"/>
          <w:b w:val="0"/>
          <w:sz w:val="32"/>
          <w:szCs w:val="32"/>
          <w:lang w:eastAsia="zh-CN"/>
        </w:rPr>
        <w:t>，本单位的作业人员王雄未按照有关规定取得相应的资格，未持证上岗；投入资金不足，未向现场作业人员发放必要的劳动防护用品，现场作业工人未采取必要的安全措施；现场安全管理缺失，未对施工现场安全状况进行经常性检查，制止和纠正冒险作业，对事故的发生负有责任。该行为违反了《中华人民共和国安全生产法》第三十条第一款</w:t>
      </w:r>
      <w:r>
        <w:rPr>
          <w:rStyle w:val="10"/>
          <w:rFonts w:hint="eastAsia" w:ascii="方正仿宋_GBK" w:hAnsi="方正仿宋_GBK" w:eastAsia="方正仿宋_GBK" w:cs="方正仿宋_GBK"/>
          <w:sz w:val="32"/>
          <w:szCs w:val="32"/>
        </w:rPr>
        <w:footnoteReference w:id="0"/>
      </w:r>
      <w:r>
        <w:rPr>
          <w:rFonts w:hint="eastAsia" w:ascii="方正仿宋_GBK" w:hAnsi="方正仿宋_GBK" w:eastAsia="方正仿宋_GBK" w:cs="方正仿宋_GBK"/>
          <w:b w:val="0"/>
          <w:sz w:val="32"/>
          <w:szCs w:val="32"/>
          <w:lang w:eastAsia="zh-CN"/>
        </w:rPr>
        <w:t>、第四十五条</w:t>
      </w:r>
      <w:r>
        <w:rPr>
          <w:rStyle w:val="10"/>
          <w:rFonts w:hint="eastAsia" w:ascii="方正仿宋_GBK" w:hAnsi="方正仿宋_GBK" w:eastAsia="方正仿宋_GBK" w:cs="方正仿宋_GBK"/>
          <w:sz w:val="32"/>
          <w:szCs w:val="32"/>
        </w:rPr>
        <w:footnoteReference w:id="1"/>
      </w:r>
      <w:r>
        <w:rPr>
          <w:rFonts w:hint="eastAsia" w:ascii="方正仿宋_GBK" w:hAnsi="方正仿宋_GBK" w:eastAsia="方正仿宋_GBK" w:cs="方正仿宋_GBK"/>
          <w:b w:val="0"/>
          <w:sz w:val="32"/>
          <w:szCs w:val="32"/>
          <w:lang w:eastAsia="zh-CN"/>
        </w:rPr>
        <w:t>、第二十五条第六项</w:t>
      </w:r>
      <w:r>
        <w:rPr>
          <w:rStyle w:val="10"/>
          <w:rFonts w:hint="eastAsia" w:ascii="方正仿宋_GBK" w:hAnsi="方正仿宋_GBK" w:eastAsia="方正仿宋_GBK" w:cs="方正仿宋_GBK"/>
          <w:sz w:val="32"/>
          <w:szCs w:val="32"/>
        </w:rPr>
        <w:footnoteReference w:id="2"/>
      </w:r>
      <w:r>
        <w:rPr>
          <w:rFonts w:hint="eastAsia" w:ascii="方正仿宋_GBK" w:hAnsi="方正仿宋_GBK" w:eastAsia="方正仿宋_GBK" w:cs="方正仿宋_GBK"/>
          <w:b w:val="0"/>
          <w:sz w:val="32"/>
          <w:szCs w:val="32"/>
          <w:lang w:eastAsia="zh-CN"/>
        </w:rPr>
        <w:t>按照《中华人民共和国安全生产法》一百一十四条</w:t>
      </w:r>
      <w:r>
        <w:rPr>
          <w:rStyle w:val="10"/>
          <w:rFonts w:hint="eastAsia" w:ascii="方正仿宋_GBK" w:hAnsi="方正仿宋_GBK" w:eastAsia="方正仿宋_GBK" w:cs="方正仿宋_GBK"/>
          <w:sz w:val="32"/>
          <w:szCs w:val="32"/>
        </w:rPr>
        <w:footnoteReference w:id="3"/>
      </w:r>
      <w:r>
        <w:rPr>
          <w:rFonts w:hint="eastAsia" w:ascii="方正仿宋_GBK" w:hAnsi="方正仿宋_GBK" w:eastAsia="方正仿宋_GBK" w:cs="方正仿宋_GBK"/>
          <w:b w:val="0"/>
          <w:sz w:val="32"/>
          <w:szCs w:val="32"/>
          <w:lang w:eastAsia="zh-CN"/>
        </w:rPr>
        <w:t>的规定，建议给予其相应的行政处罚。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（3）刘兴慧</w:t>
      </w: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大足一环北路利郎服饰门店装修的</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实际负责者。门店装修工程承包时未审核相关人员的资质，现场安全管理缺失，未对房屋装修工程安全生产工作协调、管理，未在该住宅室内装饰装修工程开工前，向物业管理企业或者房屋管理机构（以下简称物业管理单位）申报登记，其对事故发生负有责任。该行为违反了《住宅室内装饰装修管理办法》第十三条</w:t>
      </w:r>
      <w:r>
        <w:rPr>
          <w:rStyle w:val="10"/>
          <w:rFonts w:hint="eastAsia" w:ascii="方正仿宋_GBK" w:hAnsi="方正仿宋_GBK" w:eastAsia="方正仿宋_GBK" w:cs="方正仿宋_GBK"/>
          <w:sz w:val="32"/>
          <w:szCs w:val="32"/>
        </w:rPr>
        <w:footnoteReference w:id="4"/>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的规定，对事故的发生负有责任。</w:t>
      </w:r>
      <w:r>
        <w:rPr>
          <w:rFonts w:hint="eastAsia" w:ascii="方正仿宋_GBK" w:hAnsi="方正仿宋_GBK" w:eastAsia="方正仿宋_GBK" w:cs="方正仿宋_GBK"/>
          <w:b w:val="0"/>
          <w:sz w:val="32"/>
          <w:szCs w:val="32"/>
          <w:lang w:val="en-US" w:eastAsia="zh-CN"/>
        </w:rPr>
        <w:t>由大足区住房城乡建委依法进行处理。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4" w:lineRule="exact"/>
        <w:ind w:left="647" w:leftChars="0" w:right="0" w:rightChars="0"/>
        <w:textAlignment w:val="auto"/>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lang w:eastAsia="zh-CN"/>
        </w:rPr>
        <w:t>（二）</w:t>
      </w:r>
      <w:r>
        <w:rPr>
          <w:rStyle w:val="9"/>
          <w:rFonts w:hint="eastAsia" w:ascii="方正楷体_GBK" w:hAnsi="方正楷体_GBK" w:eastAsia="方正楷体_GBK" w:cs="方正楷体_GBK"/>
          <w:sz w:val="32"/>
          <w:szCs w:val="32"/>
        </w:rPr>
        <w:t>其他建议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事故涉及的其他</w:t>
      </w:r>
      <w:r>
        <w:rPr>
          <w:rFonts w:hint="eastAsia" w:ascii="方正仿宋_GBK" w:hAnsi="方正仿宋_GBK" w:eastAsia="方正仿宋_GBK" w:cs="方正仿宋_GBK"/>
          <w:b w:val="0"/>
          <w:sz w:val="32"/>
          <w:szCs w:val="32"/>
          <w:lang w:eastAsia="zh-CN"/>
        </w:rPr>
        <w:t>民事纠纷及赔偿</w:t>
      </w:r>
      <w:r>
        <w:rPr>
          <w:rFonts w:hint="eastAsia" w:ascii="方正仿宋_GBK" w:hAnsi="方正仿宋_GBK" w:eastAsia="方正仿宋_GBK" w:cs="方正仿宋_GBK"/>
          <w:b w:val="0"/>
          <w:sz w:val="32"/>
          <w:szCs w:val="32"/>
        </w:rPr>
        <w:t>责任，建议当事各方通过其他法律途径解决。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5"/>
        <w:jc w:val="left"/>
        <w:textAlignment w:val="auto"/>
        <w:rPr>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lang w:eastAsia="zh-CN"/>
        </w:rPr>
        <w:t>八</w:t>
      </w:r>
      <w:r>
        <w:rPr>
          <w:rStyle w:val="9"/>
          <w:rFonts w:hint="eastAsia" w:ascii="方正黑体_GBK" w:hAnsi="方正黑体_GBK" w:eastAsia="方正黑体_GBK" w:cs="方正黑体_GBK"/>
          <w:b w:val="0"/>
          <w:bCs/>
          <w:sz w:val="32"/>
          <w:szCs w:val="32"/>
        </w:rPr>
        <w:t>、事故防范措施和建议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1"/>
        <w:jc w:val="lef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（一）各镇</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街</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要深刻吸取此次事故的教训，举一反三，认真贯彻落实上级和区政府有关安全生产工作的一系列决策部署，做好辖区内</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房屋装修</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隐患排查工作，强化安全生产红线意识，落实监管责任。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641"/>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（二）行业主管部门要建立完善监管工作机制，继续开展对辖区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门店装修</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的安全生产大检查，加大宣传和执法力度，对无视安全生产、违法违规建设的行为要及时制止，排除事故隐患并依法严厉查处，同时加大日常巡查和监管力度，采取切实有效措施遏制同类事故发生。</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4816" w:firstLineChars="1505"/>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4816" w:firstLineChars="1505"/>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0" w:firstLine="4816" w:firstLineChars="1505"/>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重庆市大足区一环北路</w:t>
      </w:r>
    </w:p>
    <w:p>
      <w:pPr>
        <w:keepNext w:val="0"/>
        <w:keepLines w:val="0"/>
        <w:pageBreakBefore w:val="0"/>
        <w:widowControl w:val="0"/>
        <w:shd w:val="clear"/>
        <w:kinsoku/>
        <w:wordWrap/>
        <w:overflowPunct/>
        <w:topLinePunct w:val="0"/>
        <w:autoSpaceDE/>
        <w:autoSpaceDN/>
        <w:bidi w:val="0"/>
        <w:adjustRightInd w:val="0"/>
        <w:snapToGrid w:val="0"/>
        <w:spacing w:line="594" w:lineRule="exact"/>
        <w:ind w:leftChars="0" w:firstLine="2560" w:firstLineChars="800"/>
        <w:jc w:val="center"/>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利郎服饰“8·18”触电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事故调查组</w:t>
      </w:r>
    </w:p>
    <w:p>
      <w:pPr>
        <w:keepNext w:val="0"/>
        <w:keepLines w:val="0"/>
        <w:pageBreakBefore w:val="0"/>
        <w:widowControl w:val="0"/>
        <w:shd w:val="clear"/>
        <w:kinsoku/>
        <w:wordWrap/>
        <w:overflowPunct/>
        <w:topLinePunct w:val="0"/>
        <w:autoSpaceDE/>
        <w:autoSpaceDN/>
        <w:bidi w:val="0"/>
        <w:adjustRightInd w:val="0"/>
        <w:snapToGrid w:val="0"/>
        <w:spacing w:line="594" w:lineRule="exact"/>
        <w:ind w:leftChars="0" w:firstLine="2560" w:firstLineChars="800"/>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shd w:val="clear"/>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shd w:val="clear"/>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shd w:val="clear"/>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shd w:val="clear"/>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shd w:val="clear"/>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shd w:val="clear"/>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pStyle w:val="11"/>
        <w:rPr>
          <w:rFonts w:hint="eastAsia" w:ascii="黑体" w:hAnsi="黑体" w:eastAsia="黑体" w:cs="Times New Roman"/>
          <w:kern w:val="2"/>
          <w:sz w:val="32"/>
          <w:szCs w:val="32"/>
          <w:lang w:val="en-US" w:eastAsia="zh-CN" w:bidi="ar-SA"/>
        </w:rPr>
      </w:pPr>
    </w:p>
    <w:p>
      <w:pPr>
        <w:pStyle w:val="11"/>
        <w:rPr>
          <w:rFonts w:hint="eastAsia" w:ascii="黑体" w:hAnsi="黑体" w:eastAsia="黑体" w:cs="Times New Roman"/>
          <w:kern w:val="2"/>
          <w:sz w:val="32"/>
          <w:szCs w:val="32"/>
          <w:lang w:val="en-US" w:eastAsia="zh-CN" w:bidi="ar-SA"/>
        </w:rPr>
      </w:pPr>
    </w:p>
    <w:p>
      <w:pPr>
        <w:pStyle w:val="11"/>
        <w:rPr>
          <w:rFonts w:hint="eastAsia" w:ascii="黑体" w:hAnsi="黑体" w:eastAsia="黑体" w:cs="Times New Roman"/>
          <w:kern w:val="2"/>
          <w:sz w:val="32"/>
          <w:szCs w:val="32"/>
          <w:lang w:val="en-US" w:eastAsia="zh-CN" w:bidi="ar-SA"/>
        </w:rPr>
      </w:pPr>
    </w:p>
    <w:p>
      <w:pPr>
        <w:pStyle w:val="11"/>
        <w:rPr>
          <w:rFonts w:hint="eastAsia" w:ascii="黑体" w:hAnsi="黑体" w:eastAsia="黑体" w:cs="Times New Roman"/>
          <w:kern w:val="2"/>
          <w:sz w:val="32"/>
          <w:szCs w:val="32"/>
          <w:lang w:val="en-US" w:eastAsia="zh-CN" w:bidi="ar-SA"/>
        </w:rPr>
      </w:pPr>
    </w:p>
    <w:p>
      <w:pPr>
        <w:keepNext w:val="0"/>
        <w:keepLines w:val="0"/>
        <w:pageBreakBefore w:val="0"/>
        <w:shd w:val="clear"/>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shd w:val="clear"/>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附件2</w:t>
      </w:r>
    </w:p>
    <w:p>
      <w:pPr>
        <w:keepNext w:val="0"/>
        <w:keepLines w:val="0"/>
        <w:pageBreakBefore w:val="0"/>
        <w:widowControl w:val="0"/>
        <w:shd w:val="clea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重庆市大足区一环北路</w:t>
      </w:r>
    </w:p>
    <w:p>
      <w:pPr>
        <w:keepNext w:val="0"/>
        <w:keepLines w:val="0"/>
        <w:pageBreakBefore w:val="0"/>
        <w:widowControl w:val="0"/>
        <w:shd w:val="clea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利郎服饰“8·18”触电事故调查组</w:t>
      </w:r>
    </w:p>
    <w:p>
      <w:pPr>
        <w:keepNext w:val="0"/>
        <w:keepLines w:val="0"/>
        <w:pageBreakBefore w:val="0"/>
        <w:widowControl w:val="0"/>
        <w:shd w:val="clea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分析会人员名单签字表</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Autospacing="0" w:line="594" w:lineRule="exact"/>
        <w:jc w:val="both"/>
        <w:textAlignment w:val="auto"/>
        <w:outlineLvl w:val="9"/>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会议时间：20</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月</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日</w:t>
      </w:r>
    </w:p>
    <w:p>
      <w:pPr>
        <w:keepNext w:val="0"/>
        <w:keepLines w:val="0"/>
        <w:pageBreakBefore w:val="0"/>
        <w:shd w:val="clear"/>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color w:val="000000" w:themeColor="text1"/>
          <w:kern w:val="0"/>
          <w:sz w:val="32"/>
          <w:szCs w:val="32"/>
          <w:shd w:val="clear" w:color="auto" w:fill="FFFFFF"/>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val="en-US" w:eastAsia="zh-CN" w:bidi="ar"/>
          <w14:textFill>
            <w14:solidFill>
              <w14:schemeClr w14:val="tx1"/>
            </w14:solidFill>
          </w14:textFill>
        </w:rPr>
        <w:t>会议地点：大足区应急管理局213室</w:t>
      </w:r>
    </w:p>
    <w:tbl>
      <w:tblPr>
        <w:tblStyle w:val="7"/>
        <w:tblW w:w="885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1321"/>
        <w:gridCol w:w="1618"/>
        <w:gridCol w:w="1823"/>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70" w:type="dxa"/>
            <w:vMerge w:val="restart"/>
            <w:tcBorders>
              <w:top w:val="single" w:color="auto" w:sz="4" w:space="0"/>
              <w:left w:val="single" w:color="auto" w:sz="4" w:space="0"/>
              <w:right w:val="single" w:color="auto" w:sz="4" w:space="0"/>
            </w:tcBorders>
            <w:vAlign w:val="center"/>
          </w:tcPr>
          <w:p>
            <w:pPr>
              <w:pStyle w:val="6"/>
              <w:widowControl/>
              <w:shd w:val="clear"/>
              <w:autoSpaceDE w:val="0"/>
              <w:spacing w:line="440" w:lineRule="exact"/>
              <w:jc w:val="cente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工作单位</w:t>
            </w:r>
          </w:p>
        </w:tc>
        <w:tc>
          <w:tcPr>
            <w:tcW w:w="1321" w:type="dxa"/>
            <w:vMerge w:val="restart"/>
            <w:tcBorders>
              <w:top w:val="single" w:color="auto" w:sz="4" w:space="0"/>
              <w:left w:val="nil"/>
              <w:right w:val="single" w:color="auto" w:sz="4" w:space="0"/>
            </w:tcBorders>
            <w:vAlign w:val="center"/>
          </w:tcPr>
          <w:p>
            <w:pPr>
              <w:pStyle w:val="6"/>
              <w:widowControl/>
              <w:shd w:val="clear"/>
              <w:autoSpaceDE w:val="0"/>
              <w:spacing w:line="440" w:lineRule="exact"/>
              <w:jc w:val="cente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姓名</w:t>
            </w:r>
          </w:p>
        </w:tc>
        <w:tc>
          <w:tcPr>
            <w:tcW w:w="1618" w:type="dxa"/>
            <w:vMerge w:val="restart"/>
            <w:tcBorders>
              <w:top w:val="single" w:color="auto" w:sz="4" w:space="0"/>
              <w:left w:val="nil"/>
              <w:right w:val="single" w:color="auto" w:sz="4" w:space="0"/>
            </w:tcBorders>
            <w:vAlign w:val="center"/>
          </w:tcPr>
          <w:p>
            <w:pPr>
              <w:pStyle w:val="6"/>
              <w:widowControl/>
              <w:shd w:val="clear"/>
              <w:autoSpaceDE w:val="0"/>
              <w:spacing w:line="440" w:lineRule="exact"/>
              <w:jc w:val="cente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职务</w:t>
            </w:r>
          </w:p>
        </w:tc>
        <w:tc>
          <w:tcPr>
            <w:tcW w:w="3649" w:type="dxa"/>
            <w:gridSpan w:val="2"/>
            <w:tcBorders>
              <w:top w:val="single" w:color="auto" w:sz="4" w:space="0"/>
              <w:left w:val="nil"/>
              <w:bottom w:val="single" w:color="auto" w:sz="4" w:space="0"/>
              <w:right w:val="single" w:color="auto" w:sz="4" w:space="0"/>
            </w:tcBorders>
            <w:vAlign w:val="center"/>
          </w:tcPr>
          <w:p>
            <w:pPr>
              <w:shd w:val="clear"/>
              <w:spacing w:line="320" w:lineRule="exact"/>
              <w:jc w:val="center"/>
              <w:rPr>
                <w:rFonts w:ascii="方正仿宋_GBK" w:hAnsi="方正仿宋_GBK"/>
                <w:color w:val="000000" w:themeColor="text1"/>
                <w:sz w:val="32"/>
                <w:szCs w:val="32"/>
                <w:shd w:val="clear" w:color="auto" w:fill="FFFFFF"/>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是否同意调查报告意见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70" w:type="dxa"/>
            <w:vMerge w:val="continue"/>
            <w:tcBorders>
              <w:left w:val="single" w:color="auto" w:sz="4" w:space="0"/>
              <w:bottom w:val="single" w:color="auto" w:sz="4" w:space="0"/>
              <w:right w:val="single" w:color="auto" w:sz="4" w:space="0"/>
            </w:tcBorders>
            <w:vAlign w:val="center"/>
          </w:tcPr>
          <w:p>
            <w:pPr>
              <w:pStyle w:val="6"/>
              <w:widowControl/>
              <w:shd w:val="clear"/>
              <w:autoSpaceDE w:val="0"/>
              <w:spacing w:line="440" w:lineRule="exact"/>
              <w:jc w:val="cente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p>
        </w:tc>
        <w:tc>
          <w:tcPr>
            <w:tcW w:w="1321" w:type="dxa"/>
            <w:vMerge w:val="continue"/>
            <w:tcBorders>
              <w:left w:val="nil"/>
              <w:bottom w:val="single" w:color="auto" w:sz="4" w:space="0"/>
              <w:right w:val="single" w:color="auto" w:sz="4" w:space="0"/>
            </w:tcBorders>
            <w:vAlign w:val="center"/>
          </w:tcPr>
          <w:p>
            <w:pPr>
              <w:pStyle w:val="6"/>
              <w:widowControl/>
              <w:shd w:val="clear"/>
              <w:autoSpaceDE w:val="0"/>
              <w:spacing w:line="440" w:lineRule="exact"/>
              <w:jc w:val="cente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p>
        </w:tc>
        <w:tc>
          <w:tcPr>
            <w:tcW w:w="1618" w:type="dxa"/>
            <w:vMerge w:val="continue"/>
            <w:tcBorders>
              <w:left w:val="nil"/>
              <w:bottom w:val="single" w:color="auto" w:sz="4" w:space="0"/>
              <w:right w:val="single" w:color="auto" w:sz="4" w:space="0"/>
            </w:tcBorders>
            <w:vAlign w:val="center"/>
          </w:tcPr>
          <w:p>
            <w:pPr>
              <w:pStyle w:val="6"/>
              <w:widowControl/>
              <w:shd w:val="clear"/>
              <w:autoSpaceDE w:val="0"/>
              <w:spacing w:line="440" w:lineRule="exact"/>
              <w:jc w:val="cente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p>
        </w:tc>
        <w:tc>
          <w:tcPr>
            <w:tcW w:w="1823" w:type="dxa"/>
            <w:tcBorders>
              <w:top w:val="single" w:color="auto" w:sz="4" w:space="0"/>
              <w:left w:val="nil"/>
              <w:bottom w:val="single" w:color="auto" w:sz="4" w:space="0"/>
              <w:right w:val="single" w:color="auto" w:sz="4" w:space="0"/>
            </w:tcBorders>
            <w:vAlign w:val="center"/>
          </w:tcPr>
          <w:p>
            <w:pPr>
              <w:shd w:val="clear"/>
              <w:jc w:val="center"/>
              <w:rPr>
                <w:rFonts w:hint="eastAsia" w:ascii="方正仿宋_GBK" w:hAnsi="方正仿宋_GBK"/>
                <w:color w:val="000000" w:themeColor="text1"/>
                <w:sz w:val="32"/>
                <w:szCs w:val="32"/>
                <w:shd w:val="clear" w:color="auto" w:fill="FFFFFF"/>
                <w:lang w:eastAsia="zh-CN"/>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同意</w:t>
            </w:r>
            <w:r>
              <w:rPr>
                <w:rFonts w:hint="eastAsia" w:ascii="方正仿宋_GBK" w:eastAsia="方正仿宋_GBK"/>
                <w:color w:val="000000" w:themeColor="text1"/>
                <w:sz w:val="32"/>
                <w:szCs w:val="32"/>
                <w:lang w:val="en-US" w:eastAsia="zh-CN"/>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不同意</w:t>
            </w:r>
          </w:p>
        </w:tc>
        <w:tc>
          <w:tcPr>
            <w:tcW w:w="1826" w:type="dxa"/>
            <w:tcBorders>
              <w:top w:val="single" w:color="auto" w:sz="4" w:space="0"/>
              <w:left w:val="nil"/>
              <w:bottom w:val="single" w:color="auto" w:sz="4" w:space="0"/>
              <w:right w:val="single" w:color="auto" w:sz="4" w:space="0"/>
            </w:tcBorders>
            <w:vAlign w:val="center"/>
          </w:tcPr>
          <w:p>
            <w:pPr>
              <w:shd w:val="clear"/>
              <w:jc w:val="center"/>
              <w:rPr>
                <w:rFonts w:ascii="方正仿宋_GBK" w:hAnsi="方正仿宋_GBK"/>
                <w:color w:val="000000" w:themeColor="text1"/>
                <w:sz w:val="32"/>
                <w:szCs w:val="32"/>
                <w:shd w:val="clear" w:color="auto" w:fill="FFFFFF"/>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签</w:t>
            </w:r>
            <w:r>
              <w:rPr>
                <w:rFonts w:hint="eastAsia" w:ascii="方正仿宋_GBK" w:eastAsia="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olor w:val="000000" w:themeColor="text1"/>
                <w:sz w:val="32"/>
                <w:szCs w:val="32"/>
                <w:lang w:eastAsia="zh-CN"/>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区应急局</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吴朝中</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组长</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区应急局</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曾  伟</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副组长</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龙岗街道办事处</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default"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卢 强</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副组长</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区</w:t>
            </w: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城乡建委</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default" w:ascii="方正仿宋_GBK"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邓启鹏</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成员</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公安局</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default"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陈国文</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成员</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总工会</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李</w:t>
            </w: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 xml:space="preserve"> </w:t>
            </w: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 xml:space="preserve"> 萧</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成员</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ind w:left="0" w:leftChars="0" w:right="0" w:rightChars="0"/>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hd w:val="clear"/>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区应急局</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段  敏</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成员</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区应急局</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 xml:space="preserve">陈 </w:t>
            </w: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 xml:space="preserve"> </w:t>
            </w: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波</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成员</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区应急局</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陈学华</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成员</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龙岗街道</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秦兴才</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成员</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default"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区</w:t>
            </w: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监</w:t>
            </w: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委</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default"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王  唯</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邀请单位</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区检察院</w:t>
            </w: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eastAsia="方正仿宋_GBK" w:cs="Times New Roman"/>
                <w:color w:val="000000" w:themeColor="text1"/>
                <w:kern w:val="2"/>
                <w:sz w:val="32"/>
                <w:szCs w:val="32"/>
                <w:lang w:val="en-US" w:eastAsia="zh-CN" w:bidi="ar-SA"/>
                <w14:textFill>
                  <w14:solidFill>
                    <w14:schemeClr w14:val="tx1"/>
                  </w14:solidFill>
                </w14:textFill>
              </w:rPr>
              <w:t>周  微</w:t>
            </w: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邀请单位</w:t>
            </w: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p>
        </w:tc>
        <w:tc>
          <w:tcPr>
            <w:tcW w:w="132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p>
        </w:tc>
        <w:tc>
          <w:tcPr>
            <w:tcW w:w="1618"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pPr>
          </w:p>
        </w:tc>
        <w:tc>
          <w:tcPr>
            <w:tcW w:w="1823"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c>
          <w:tcPr>
            <w:tcW w:w="182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ascii="方正仿宋_GBK" w:hAnsi="方正仿宋_GBK"/>
                <w:color w:val="000000" w:themeColor="text1"/>
                <w:sz w:val="32"/>
                <w:szCs w:val="32"/>
                <w:shd w:val="clear" w:color="auto" w:fill="FFFFFF"/>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p>
    <w:p>
      <w:pPr>
        <w:rPr>
          <w:sz w:val="32"/>
          <w:szCs w:val="32"/>
        </w:rPr>
      </w:pPr>
    </w:p>
    <w:sectPr>
      <w:footerReference r:id="rId4"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Theme="minorHAnsi" w:hAnsiTheme="minorHAnsi" w:eastAsiaTheme="minorEastAsia" w:cstheme="minorBidi"/>
          <w:kern w:val="2"/>
          <w:sz w:val="18"/>
          <w:szCs w:val="24"/>
          <w:lang w:val="en-US" w:eastAsia="zh-CN" w:bidi="ar-SA"/>
        </w:rPr>
      </w:pPr>
      <w:r>
        <w:rPr>
          <w:rFonts w:hint="eastAsia" w:asciiTheme="minorHAnsi" w:hAnsiTheme="minorHAnsi" w:eastAsiaTheme="minorEastAsia" w:cstheme="minorBidi"/>
          <w:kern w:val="2"/>
          <w:sz w:val="18"/>
          <w:szCs w:val="24"/>
          <w:lang w:val="en-US" w:eastAsia="zh-CN" w:bidi="ar-SA"/>
        </w:rPr>
        <w:t>第三十条 生产经营单位的特种作业人员必须按照国家有关规定经专门的安全作业培训，取得相应资格，方可上岗作业。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Theme="minorHAnsi" w:hAnsiTheme="minorHAnsi" w:eastAsiaTheme="minorEastAsia" w:cstheme="minorBidi"/>
          <w:kern w:val="2"/>
          <w:sz w:val="18"/>
          <w:szCs w:val="24"/>
          <w:lang w:val="en-US" w:eastAsia="zh-CN" w:bidi="ar-SA"/>
        </w:rPr>
      </w:pPr>
      <w:r>
        <w:rPr>
          <w:rFonts w:hint="eastAsia" w:asciiTheme="minorHAnsi" w:hAnsiTheme="minorHAnsi" w:eastAsiaTheme="minorEastAsia" w:cstheme="minorBidi"/>
          <w:kern w:val="2"/>
          <w:sz w:val="18"/>
          <w:szCs w:val="24"/>
          <w:lang w:val="en-US" w:eastAsia="zh-CN" w:bidi="ar-SA"/>
        </w:rPr>
        <w:t>第四十五条 生产经营单位必须为从业人员提供符合国家标准或者行业标准的劳动防护用品，并监督、教育从业人员按照使用规则佩戴、使用。</w:t>
      </w:r>
    </w:p>
    <w:p>
      <w:pPr>
        <w:pStyle w:val="2"/>
        <w:ind w:left="0" w:leftChars="0" w:firstLine="360" w:firstLineChars="200"/>
        <w:rPr>
          <w:rFonts w:hint="eastAsia" w:asciiTheme="minorHAnsi" w:hAnsiTheme="minorHAnsi" w:eastAsiaTheme="minorEastAsia" w:cstheme="minorBidi"/>
          <w:kern w:val="2"/>
          <w:sz w:val="18"/>
          <w:szCs w:val="24"/>
          <w:lang w:val="en-US" w:eastAsia="zh-CN" w:bidi="ar-SA"/>
        </w:rPr>
      </w:pPr>
      <w:r>
        <w:rPr>
          <w:rFonts w:hint="eastAsia" w:asciiTheme="minorHAnsi" w:hAnsiTheme="minorHAnsi" w:eastAsiaTheme="minorEastAsia" w:cstheme="minorBidi"/>
          <w:kern w:val="2"/>
          <w:sz w:val="18"/>
          <w:szCs w:val="24"/>
          <w:lang w:val="en-US" w:eastAsia="zh-CN" w:bidi="ar-SA"/>
        </w:rPr>
        <w:t>3、第二十五条 生产经营单位的安全生产管理机构以及安全生产管理人员履行下列职责：（六）制止和纠正违章指挥、强令冒险作业、违反操作规程的行为；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Theme="minorHAnsi" w:hAnsiTheme="minorHAnsi" w:eastAsiaTheme="minorEastAsia" w:cstheme="minorBidi"/>
          <w:kern w:val="2"/>
          <w:sz w:val="18"/>
          <w:szCs w:val="24"/>
          <w:lang w:val="en-US" w:eastAsia="zh-CN" w:bidi="ar-SA"/>
        </w:rPr>
      </w:pPr>
      <w:r>
        <w:rPr>
          <w:rFonts w:hint="eastAsia" w:asciiTheme="minorHAnsi" w:hAnsiTheme="minorHAnsi" w:eastAsiaTheme="minorEastAsia" w:cstheme="minorBidi"/>
          <w:kern w:val="2"/>
          <w:sz w:val="18"/>
          <w:szCs w:val="24"/>
          <w:lang w:val="en-US" w:eastAsia="zh-CN" w:bidi="ar-SA"/>
        </w:rPr>
        <w:t>4、第一百一十四条 生生产安全事故，对负有责任的生产经营单位除要求其依法承担相应的赔偿等责任外，由应急管理部门依照下列规定处以罚款: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Theme="minorHAnsi" w:hAnsiTheme="minorHAnsi" w:eastAsiaTheme="minorEastAsia" w:cstheme="minorBidi"/>
          <w:kern w:val="2"/>
          <w:sz w:val="18"/>
          <w:szCs w:val="24"/>
          <w:lang w:val="en-US" w:eastAsia="zh-CN" w:bidi="ar-SA"/>
        </w:rPr>
      </w:pPr>
      <w:r>
        <w:rPr>
          <w:rFonts w:hint="eastAsia" w:asciiTheme="minorHAnsi" w:hAnsiTheme="minorHAnsi" w:eastAsiaTheme="minorEastAsia" w:cstheme="minorBidi"/>
          <w:kern w:val="2"/>
          <w:sz w:val="18"/>
          <w:szCs w:val="24"/>
          <w:lang w:val="en-US" w:eastAsia="zh-CN" w:bidi="ar-SA"/>
        </w:rPr>
        <w:t>（一）发生一般事故的，处三十万元以上一百万元以下的罚款；</w:t>
      </w:r>
    </w:p>
  </w:footnote>
  <w:footnote w:id="1">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Theme="minorHAnsi" w:hAnsiTheme="minorHAnsi" w:eastAsiaTheme="minorEastAsia" w:cstheme="minorBidi"/>
          <w:kern w:val="2"/>
          <w:sz w:val="18"/>
          <w:szCs w:val="24"/>
          <w:lang w:val="en-US" w:eastAsia="zh-CN" w:bidi="ar-SA"/>
        </w:rPr>
      </w:pPr>
      <w:r>
        <w:rPr>
          <w:rFonts w:hint="eastAsia" w:asciiTheme="minorHAnsi" w:hAnsiTheme="minorHAnsi" w:eastAsiaTheme="minorEastAsia" w:cstheme="minorBidi"/>
          <w:kern w:val="2"/>
          <w:sz w:val="18"/>
          <w:szCs w:val="24"/>
          <w:lang w:val="en-US" w:eastAsia="zh-CN" w:bidi="ar-SA"/>
        </w:rPr>
        <w:t>5、装修人在住宅室内装饰装修工程开工前，应当向物业管理企业或者房屋管理机构申报登记。</w:t>
      </w:r>
    </w:p>
  </w:footnote>
  <w:footnote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eastAsia" w:asciiTheme="minorHAnsi" w:hAnsiTheme="minorHAnsi" w:eastAsiaTheme="minorEastAsia" w:cstheme="minorBidi"/>
          <w:kern w:val="2"/>
          <w:sz w:val="18"/>
          <w:szCs w:val="24"/>
          <w:lang w:val="en-US" w:eastAsia="zh-CN" w:bidi="ar-SA"/>
        </w:rPr>
      </w:pPr>
    </w:p>
  </w:footnote>
  <w:footnote w:id="3">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kern w:val="2"/>
          <w:sz w:val="18"/>
          <w:szCs w:val="24"/>
          <w:lang w:val="en-US" w:eastAsia="zh-CN" w:bidi="ar-SA"/>
        </w:rPr>
      </w:pPr>
    </w:p>
  </w:footnote>
  <w:footnote w:id="4">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kern w:val="2"/>
          <w:sz w:val="18"/>
          <w:szCs w:val="24"/>
          <w:lang w:val="en-US" w:eastAsia="zh-CN" w:bidi="ar-S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187E"/>
    <w:multiLevelType w:val="singleLevel"/>
    <w:tmpl w:val="DCF1187E"/>
    <w:lvl w:ilvl="0" w:tentative="0">
      <w:start w:val="1"/>
      <w:numFmt w:val="decimal"/>
      <w:suff w:val="nothing"/>
      <w:lvlText w:val="%1、"/>
      <w:lvlJc w:val="left"/>
    </w:lvl>
  </w:abstractNum>
  <w:abstractNum w:abstractNumId="1">
    <w:nsid w:val="03E3F001"/>
    <w:multiLevelType w:val="singleLevel"/>
    <w:tmpl w:val="03E3F001"/>
    <w:lvl w:ilvl="0" w:tentative="0">
      <w:start w:val="2"/>
      <w:numFmt w:val="chineseCounting"/>
      <w:suff w:val="nothing"/>
      <w:lvlText w:val="%1、"/>
      <w:lvlJc w:val="left"/>
      <w:rPr>
        <w:rFonts w:hint="eastAsia"/>
      </w:rPr>
    </w:lvl>
  </w:abstractNum>
  <w:abstractNum w:abstractNumId="2">
    <w:nsid w:val="2F5EF43C"/>
    <w:multiLevelType w:val="singleLevel"/>
    <w:tmpl w:val="2F5EF43C"/>
    <w:lvl w:ilvl="0" w:tentative="0">
      <w:start w:val="2"/>
      <w:numFmt w:val="chineseCounting"/>
      <w:suff w:val="nothing"/>
      <w:lvlText w:val="（%1）"/>
      <w:lvlJc w:val="left"/>
      <w:rPr>
        <w:rFonts w:hint="eastAsia" w:ascii="方正楷体_GBK" w:hAnsi="方正楷体_GBK" w:eastAsia="方正楷体_GBK" w:cs="方正楷体_GBK"/>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MjgxZDAzZmM3MzAxZTJiZDA5ZmY4M2MxMTQ2NWUifQ=="/>
  </w:docVars>
  <w:rsids>
    <w:rsidRoot w:val="1D974CB7"/>
    <w:rsid w:val="02F47AD7"/>
    <w:rsid w:val="045E6D47"/>
    <w:rsid w:val="06553D41"/>
    <w:rsid w:val="0B123E45"/>
    <w:rsid w:val="126A3376"/>
    <w:rsid w:val="1B56670C"/>
    <w:rsid w:val="1D974CB7"/>
    <w:rsid w:val="25023467"/>
    <w:rsid w:val="37621691"/>
    <w:rsid w:val="3F9C7D6C"/>
    <w:rsid w:val="41260782"/>
    <w:rsid w:val="46B74B7A"/>
    <w:rsid w:val="4F5878A1"/>
    <w:rsid w:val="51AB16A4"/>
    <w:rsid w:val="539252EF"/>
    <w:rsid w:val="55877F62"/>
    <w:rsid w:val="57615457"/>
    <w:rsid w:val="5A7A0F0A"/>
    <w:rsid w:val="5B9F2A13"/>
    <w:rsid w:val="5D7A740D"/>
    <w:rsid w:val="5E8B2FCB"/>
    <w:rsid w:val="65FA654A"/>
    <w:rsid w:val="6681497E"/>
    <w:rsid w:val="6CA92751"/>
    <w:rsid w:val="6D535020"/>
    <w:rsid w:val="6F0D344D"/>
    <w:rsid w:val="72776226"/>
    <w:rsid w:val="74DF400D"/>
    <w:rsid w:val="77C568CA"/>
    <w:rsid w:val="79E722D0"/>
    <w:rsid w:val="7D30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Calibri" w:hAnsi="Calibri"/>
      <w:sz w:val="21"/>
      <w:szCs w:val="22"/>
    </w:rPr>
  </w:style>
  <w:style w:type="paragraph" w:styleId="3">
    <w:name w:val="Body Text Indent"/>
    <w:basedOn w:val="1"/>
    <w:next w:val="1"/>
    <w:semiHidden/>
    <w:qFormat/>
    <w:uiPriority w:val="0"/>
    <w:pPr>
      <w:ind w:firstLine="560" w:firstLineChars="200"/>
    </w:pPr>
    <w:rPr>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otnote reference"/>
    <w:basedOn w:val="8"/>
    <w:unhideWhenUsed/>
    <w:qFormat/>
    <w:uiPriority w:val="99"/>
    <w:rPr>
      <w:vertAlign w:val="superscript"/>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2023-12-05T01:57:00Z</dcterms:created>
  <dc:creator>Administrator</dc:creator>
  <cp:lastModifiedBy>王秋雁</cp:lastModifiedBy>
  <cp:lastPrinted>2023-12-14T00:46:00Z</cp:lastPrinted>
  <dcterms:modified xsi:type="dcterms:W3CDTF">2024-12-25T06:40:49Z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07BA565F473D417E816D683C83016914</vt:lpwstr>
  </property>
</Properties>
</file>