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color w:val="000000"/>
          <w:sz w:val="32"/>
          <w:szCs w:val="32"/>
        </w:rPr>
      </w:pPr>
      <w:bookmarkStart w:id="0" w:name="_Toc436221579"/>
      <w:r>
        <w:rPr>
          <w:rFonts w:hint="eastAsia"/>
          <w:color w:val="000000"/>
          <w:sz w:val="32"/>
          <w:szCs w:val="32"/>
        </w:rPr>
        <w:t>肺结核患者健康管理服务规范</w:t>
      </w:r>
      <w:bookmarkEnd w:id="0"/>
    </w:p>
    <w:p>
      <w:pPr>
        <w:adjustRightInd w:val="0"/>
        <w:snapToGrid w:val="0"/>
        <w:spacing w:line="400" w:lineRule="exact"/>
        <w:ind w:firstLine="480" w:firstLineChars="200"/>
        <w:rPr>
          <w:rFonts w:ascii="黑体" w:hAnsi="宋体" w:eastAsia="黑体"/>
          <w:color w:val="000000"/>
          <w:sz w:val="24"/>
          <w:szCs w:val="24"/>
        </w:rPr>
      </w:pPr>
      <w:r>
        <w:rPr>
          <w:rFonts w:hint="eastAsia" w:ascii="黑体" w:hAnsi="宋体" w:eastAsia="黑体"/>
          <w:color w:val="000000"/>
          <w:sz w:val="24"/>
          <w:szCs w:val="24"/>
        </w:rPr>
        <w:t>一、服务对象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辖区内确诊的常住肺结核患者。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黑体" w:hAnsi="宋体" w:eastAsia="黑体"/>
          <w:color w:val="000000"/>
          <w:sz w:val="24"/>
          <w:szCs w:val="24"/>
        </w:rPr>
      </w:pPr>
      <w:r>
        <w:rPr>
          <w:rFonts w:hint="eastAsia" w:ascii="黑体" w:hAnsi="宋体" w:eastAsia="黑体"/>
          <w:color w:val="000000"/>
          <w:sz w:val="24"/>
          <w:szCs w:val="24"/>
        </w:rPr>
        <w:t>二、服务内容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（一）筛查及推介转诊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对辖区内前来就诊的居民或患者，如发现有慢性咳嗽、咳痰≥</w:t>
      </w:r>
      <w:r>
        <w:rPr>
          <w:rFonts w:ascii="仿宋_GB2312" w:hAnsi="宋体"/>
          <w:color w:val="000000"/>
          <w:sz w:val="24"/>
          <w:szCs w:val="24"/>
        </w:rPr>
        <w:t>2</w:t>
      </w:r>
      <w:r>
        <w:rPr>
          <w:rFonts w:hint="eastAsia" w:ascii="仿宋_GB2312" w:hAnsi="宋体"/>
          <w:color w:val="000000"/>
          <w:sz w:val="24"/>
          <w:szCs w:val="24"/>
        </w:rPr>
        <w:t>周，咯血、血痰，或发热、盗汗、胸痛或不明原因消瘦等肺结核可疑症状者，在鉴别</w:t>
      </w:r>
      <w:r>
        <w:rPr>
          <w:rFonts w:ascii="仿宋_GB2312" w:hAnsi="宋体"/>
          <w:color w:val="000000"/>
          <w:sz w:val="24"/>
          <w:szCs w:val="24"/>
        </w:rPr>
        <w:t>诊断的</w:t>
      </w:r>
      <w:r>
        <w:rPr>
          <w:rFonts w:hint="eastAsia" w:ascii="仿宋_GB2312" w:hAnsi="宋体"/>
          <w:color w:val="000000"/>
          <w:sz w:val="24"/>
          <w:szCs w:val="24"/>
        </w:rPr>
        <w:t>基础</w:t>
      </w:r>
      <w:r>
        <w:rPr>
          <w:rFonts w:ascii="仿宋_GB2312" w:hAnsi="宋体"/>
          <w:color w:val="000000"/>
          <w:sz w:val="24"/>
          <w:szCs w:val="24"/>
        </w:rPr>
        <w:t>上</w:t>
      </w:r>
      <w:r>
        <w:rPr>
          <w:rFonts w:ascii="仿宋_GB2312" w:hAnsi="宋体"/>
          <w:b/>
          <w:color w:val="000000"/>
          <w:sz w:val="24"/>
          <w:szCs w:val="24"/>
        </w:rPr>
        <w:t>，</w:t>
      </w:r>
      <w:r>
        <w:rPr>
          <w:rFonts w:hint="eastAsia" w:ascii="仿宋_GB2312" w:hAnsi="宋体"/>
          <w:color w:val="000000"/>
          <w:sz w:val="24"/>
          <w:szCs w:val="24"/>
        </w:rPr>
        <w:t>填写“双向转诊单”。推荐其到结核病定点医疗机构进行结核病检查。</w:t>
      </w:r>
      <w:r>
        <w:rPr>
          <w:rFonts w:ascii="仿宋_GB2312" w:hAnsi="宋体"/>
          <w:color w:val="000000"/>
          <w:sz w:val="24"/>
          <w:szCs w:val="24"/>
        </w:rPr>
        <w:t>1</w:t>
      </w:r>
      <w:r>
        <w:rPr>
          <w:rFonts w:hint="eastAsia" w:ascii="仿宋_GB2312" w:hAnsi="宋体"/>
          <w:color w:val="000000"/>
          <w:sz w:val="24"/>
          <w:szCs w:val="24"/>
        </w:rPr>
        <w:t>周内进行电话随访，了解是否前去就诊，督促其及时就医。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（二）第一次入户随访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乡镇卫生院、村卫生室、社区卫生服务中心（站）接到上级专业</w:t>
      </w:r>
      <w:r>
        <w:rPr>
          <w:rFonts w:ascii="仿宋_GB2312" w:hAnsi="宋体"/>
          <w:color w:val="000000"/>
          <w:sz w:val="24"/>
          <w:szCs w:val="24"/>
        </w:rPr>
        <w:t>机构管理</w:t>
      </w:r>
      <w:r>
        <w:rPr>
          <w:rFonts w:hint="eastAsia" w:ascii="仿宋_GB2312" w:hAnsi="宋体"/>
          <w:color w:val="000000"/>
          <w:sz w:val="24"/>
          <w:szCs w:val="24"/>
        </w:rPr>
        <w:t>肺结核</w:t>
      </w:r>
      <w:r>
        <w:rPr>
          <w:rFonts w:ascii="仿宋_GB2312" w:hAnsi="宋体"/>
          <w:color w:val="000000"/>
          <w:sz w:val="24"/>
          <w:szCs w:val="24"/>
        </w:rPr>
        <w:t>患者</w:t>
      </w:r>
      <w:r>
        <w:rPr>
          <w:rFonts w:hint="eastAsia" w:ascii="仿宋_GB2312" w:hAnsi="宋体"/>
          <w:color w:val="000000"/>
          <w:sz w:val="24"/>
          <w:szCs w:val="24"/>
        </w:rPr>
        <w:t>的</w:t>
      </w:r>
      <w:r>
        <w:rPr>
          <w:rFonts w:ascii="仿宋_GB2312" w:hAnsi="宋体"/>
          <w:color w:val="000000"/>
          <w:sz w:val="24"/>
          <w:szCs w:val="24"/>
        </w:rPr>
        <w:t>通知</w:t>
      </w:r>
      <w:r>
        <w:rPr>
          <w:rFonts w:hint="eastAsia" w:ascii="仿宋_GB2312" w:hAnsi="宋体"/>
          <w:color w:val="000000"/>
          <w:sz w:val="24"/>
          <w:szCs w:val="24"/>
        </w:rPr>
        <w:t>单后，要在</w:t>
      </w:r>
      <w:r>
        <w:rPr>
          <w:rFonts w:ascii="仿宋_GB2312" w:hAnsi="宋体"/>
          <w:color w:val="000000"/>
          <w:sz w:val="24"/>
          <w:szCs w:val="24"/>
        </w:rPr>
        <w:t>72</w:t>
      </w:r>
      <w:r>
        <w:rPr>
          <w:rFonts w:hint="eastAsia" w:ascii="仿宋_GB2312" w:hAnsi="宋体"/>
          <w:color w:val="000000"/>
          <w:sz w:val="24"/>
          <w:szCs w:val="24"/>
        </w:rPr>
        <w:t>小时内访视患者，具体内容如下：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（1）确定督导人员</w:t>
      </w:r>
      <w:r>
        <w:rPr>
          <w:rFonts w:ascii="仿宋_GB2312" w:hAnsi="宋体"/>
          <w:color w:val="000000"/>
          <w:sz w:val="24"/>
          <w:szCs w:val="24"/>
        </w:rPr>
        <w:t>，</w:t>
      </w:r>
      <w:r>
        <w:rPr>
          <w:rFonts w:hint="eastAsia" w:ascii="仿宋_GB2312" w:hAnsi="宋体"/>
          <w:color w:val="000000"/>
          <w:sz w:val="24"/>
          <w:szCs w:val="24"/>
        </w:rPr>
        <w:t>督导人员优先为医务人员，也可为患者家属。若</w:t>
      </w:r>
      <w:r>
        <w:rPr>
          <w:rFonts w:ascii="仿宋_GB2312" w:hAnsi="宋体"/>
          <w:color w:val="000000"/>
          <w:sz w:val="24"/>
          <w:szCs w:val="24"/>
        </w:rPr>
        <w:t>选择家属，则必须对家属进行培训。</w:t>
      </w:r>
      <w:r>
        <w:rPr>
          <w:rFonts w:hint="eastAsia" w:ascii="仿宋_GB2312" w:hAnsi="宋体"/>
          <w:color w:val="000000"/>
          <w:sz w:val="24"/>
          <w:szCs w:val="24"/>
        </w:rPr>
        <w:t>同时</w:t>
      </w:r>
      <w:r>
        <w:rPr>
          <w:rFonts w:ascii="仿宋_GB2312" w:hAnsi="宋体"/>
          <w:color w:val="000000"/>
          <w:sz w:val="24"/>
          <w:szCs w:val="24"/>
        </w:rPr>
        <w:t>与患者确定</w:t>
      </w:r>
      <w:r>
        <w:rPr>
          <w:rFonts w:hint="eastAsia" w:ascii="仿宋_GB2312" w:hAnsi="宋体"/>
          <w:color w:val="000000"/>
          <w:sz w:val="24"/>
          <w:szCs w:val="24"/>
        </w:rPr>
        <w:t>服药地点和服药时间。按照化疗方案，告知督导</w:t>
      </w:r>
      <w:r>
        <w:rPr>
          <w:rFonts w:ascii="仿宋_GB2312" w:hAnsi="宋体"/>
          <w:color w:val="000000"/>
          <w:sz w:val="24"/>
          <w:szCs w:val="24"/>
        </w:rPr>
        <w:t>人员</w:t>
      </w:r>
      <w:r>
        <w:rPr>
          <w:rFonts w:hint="eastAsia" w:ascii="仿宋_GB2312" w:hAnsi="宋体"/>
          <w:color w:val="000000"/>
          <w:sz w:val="24"/>
          <w:szCs w:val="24"/>
        </w:rPr>
        <w:t>患者的“肺结核患者治疗记录卡”或“耐多药肺结核患者服药卡”的填写方法、取药的时间和地点，提醒患者按时取药和复诊。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（2）对患者的居住环境进行评估，告诉患者及家属做好防护工作，防止传染。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</w:t>
      </w:r>
      <w:r>
        <w:rPr>
          <w:rFonts w:ascii="仿宋_GB2312" w:hAnsi="宋体"/>
          <w:color w:val="000000"/>
          <w:sz w:val="24"/>
          <w:szCs w:val="24"/>
        </w:rPr>
        <w:t>3</w:t>
      </w:r>
      <w:r>
        <w:rPr>
          <w:rFonts w:hint="eastAsia" w:ascii="仿宋_GB2312" w:hAnsi="宋体"/>
          <w:color w:val="000000"/>
          <w:sz w:val="24"/>
          <w:szCs w:val="24"/>
        </w:rPr>
        <w:t>）对患者及家属进行结核病防治知识宣传教育。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（4）告诉患者出现病情</w:t>
      </w:r>
      <w:r>
        <w:rPr>
          <w:rFonts w:ascii="仿宋_GB2312" w:hAnsi="宋体"/>
          <w:color w:val="000000"/>
          <w:sz w:val="24"/>
          <w:szCs w:val="24"/>
        </w:rPr>
        <w:t>加重、严重不良反应、</w:t>
      </w:r>
      <w:r>
        <w:rPr>
          <w:rFonts w:hint="eastAsia" w:ascii="仿宋_GB2312" w:hAnsi="宋体"/>
          <w:color w:val="000000"/>
          <w:sz w:val="24"/>
          <w:szCs w:val="24"/>
        </w:rPr>
        <w:t>并发症</w:t>
      </w:r>
      <w:r>
        <w:rPr>
          <w:rFonts w:ascii="仿宋_GB2312" w:hAnsi="宋体"/>
          <w:color w:val="000000"/>
          <w:sz w:val="24"/>
          <w:szCs w:val="24"/>
        </w:rPr>
        <w:t>等</w:t>
      </w:r>
      <w:r>
        <w:rPr>
          <w:rFonts w:hint="eastAsia" w:ascii="仿宋_GB2312" w:hAnsi="宋体"/>
          <w:color w:val="000000"/>
          <w:sz w:val="24"/>
          <w:szCs w:val="24"/>
        </w:rPr>
        <w:t>异常情况</w:t>
      </w:r>
      <w:r>
        <w:rPr>
          <w:rFonts w:ascii="仿宋_GB2312" w:hAnsi="宋体"/>
          <w:color w:val="000000"/>
          <w:sz w:val="24"/>
          <w:szCs w:val="24"/>
        </w:rPr>
        <w:t>时</w:t>
      </w:r>
      <w:r>
        <w:rPr>
          <w:rFonts w:hint="eastAsia" w:ascii="仿宋_GB2312" w:hAnsi="宋体"/>
          <w:color w:val="000000"/>
          <w:sz w:val="24"/>
          <w:szCs w:val="24"/>
        </w:rPr>
        <w:t>，</w:t>
      </w:r>
      <w:r>
        <w:rPr>
          <w:rFonts w:ascii="仿宋_GB2312" w:hAnsi="宋体"/>
          <w:color w:val="000000"/>
          <w:sz w:val="24"/>
          <w:szCs w:val="24"/>
        </w:rPr>
        <w:t>要</w:t>
      </w:r>
      <w:r>
        <w:rPr>
          <w:rFonts w:hint="eastAsia" w:ascii="仿宋_GB2312" w:hAnsi="宋体"/>
          <w:color w:val="000000"/>
          <w:sz w:val="24"/>
          <w:szCs w:val="24"/>
        </w:rPr>
        <w:t>及时就诊。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若72小时内2次访视均</w:t>
      </w:r>
      <w:r>
        <w:rPr>
          <w:rFonts w:ascii="仿宋_GB2312" w:hAnsi="宋体"/>
          <w:color w:val="000000"/>
          <w:sz w:val="24"/>
          <w:szCs w:val="24"/>
        </w:rPr>
        <w:t>未</w:t>
      </w:r>
      <w:r>
        <w:rPr>
          <w:rFonts w:hint="eastAsia" w:ascii="仿宋_GB2312" w:hAnsi="宋体"/>
          <w:color w:val="000000"/>
          <w:sz w:val="24"/>
          <w:szCs w:val="24"/>
        </w:rPr>
        <w:t>见到</w:t>
      </w:r>
      <w:r>
        <w:rPr>
          <w:rFonts w:ascii="仿宋_GB2312" w:hAnsi="宋体"/>
          <w:color w:val="000000"/>
          <w:sz w:val="24"/>
          <w:szCs w:val="24"/>
        </w:rPr>
        <w:t>患者，则</w:t>
      </w:r>
      <w:r>
        <w:rPr>
          <w:rFonts w:hint="eastAsia" w:ascii="仿宋_GB2312" w:hAnsi="宋体"/>
          <w:color w:val="000000"/>
          <w:sz w:val="24"/>
          <w:szCs w:val="24"/>
        </w:rPr>
        <w:t>将</w:t>
      </w:r>
      <w:r>
        <w:rPr>
          <w:rFonts w:ascii="仿宋_GB2312" w:hAnsi="宋体"/>
          <w:color w:val="000000"/>
          <w:sz w:val="24"/>
          <w:szCs w:val="24"/>
        </w:rPr>
        <w:t>访视结果</w:t>
      </w:r>
      <w:r>
        <w:rPr>
          <w:rFonts w:hint="eastAsia" w:ascii="仿宋_GB2312" w:hAnsi="宋体"/>
          <w:color w:val="000000"/>
          <w:sz w:val="24"/>
          <w:szCs w:val="24"/>
        </w:rPr>
        <w:t>向上级专业</w:t>
      </w:r>
      <w:r>
        <w:rPr>
          <w:rFonts w:ascii="仿宋_GB2312" w:hAnsi="宋体"/>
          <w:color w:val="000000"/>
          <w:sz w:val="24"/>
          <w:szCs w:val="24"/>
        </w:rPr>
        <w:t>机构</w:t>
      </w:r>
      <w:r>
        <w:rPr>
          <w:rFonts w:hint="eastAsia" w:ascii="仿宋_GB2312" w:hAnsi="宋体"/>
          <w:color w:val="000000"/>
          <w:sz w:val="24"/>
          <w:szCs w:val="24"/>
        </w:rPr>
        <w:t>报告。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（三）督导服药和随访管理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1. 督导服药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（1）医务人员督导：患者服药日，医务人员对患者进行直接面视下督导服药。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（2）家庭成员督导：患者每次服药要在家属的面视下进行。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ascii="仿宋_GB2312" w:hAnsi="宋体"/>
          <w:color w:val="000000"/>
          <w:sz w:val="24"/>
          <w:szCs w:val="24"/>
        </w:rPr>
        <w:t xml:space="preserve">2. </w:t>
      </w:r>
      <w:r>
        <w:rPr>
          <w:rFonts w:hint="eastAsia" w:ascii="仿宋_GB2312" w:hAnsi="宋体"/>
          <w:color w:val="000000"/>
          <w:sz w:val="24"/>
          <w:szCs w:val="24"/>
        </w:rPr>
        <w:t>随访评估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对于由</w:t>
      </w:r>
      <w:r>
        <w:rPr>
          <w:rFonts w:ascii="仿宋_GB2312" w:hAnsi="宋体"/>
          <w:color w:val="000000"/>
          <w:sz w:val="24"/>
          <w:szCs w:val="24"/>
        </w:rPr>
        <w:t>医务人员督导的患者，</w:t>
      </w:r>
      <w:r>
        <w:rPr>
          <w:rFonts w:hint="eastAsia" w:ascii="仿宋_GB2312" w:hAnsi="宋体"/>
          <w:color w:val="000000"/>
          <w:sz w:val="24"/>
          <w:szCs w:val="24"/>
        </w:rPr>
        <w:t>医务人员至少每月记录1次对患者的随访</w:t>
      </w:r>
      <w:r>
        <w:rPr>
          <w:rFonts w:ascii="仿宋_GB2312" w:hAnsi="宋体"/>
          <w:color w:val="000000"/>
          <w:sz w:val="24"/>
          <w:szCs w:val="24"/>
        </w:rPr>
        <w:t>评估</w:t>
      </w:r>
      <w:r>
        <w:rPr>
          <w:rFonts w:hint="eastAsia" w:ascii="仿宋_GB2312" w:hAnsi="宋体"/>
          <w:color w:val="000000"/>
          <w:sz w:val="24"/>
          <w:szCs w:val="24"/>
        </w:rPr>
        <w:t>结果；</w:t>
      </w:r>
      <w:r>
        <w:rPr>
          <w:rFonts w:ascii="仿宋_GB2312" w:hAnsi="宋体"/>
          <w:color w:val="000000"/>
          <w:sz w:val="24"/>
          <w:szCs w:val="24"/>
        </w:rPr>
        <w:t>对于</w:t>
      </w:r>
      <w:r>
        <w:rPr>
          <w:rFonts w:hint="eastAsia" w:ascii="仿宋_GB2312" w:hAnsi="宋体"/>
          <w:color w:val="000000"/>
          <w:sz w:val="24"/>
          <w:szCs w:val="24"/>
        </w:rPr>
        <w:t>由家庭</w:t>
      </w:r>
      <w:r>
        <w:rPr>
          <w:rFonts w:ascii="仿宋_GB2312" w:hAnsi="宋体"/>
          <w:color w:val="000000"/>
          <w:sz w:val="24"/>
          <w:szCs w:val="24"/>
        </w:rPr>
        <w:t>成员督导的患者，</w:t>
      </w:r>
      <w:r>
        <w:rPr>
          <w:rFonts w:hint="eastAsia" w:ascii="仿宋_GB2312" w:hAnsi="宋体"/>
          <w:color w:val="000000"/>
          <w:sz w:val="24"/>
          <w:szCs w:val="24"/>
        </w:rPr>
        <w:t>基层</w:t>
      </w:r>
      <w:r>
        <w:rPr>
          <w:rFonts w:ascii="仿宋_GB2312" w:hAnsi="宋体"/>
          <w:color w:val="000000"/>
          <w:sz w:val="24"/>
          <w:szCs w:val="24"/>
        </w:rPr>
        <w:t>医疗卫生机构</w:t>
      </w:r>
      <w:r>
        <w:rPr>
          <w:rFonts w:hint="eastAsia" w:ascii="仿宋_GB2312" w:hAnsi="宋体"/>
          <w:color w:val="000000"/>
          <w:sz w:val="24"/>
          <w:szCs w:val="24"/>
        </w:rPr>
        <w:t>要在患者的强化期或注射期内每</w:t>
      </w:r>
      <w:r>
        <w:rPr>
          <w:rFonts w:ascii="仿宋_GB2312" w:hAnsi="宋体"/>
          <w:color w:val="000000"/>
          <w:sz w:val="24"/>
          <w:szCs w:val="24"/>
        </w:rPr>
        <w:t>10</w:t>
      </w:r>
      <w:r>
        <w:rPr>
          <w:rFonts w:hint="eastAsia" w:ascii="仿宋_GB2312" w:hAnsi="宋体"/>
          <w:color w:val="000000"/>
          <w:sz w:val="24"/>
          <w:szCs w:val="24"/>
        </w:rPr>
        <w:t>天随访</w:t>
      </w:r>
      <w:r>
        <w:rPr>
          <w:rFonts w:ascii="仿宋_GB2312" w:hAnsi="宋体"/>
          <w:color w:val="000000"/>
          <w:sz w:val="24"/>
          <w:szCs w:val="24"/>
        </w:rPr>
        <w:t>1</w:t>
      </w:r>
      <w:r>
        <w:rPr>
          <w:rFonts w:hint="eastAsia" w:ascii="仿宋_GB2312" w:hAnsi="宋体"/>
          <w:color w:val="000000"/>
          <w:sz w:val="24"/>
          <w:szCs w:val="24"/>
        </w:rPr>
        <w:t>次，继续期或非注射期内每1个月随访</w:t>
      </w:r>
      <w:r>
        <w:rPr>
          <w:rFonts w:ascii="仿宋_GB2312" w:hAnsi="宋体"/>
          <w:color w:val="000000"/>
          <w:sz w:val="24"/>
          <w:szCs w:val="24"/>
        </w:rPr>
        <w:t>1</w:t>
      </w:r>
      <w:r>
        <w:rPr>
          <w:rFonts w:hint="eastAsia" w:ascii="仿宋_GB2312" w:hAnsi="宋体"/>
          <w:color w:val="000000"/>
          <w:sz w:val="24"/>
          <w:szCs w:val="24"/>
        </w:rPr>
        <w:t>次。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</w:t>
      </w:r>
      <w:r>
        <w:rPr>
          <w:rFonts w:ascii="仿宋_GB2312" w:hAnsi="宋体"/>
          <w:color w:val="000000"/>
          <w:sz w:val="24"/>
          <w:szCs w:val="24"/>
        </w:rPr>
        <w:t>1</w:t>
      </w:r>
      <w:r>
        <w:rPr>
          <w:rFonts w:hint="eastAsia" w:ascii="仿宋_GB2312" w:hAnsi="宋体"/>
          <w:color w:val="000000"/>
          <w:sz w:val="24"/>
          <w:szCs w:val="24"/>
        </w:rPr>
        <w:t>）评估是否存在危急情况，如有则紧急转诊，</w:t>
      </w:r>
      <w:r>
        <w:rPr>
          <w:rFonts w:ascii="仿宋_GB2312" w:hAnsi="宋体"/>
          <w:color w:val="000000"/>
          <w:sz w:val="24"/>
          <w:szCs w:val="24"/>
        </w:rPr>
        <w:t>2</w:t>
      </w:r>
      <w:r>
        <w:rPr>
          <w:rFonts w:hint="eastAsia" w:ascii="仿宋_GB2312" w:hAnsi="宋体"/>
          <w:color w:val="000000"/>
          <w:sz w:val="24"/>
          <w:szCs w:val="24"/>
        </w:rPr>
        <w:t>周内主动随访转诊情况。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</w:t>
      </w:r>
      <w:r>
        <w:rPr>
          <w:rFonts w:ascii="仿宋_GB2312" w:hAnsi="宋体"/>
          <w:color w:val="000000"/>
          <w:sz w:val="24"/>
          <w:szCs w:val="24"/>
        </w:rPr>
        <w:t>2</w:t>
      </w:r>
      <w:r>
        <w:rPr>
          <w:rFonts w:hint="eastAsia" w:ascii="仿宋_GB2312" w:hAnsi="宋体"/>
          <w:color w:val="000000"/>
          <w:sz w:val="24"/>
          <w:szCs w:val="24"/>
        </w:rPr>
        <w:t>）对无需紧急转诊的，了解患者服药情况（包括</w:t>
      </w:r>
      <w:r>
        <w:rPr>
          <w:rFonts w:ascii="仿宋_GB2312" w:hAnsi="宋体"/>
          <w:color w:val="000000"/>
          <w:sz w:val="24"/>
          <w:szCs w:val="24"/>
        </w:rPr>
        <w:t>服药</w:t>
      </w:r>
      <w:r>
        <w:rPr>
          <w:rFonts w:hint="eastAsia" w:ascii="仿宋_GB2312" w:hAnsi="宋体"/>
          <w:color w:val="000000"/>
          <w:sz w:val="24"/>
          <w:szCs w:val="24"/>
        </w:rPr>
        <w:t>是否规律，</w:t>
      </w:r>
      <w:r>
        <w:rPr>
          <w:rFonts w:ascii="仿宋_GB2312" w:hAnsi="宋体"/>
          <w:color w:val="000000"/>
          <w:sz w:val="24"/>
          <w:szCs w:val="24"/>
        </w:rPr>
        <w:t>是否有不良反应</w:t>
      </w:r>
      <w:r>
        <w:rPr>
          <w:rFonts w:hint="eastAsia" w:ascii="仿宋_GB2312" w:hAnsi="宋体"/>
          <w:color w:val="000000"/>
          <w:sz w:val="24"/>
          <w:szCs w:val="24"/>
        </w:rPr>
        <w:t>），询问上次随访至此次随访期间的症状。询问其他疾病状况、用药史和生活方式。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ascii="仿宋_GB2312" w:hAnsi="宋体"/>
          <w:color w:val="000000"/>
          <w:sz w:val="24"/>
          <w:szCs w:val="24"/>
        </w:rPr>
        <w:t>3.</w:t>
      </w:r>
      <w:r>
        <w:rPr>
          <w:rFonts w:hint="eastAsia" w:ascii="仿宋_GB2312" w:hAnsi="宋体"/>
          <w:color w:val="000000"/>
          <w:sz w:val="24"/>
          <w:szCs w:val="24"/>
        </w:rPr>
        <w:t>分类干预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</w:t>
      </w:r>
      <w:r>
        <w:rPr>
          <w:rFonts w:ascii="仿宋_GB2312" w:hAnsi="宋体"/>
          <w:color w:val="000000"/>
          <w:sz w:val="24"/>
          <w:szCs w:val="24"/>
        </w:rPr>
        <w:t>1</w:t>
      </w:r>
      <w:r>
        <w:rPr>
          <w:rFonts w:hint="eastAsia" w:ascii="仿宋_GB2312" w:hAnsi="宋体"/>
          <w:color w:val="000000"/>
          <w:sz w:val="24"/>
          <w:szCs w:val="24"/>
        </w:rPr>
        <w:t>）对于能够</w:t>
      </w:r>
      <w:r>
        <w:rPr>
          <w:rFonts w:ascii="仿宋_GB2312" w:hAnsi="宋体"/>
          <w:color w:val="000000"/>
          <w:sz w:val="24"/>
          <w:szCs w:val="24"/>
        </w:rPr>
        <w:t>按时服药</w:t>
      </w:r>
      <w:r>
        <w:rPr>
          <w:rFonts w:hint="eastAsia" w:ascii="仿宋_GB2312" w:hAnsi="宋体"/>
          <w:color w:val="000000"/>
          <w:sz w:val="24"/>
          <w:szCs w:val="24"/>
        </w:rPr>
        <w:t>，无不良</w:t>
      </w:r>
      <w:r>
        <w:rPr>
          <w:rFonts w:ascii="仿宋_GB2312" w:hAnsi="宋体"/>
          <w:color w:val="000000"/>
          <w:sz w:val="24"/>
          <w:szCs w:val="24"/>
        </w:rPr>
        <w:t>反应的患者，则</w:t>
      </w:r>
      <w:r>
        <w:rPr>
          <w:rFonts w:hint="eastAsia" w:ascii="仿宋_GB2312" w:hAnsi="宋体"/>
          <w:color w:val="000000"/>
          <w:sz w:val="24"/>
          <w:szCs w:val="24"/>
        </w:rPr>
        <w:t>继续督导服药，并预约下一次随访时间。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（2</w:t>
      </w:r>
      <w:r>
        <w:rPr>
          <w:rFonts w:ascii="仿宋_GB2312" w:hAnsi="宋体"/>
          <w:color w:val="000000"/>
          <w:sz w:val="24"/>
          <w:szCs w:val="24"/>
        </w:rPr>
        <w:t>）</w:t>
      </w:r>
      <w:r>
        <w:rPr>
          <w:rFonts w:hint="eastAsia" w:ascii="仿宋_GB2312" w:hAnsi="宋体"/>
          <w:color w:val="000000"/>
          <w:sz w:val="24"/>
          <w:szCs w:val="24"/>
        </w:rPr>
        <w:t>患者</w:t>
      </w:r>
      <w:r>
        <w:rPr>
          <w:rFonts w:ascii="仿宋_GB2312" w:hAnsi="宋体"/>
          <w:color w:val="000000"/>
          <w:sz w:val="24"/>
          <w:szCs w:val="24"/>
        </w:rPr>
        <w:t>未</w:t>
      </w:r>
      <w:r>
        <w:rPr>
          <w:rFonts w:hint="eastAsia" w:ascii="仿宋_GB2312" w:hAnsi="宋体"/>
          <w:color w:val="000000"/>
          <w:sz w:val="24"/>
          <w:szCs w:val="24"/>
        </w:rPr>
        <w:t>按定点</w:t>
      </w:r>
      <w:r>
        <w:rPr>
          <w:rFonts w:ascii="仿宋_GB2312" w:hAnsi="宋体"/>
          <w:color w:val="000000"/>
          <w:sz w:val="24"/>
          <w:szCs w:val="24"/>
        </w:rPr>
        <w:t>医疗机构的医嘱服药，</w:t>
      </w:r>
      <w:r>
        <w:rPr>
          <w:rFonts w:hint="eastAsia" w:ascii="仿宋_GB2312" w:hAnsi="宋体"/>
          <w:color w:val="000000"/>
          <w:sz w:val="24"/>
          <w:szCs w:val="24"/>
        </w:rPr>
        <w:t>要</w:t>
      </w:r>
      <w:r>
        <w:rPr>
          <w:rFonts w:ascii="仿宋_GB2312" w:hAnsi="宋体"/>
          <w:color w:val="000000"/>
          <w:sz w:val="24"/>
          <w:szCs w:val="24"/>
        </w:rPr>
        <w:t>查明原因</w:t>
      </w:r>
      <w:r>
        <w:rPr>
          <w:rFonts w:hint="eastAsia" w:ascii="仿宋_GB2312" w:hAnsi="宋体"/>
          <w:color w:val="000000"/>
          <w:sz w:val="24"/>
          <w:szCs w:val="24"/>
        </w:rPr>
        <w:t>。若是不良</w:t>
      </w:r>
      <w:r>
        <w:rPr>
          <w:rFonts w:ascii="仿宋_GB2312" w:hAnsi="宋体"/>
          <w:color w:val="000000"/>
          <w:sz w:val="24"/>
          <w:szCs w:val="24"/>
        </w:rPr>
        <w:t>反应引起的，则转诊</w:t>
      </w:r>
      <w:r>
        <w:rPr>
          <w:rFonts w:hint="eastAsia" w:ascii="仿宋_GB2312" w:hAnsi="宋体"/>
          <w:color w:val="000000"/>
          <w:sz w:val="24"/>
          <w:szCs w:val="24"/>
        </w:rPr>
        <w:t>；</w:t>
      </w:r>
      <w:r>
        <w:rPr>
          <w:rFonts w:ascii="仿宋_GB2312" w:hAnsi="宋体"/>
          <w:color w:val="000000"/>
          <w:sz w:val="24"/>
          <w:szCs w:val="24"/>
        </w:rPr>
        <w:t>若其他原因，则要</w:t>
      </w:r>
      <w:r>
        <w:rPr>
          <w:rFonts w:hint="eastAsia" w:ascii="仿宋_GB2312" w:hAnsi="宋体"/>
          <w:color w:val="000000"/>
          <w:sz w:val="24"/>
          <w:szCs w:val="24"/>
        </w:rPr>
        <w:t>对</w:t>
      </w:r>
      <w:r>
        <w:rPr>
          <w:rFonts w:ascii="仿宋_GB2312" w:hAnsi="宋体"/>
          <w:color w:val="000000"/>
          <w:sz w:val="24"/>
          <w:szCs w:val="24"/>
        </w:rPr>
        <w:t>患者</w:t>
      </w:r>
      <w:r>
        <w:rPr>
          <w:rFonts w:hint="eastAsia" w:ascii="仿宋_GB2312" w:hAnsi="宋体"/>
          <w:color w:val="000000"/>
          <w:sz w:val="24"/>
          <w:szCs w:val="24"/>
        </w:rPr>
        <w:t>强化</w:t>
      </w:r>
      <w:r>
        <w:rPr>
          <w:rFonts w:ascii="仿宋_GB2312" w:hAnsi="宋体"/>
          <w:color w:val="000000"/>
          <w:sz w:val="24"/>
          <w:szCs w:val="24"/>
        </w:rPr>
        <w:t>健康教育。</w:t>
      </w:r>
      <w:r>
        <w:rPr>
          <w:rFonts w:hint="eastAsia" w:ascii="仿宋_GB2312" w:hAnsi="宋体"/>
          <w:color w:val="000000"/>
          <w:sz w:val="24"/>
          <w:szCs w:val="24"/>
        </w:rPr>
        <w:t>若患者漏服药次数超过1周及以上，要及时向上级专业机构进行报告。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（3</w:t>
      </w:r>
      <w:r>
        <w:rPr>
          <w:rFonts w:ascii="仿宋_GB2312" w:hAnsi="宋体"/>
          <w:color w:val="000000"/>
          <w:sz w:val="24"/>
          <w:szCs w:val="24"/>
        </w:rPr>
        <w:t>）</w:t>
      </w:r>
      <w:r>
        <w:rPr>
          <w:rFonts w:hint="eastAsia" w:ascii="仿宋_GB2312" w:hAnsi="宋体"/>
          <w:color w:val="000000"/>
          <w:sz w:val="24"/>
          <w:szCs w:val="24"/>
        </w:rPr>
        <w:t>对出现药物不良反应、并发症或</w:t>
      </w:r>
      <w:r>
        <w:rPr>
          <w:rFonts w:ascii="仿宋_GB2312" w:hAnsi="宋体"/>
          <w:color w:val="000000"/>
          <w:sz w:val="24"/>
          <w:szCs w:val="24"/>
        </w:rPr>
        <w:t>合并症</w:t>
      </w:r>
      <w:r>
        <w:rPr>
          <w:rFonts w:hint="eastAsia" w:ascii="仿宋_GB2312" w:hAnsi="宋体"/>
          <w:color w:val="000000"/>
          <w:sz w:val="24"/>
          <w:szCs w:val="24"/>
        </w:rPr>
        <w:t>的患者，要立即转诊，</w:t>
      </w:r>
      <w:r>
        <w:rPr>
          <w:rFonts w:ascii="仿宋_GB2312" w:hAnsi="宋体"/>
          <w:color w:val="000000"/>
          <w:sz w:val="24"/>
          <w:szCs w:val="24"/>
        </w:rPr>
        <w:t>2</w:t>
      </w:r>
      <w:r>
        <w:rPr>
          <w:rFonts w:hint="eastAsia" w:ascii="仿宋_GB2312" w:hAnsi="宋体"/>
          <w:color w:val="000000"/>
          <w:sz w:val="24"/>
          <w:szCs w:val="24"/>
        </w:rPr>
        <w:t>周内随访。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（4）提醒并督促</w:t>
      </w:r>
      <w:r>
        <w:rPr>
          <w:rFonts w:hint="eastAsia" w:ascii="仿宋_GB2312" w:hAnsi="Calibri"/>
          <w:color w:val="000000"/>
          <w:sz w:val="24"/>
          <w:szCs w:val="24"/>
        </w:rPr>
        <w:t>患者按时到定点医疗机构进行复诊。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（四）结案评估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当患者停止抗结核治疗后，要</w:t>
      </w:r>
      <w:r>
        <w:rPr>
          <w:rFonts w:ascii="仿宋_GB2312" w:hAnsi="宋体"/>
          <w:color w:val="000000"/>
          <w:sz w:val="24"/>
          <w:szCs w:val="24"/>
        </w:rPr>
        <w:t>对其进行结案评估，</w:t>
      </w:r>
      <w:r>
        <w:rPr>
          <w:rFonts w:hint="eastAsia" w:ascii="仿宋_GB2312" w:hAnsi="宋体"/>
          <w:color w:val="000000"/>
          <w:sz w:val="24"/>
          <w:szCs w:val="24"/>
        </w:rPr>
        <w:t>包括：记录患者停止治疗的时间及原因；对其全程服药管理情况进行评估；收集和上报患者的“肺结核患者治疗记录卡”或“耐多药肺结核患者服药卡”。同时将患者转诊至结核病定点医疗机构进行治疗转归</w:t>
      </w:r>
      <w:r>
        <w:rPr>
          <w:rFonts w:ascii="仿宋_GB2312" w:hAnsi="宋体"/>
          <w:color w:val="000000"/>
          <w:sz w:val="24"/>
          <w:szCs w:val="24"/>
        </w:rPr>
        <w:t>评估，2</w:t>
      </w:r>
      <w:r>
        <w:rPr>
          <w:rFonts w:hint="eastAsia" w:ascii="仿宋_GB2312" w:hAnsi="宋体"/>
          <w:color w:val="000000"/>
          <w:sz w:val="24"/>
          <w:szCs w:val="24"/>
        </w:rPr>
        <w:t>周内进行电话随访，了解是否前去就诊及确诊结果。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黑体" w:hAnsi="宋体" w:eastAsia="黑体"/>
          <w:color w:val="000000"/>
          <w:sz w:val="24"/>
          <w:szCs w:val="24"/>
        </w:rPr>
      </w:pPr>
      <w:r>
        <w:rPr>
          <w:rFonts w:hint="eastAsia" w:ascii="黑体" w:hAnsi="宋体" w:eastAsia="黑体"/>
          <w:color w:val="000000"/>
          <w:sz w:val="24"/>
          <w:szCs w:val="24"/>
        </w:rPr>
        <w:t>三、服务流程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黑体" w:hAnsi="宋体" w:eastAsia="黑体"/>
          <w:color w:val="000000"/>
          <w:sz w:val="24"/>
          <w:szCs w:val="24"/>
        </w:rPr>
      </w:pPr>
    </w:p>
    <w:p>
      <w:pPr>
        <w:adjustRightInd w:val="0"/>
        <w:snapToGrid w:val="0"/>
        <w:jc w:val="center"/>
        <w:rPr>
          <w:rFonts w:ascii="仿宋_GB2312" w:hAnsi="Calibri"/>
          <w:color w:val="000000"/>
          <w:sz w:val="21"/>
          <w:szCs w:val="22"/>
        </w:rPr>
      </w:pPr>
      <w:r>
        <w:rPr>
          <w:rFonts w:ascii="Calibri" w:hAnsi="Calibri" w:eastAsia="宋体"/>
          <w:color w:val="000000"/>
          <w:sz w:val="21"/>
          <w:szCs w:val="22"/>
        </w:rPr>
        <w:drawing>
          <wp:inline distT="0" distB="0" distL="0" distR="0">
            <wp:extent cx="5379720" cy="843280"/>
            <wp:effectExtent l="9525" t="9525" r="20955" b="2349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84328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仿宋_GB2312" w:hAnsi="Calibri"/>
          <w:color w:val="000000"/>
          <w:sz w:val="21"/>
          <w:szCs w:val="22"/>
        </w:rPr>
      </w:pPr>
    </w:p>
    <w:p>
      <w:pPr>
        <w:adjustRightInd w:val="0"/>
        <w:snapToGrid w:val="0"/>
        <w:jc w:val="center"/>
        <w:rPr>
          <w:rFonts w:ascii="仿宋_GB2312" w:hAnsi="Calibri"/>
          <w:color w:val="000000"/>
          <w:sz w:val="21"/>
          <w:szCs w:val="22"/>
        </w:rPr>
      </w:pPr>
      <w:r>
        <w:rPr>
          <w:rFonts w:hint="eastAsia" w:ascii="仿宋_GB2312" w:hAnsi="Calibri"/>
          <w:color w:val="000000"/>
          <w:sz w:val="21"/>
          <w:szCs w:val="22"/>
        </w:rPr>
        <w:t>图1 肺结核患者筛查与推介转诊流程图</w:t>
      </w:r>
    </w:p>
    <w:p>
      <w:pPr>
        <w:adjustRightInd w:val="0"/>
        <w:snapToGrid w:val="0"/>
        <w:jc w:val="center"/>
        <w:rPr>
          <w:rFonts w:ascii="Calibri" w:hAnsi="Calibri" w:eastAsia="宋体"/>
          <w:color w:val="000000"/>
          <w:sz w:val="21"/>
          <w:szCs w:val="22"/>
        </w:rPr>
      </w:pPr>
    </w:p>
    <w:p>
      <w:pPr>
        <w:adjustRightInd w:val="0"/>
        <w:snapToGrid w:val="0"/>
        <w:jc w:val="center"/>
        <w:rPr>
          <w:rFonts w:ascii="Calibri" w:hAnsi="Calibri" w:eastAsia="宋体"/>
          <w:color w:val="000000"/>
          <w:sz w:val="21"/>
          <w:szCs w:val="22"/>
        </w:rPr>
      </w:pPr>
      <w:r>
        <w:rPr>
          <w:rFonts w:ascii="Calibri" w:hAnsi="Calibri" w:eastAsia="宋体"/>
          <w:color w:val="000000"/>
          <w:sz w:val="21"/>
          <w:szCs w:val="22"/>
        </w:rPr>
        <w:drawing>
          <wp:inline distT="0" distB="0" distL="0" distR="0">
            <wp:extent cx="5344160" cy="1223010"/>
            <wp:effectExtent l="9525" t="9525" r="18415" b="2476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4160" cy="12230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/>
          <w:color w:val="000000"/>
          <w:sz w:val="21"/>
          <w:szCs w:val="22"/>
        </w:rPr>
        <w:t xml:space="preserve"> </w:t>
      </w:r>
    </w:p>
    <w:p>
      <w:pPr>
        <w:adjustRightInd w:val="0"/>
        <w:snapToGrid w:val="0"/>
        <w:jc w:val="center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Calibri"/>
          <w:color w:val="000000"/>
          <w:sz w:val="21"/>
          <w:szCs w:val="22"/>
        </w:rPr>
        <w:t xml:space="preserve"> 图2 肺结核患者第一次入户随访流程图</w:t>
      </w:r>
    </w:p>
    <w:p>
      <w:pPr>
        <w:adjustRightInd w:val="0"/>
        <w:snapToGrid w:val="0"/>
        <w:jc w:val="center"/>
        <w:rPr>
          <w:rFonts w:ascii="仿宋_GB2312" w:hAnsi="Calibri"/>
          <w:color w:val="000000"/>
          <w:sz w:val="21"/>
          <w:szCs w:val="22"/>
        </w:rPr>
      </w:pPr>
      <w:r>
        <w:object>
          <v:shape id="_x0000_i1025" o:spt="75" type="#_x0000_t75" style="height:238.6pt;width:421.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6">
            <o:LockedField>false</o:LockedField>
          </o:OLEObject>
        </w:object>
      </w:r>
      <w:r>
        <w:rPr>
          <w:rFonts w:hint="eastAsia" w:ascii="仿宋_GB2312" w:hAnsi="Calibri"/>
          <w:color w:val="000000"/>
          <w:sz w:val="21"/>
          <w:szCs w:val="22"/>
        </w:rPr>
        <w:t>图3 肺结核患者督导服药与随访管理流程图</w:t>
      </w:r>
    </w:p>
    <w:p>
      <w:pPr>
        <w:adjustRightInd w:val="0"/>
        <w:snapToGrid w:val="0"/>
        <w:spacing w:line="380" w:lineRule="exact"/>
        <w:ind w:firstLine="480" w:firstLineChars="200"/>
        <w:rPr>
          <w:rFonts w:ascii="黑体" w:hAnsi="宋体" w:eastAsia="黑体"/>
          <w:color w:val="000000"/>
          <w:sz w:val="24"/>
          <w:szCs w:val="24"/>
        </w:rPr>
      </w:pPr>
      <w:r>
        <w:rPr>
          <w:rFonts w:hint="eastAsia" w:ascii="黑体" w:hAnsi="宋体" w:eastAsia="黑体"/>
          <w:color w:val="000000"/>
          <w:sz w:val="24"/>
          <w:szCs w:val="24"/>
        </w:rPr>
        <w:t>四、服务要求</w:t>
      </w:r>
    </w:p>
    <w:p>
      <w:pPr>
        <w:adjustRightInd w:val="0"/>
        <w:snapToGrid w:val="0"/>
        <w:spacing w:line="38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（一）在农村地区，主要由村医开展肺结核患者的健康管理服务。</w:t>
      </w:r>
    </w:p>
    <w:p>
      <w:pPr>
        <w:adjustRightInd w:val="0"/>
        <w:snapToGrid w:val="0"/>
        <w:spacing w:line="38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（二）肺结核患者健康管理医务人员需接受上级专业机构</w:t>
      </w:r>
      <w:r>
        <w:rPr>
          <w:rFonts w:ascii="仿宋_GB2312" w:hAnsi="宋体"/>
          <w:color w:val="000000"/>
          <w:sz w:val="24"/>
          <w:szCs w:val="24"/>
        </w:rPr>
        <w:t>的</w:t>
      </w:r>
      <w:r>
        <w:rPr>
          <w:rFonts w:hint="eastAsia" w:ascii="仿宋_GB2312" w:hAnsi="宋体"/>
          <w:color w:val="000000"/>
          <w:sz w:val="24"/>
          <w:szCs w:val="24"/>
        </w:rPr>
        <w:t>培训和技术指导。</w:t>
      </w:r>
    </w:p>
    <w:p>
      <w:pPr>
        <w:adjustRightInd w:val="0"/>
        <w:snapToGrid w:val="0"/>
        <w:spacing w:line="38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（三）患者服药后，督导</w:t>
      </w:r>
      <w:r>
        <w:rPr>
          <w:rFonts w:ascii="仿宋_GB2312" w:hAnsi="宋体"/>
          <w:color w:val="000000"/>
          <w:sz w:val="24"/>
          <w:szCs w:val="24"/>
        </w:rPr>
        <w:t>人员</w:t>
      </w:r>
      <w:r>
        <w:rPr>
          <w:rFonts w:hint="eastAsia" w:ascii="仿宋_GB2312" w:hAnsi="宋体"/>
          <w:color w:val="000000"/>
          <w:sz w:val="24"/>
          <w:szCs w:val="24"/>
        </w:rPr>
        <w:t>按上级专业机构的要求，在患者服完药</w:t>
      </w:r>
      <w:r>
        <w:rPr>
          <w:rFonts w:ascii="仿宋_GB2312" w:hAnsi="宋体"/>
          <w:color w:val="000000"/>
          <w:sz w:val="24"/>
          <w:szCs w:val="24"/>
        </w:rPr>
        <w:t>后</w:t>
      </w:r>
      <w:r>
        <w:rPr>
          <w:rFonts w:hint="eastAsia" w:ascii="仿宋_GB2312" w:hAnsi="宋体"/>
          <w:color w:val="000000"/>
          <w:sz w:val="24"/>
          <w:szCs w:val="24"/>
        </w:rPr>
        <w:t>在“肺结核患者治疗记录卡”/“耐多药肺结核患者服药卡”中记录服药情况。患者完成疗程后,要将“肺结核患者治疗记录卡”/“耐多药肺结核患者服药卡”交上级专业机构留存</w:t>
      </w:r>
      <w:r>
        <w:rPr>
          <w:rFonts w:ascii="仿宋_GB2312" w:hAnsi="宋体"/>
          <w:color w:val="000000"/>
          <w:sz w:val="24"/>
          <w:szCs w:val="24"/>
        </w:rPr>
        <w:t>。</w:t>
      </w:r>
    </w:p>
    <w:p>
      <w:pPr>
        <w:adjustRightInd w:val="0"/>
        <w:snapToGrid w:val="0"/>
        <w:spacing w:line="38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（四</w:t>
      </w:r>
      <w:r>
        <w:rPr>
          <w:rFonts w:ascii="仿宋_GB2312" w:hAnsi="宋体"/>
          <w:color w:val="000000"/>
          <w:sz w:val="24"/>
          <w:szCs w:val="24"/>
        </w:rPr>
        <w:t>）</w:t>
      </w:r>
      <w:r>
        <w:rPr>
          <w:rFonts w:hint="eastAsia" w:ascii="仿宋_GB2312" w:hAnsi="宋体"/>
          <w:color w:val="000000"/>
          <w:sz w:val="24"/>
          <w:szCs w:val="24"/>
        </w:rPr>
        <w:t>提供服务后及时将相关信息记入“肺结核患者随访服务记录表”，</w:t>
      </w:r>
      <w:r>
        <w:rPr>
          <w:rFonts w:ascii="仿宋_GB2312" w:hAnsi="宋体"/>
          <w:color w:val="000000"/>
          <w:sz w:val="24"/>
          <w:szCs w:val="24"/>
        </w:rPr>
        <w:t>每月记入</w:t>
      </w:r>
      <w:r>
        <w:rPr>
          <w:rFonts w:hint="eastAsia" w:ascii="仿宋_GB2312" w:hAnsi="宋体"/>
          <w:color w:val="000000"/>
          <w:sz w:val="24"/>
          <w:szCs w:val="24"/>
        </w:rPr>
        <w:t>1次</w:t>
      </w:r>
      <w:r>
        <w:rPr>
          <w:rFonts w:ascii="仿宋_GB2312" w:hAnsi="宋体"/>
          <w:color w:val="000000"/>
          <w:sz w:val="24"/>
          <w:szCs w:val="24"/>
        </w:rPr>
        <w:t>，</w:t>
      </w:r>
      <w:r>
        <w:rPr>
          <w:rFonts w:hint="eastAsia" w:ascii="仿宋_GB2312" w:hAnsi="宋体"/>
          <w:color w:val="000000"/>
          <w:sz w:val="24"/>
          <w:szCs w:val="24"/>
        </w:rPr>
        <w:t>存入患者的健康档案,并将该信息与上级专业机构共享。</w:t>
      </w:r>
    </w:p>
    <w:p>
      <w:pPr>
        <w:adjustRightInd w:val="0"/>
        <w:snapToGrid w:val="0"/>
        <w:spacing w:line="38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（五）管理期间如发现患者从本辖区居住地迁出，要</w:t>
      </w:r>
      <w:r>
        <w:rPr>
          <w:rFonts w:ascii="仿宋_GB2312" w:hAnsi="宋体"/>
          <w:color w:val="000000"/>
          <w:sz w:val="24"/>
          <w:szCs w:val="24"/>
        </w:rPr>
        <w:t>及时</w:t>
      </w:r>
      <w:r>
        <w:rPr>
          <w:rFonts w:hint="eastAsia" w:ascii="仿宋_GB2312" w:hAnsi="宋体"/>
          <w:color w:val="000000"/>
          <w:sz w:val="24"/>
          <w:szCs w:val="24"/>
        </w:rPr>
        <w:t>向上级专业</w:t>
      </w:r>
      <w:r>
        <w:rPr>
          <w:rFonts w:ascii="仿宋_GB2312" w:hAnsi="宋体"/>
          <w:color w:val="000000"/>
          <w:sz w:val="24"/>
          <w:szCs w:val="24"/>
        </w:rPr>
        <w:t>机构</w:t>
      </w:r>
      <w:r>
        <w:rPr>
          <w:rFonts w:hint="eastAsia" w:ascii="仿宋_GB2312" w:hAnsi="宋体"/>
          <w:color w:val="000000"/>
          <w:sz w:val="24"/>
          <w:szCs w:val="24"/>
        </w:rPr>
        <w:t>报告。</w:t>
      </w:r>
    </w:p>
    <w:p>
      <w:pPr>
        <w:adjustRightInd w:val="0"/>
        <w:snapToGrid w:val="0"/>
        <w:spacing w:line="380" w:lineRule="exact"/>
        <w:ind w:firstLine="480" w:firstLineChars="200"/>
        <w:rPr>
          <w:rFonts w:ascii="黑体" w:hAnsi="宋体" w:eastAsia="黑体"/>
          <w:color w:val="000000"/>
          <w:sz w:val="24"/>
          <w:szCs w:val="24"/>
        </w:rPr>
      </w:pPr>
      <w:r>
        <w:rPr>
          <w:rFonts w:hint="eastAsia" w:ascii="黑体" w:hAnsi="宋体" w:eastAsia="黑体"/>
          <w:color w:val="000000"/>
          <w:sz w:val="24"/>
          <w:szCs w:val="24"/>
        </w:rPr>
        <w:t>五、工作指标</w:t>
      </w:r>
    </w:p>
    <w:p>
      <w:pPr>
        <w:adjustRightInd w:val="0"/>
        <w:snapToGrid w:val="0"/>
        <w:spacing w:line="38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（一）肺结核患者管理率</w:t>
      </w:r>
      <w:r>
        <w:rPr>
          <w:rFonts w:ascii="仿宋_GB2312" w:hAnsi="宋体"/>
          <w:color w:val="000000"/>
          <w:sz w:val="24"/>
          <w:szCs w:val="24"/>
        </w:rPr>
        <w:t>=</w:t>
      </w:r>
      <w:r>
        <w:rPr>
          <w:rFonts w:hint="eastAsia" w:ascii="仿宋_GB2312" w:hAnsi="宋体"/>
          <w:color w:val="000000"/>
          <w:sz w:val="24"/>
          <w:szCs w:val="24"/>
        </w:rPr>
        <w:t>已管理的肺结核患者人数</w:t>
      </w:r>
      <w:r>
        <w:rPr>
          <w:rFonts w:ascii="仿宋_GB2312" w:hAnsi="宋体"/>
          <w:color w:val="000000"/>
          <w:sz w:val="24"/>
          <w:szCs w:val="24"/>
        </w:rPr>
        <w:t>/</w:t>
      </w:r>
      <w:r>
        <w:rPr>
          <w:rFonts w:hint="eastAsia" w:ascii="仿宋_GB2312" w:hAnsi="宋体"/>
          <w:color w:val="000000"/>
          <w:sz w:val="24"/>
          <w:szCs w:val="24"/>
        </w:rPr>
        <w:t>辖区同期内经上级定点医疗</w:t>
      </w:r>
      <w:r>
        <w:rPr>
          <w:rFonts w:ascii="仿宋_GB2312" w:hAnsi="宋体"/>
          <w:color w:val="000000"/>
          <w:sz w:val="24"/>
          <w:szCs w:val="24"/>
        </w:rPr>
        <w:t>机构</w:t>
      </w:r>
      <w:r>
        <w:rPr>
          <w:rFonts w:hint="eastAsia" w:ascii="仿宋_GB2312" w:hAnsi="宋体"/>
          <w:color w:val="000000"/>
          <w:sz w:val="24"/>
          <w:szCs w:val="24"/>
        </w:rPr>
        <w:t>确诊并通知基层医疗卫生机构管理的肺结核患者人数×</w:t>
      </w:r>
      <w:r>
        <w:rPr>
          <w:rFonts w:ascii="仿宋_GB2312" w:hAnsi="宋体"/>
          <w:color w:val="000000"/>
          <w:sz w:val="24"/>
          <w:szCs w:val="24"/>
        </w:rPr>
        <w:t>100%</w:t>
      </w:r>
      <w:r>
        <w:rPr>
          <w:rFonts w:hint="eastAsia" w:ascii="仿宋_GB2312" w:hAnsi="宋体"/>
          <w:color w:val="000000"/>
          <w:sz w:val="24"/>
          <w:szCs w:val="24"/>
        </w:rPr>
        <w:t>。</w:t>
      </w:r>
    </w:p>
    <w:p>
      <w:pPr>
        <w:adjustRightInd w:val="0"/>
        <w:snapToGrid w:val="0"/>
        <w:spacing w:line="38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（二）肺结核患者规则服药率</w:t>
      </w:r>
      <w:r>
        <w:rPr>
          <w:rFonts w:ascii="仿宋_GB2312" w:hAnsi="宋体"/>
          <w:color w:val="000000"/>
          <w:sz w:val="24"/>
          <w:szCs w:val="24"/>
        </w:rPr>
        <w:t>=</w:t>
      </w:r>
      <w:r>
        <w:rPr>
          <w:rFonts w:hint="eastAsia" w:ascii="仿宋_GB2312" w:hAnsi="宋体"/>
          <w:color w:val="000000"/>
          <w:sz w:val="24"/>
          <w:szCs w:val="24"/>
        </w:rPr>
        <w:t>按照要求规则服药的肺结核患者人数</w:t>
      </w:r>
      <w:r>
        <w:rPr>
          <w:rFonts w:ascii="仿宋_GB2312" w:hAnsi="宋体"/>
          <w:color w:val="000000"/>
          <w:sz w:val="24"/>
          <w:szCs w:val="24"/>
        </w:rPr>
        <w:t>/</w:t>
      </w:r>
      <w:r>
        <w:rPr>
          <w:rFonts w:hint="eastAsia" w:ascii="仿宋_GB2312" w:hAnsi="宋体"/>
          <w:color w:val="000000"/>
          <w:sz w:val="24"/>
          <w:szCs w:val="24"/>
        </w:rPr>
        <w:t>同期辖区内已完成治疗的肺结核患者人数×</w:t>
      </w:r>
      <w:r>
        <w:rPr>
          <w:rFonts w:ascii="仿宋_GB2312" w:hAnsi="宋体"/>
          <w:color w:val="000000"/>
          <w:sz w:val="24"/>
          <w:szCs w:val="24"/>
        </w:rPr>
        <w:t>100%</w:t>
      </w:r>
      <w:r>
        <w:rPr>
          <w:rFonts w:hint="eastAsia" w:ascii="仿宋_GB2312" w:hAnsi="宋体"/>
          <w:color w:val="000000"/>
          <w:sz w:val="24"/>
          <w:szCs w:val="24"/>
        </w:rPr>
        <w:t>。</w:t>
      </w:r>
    </w:p>
    <w:p>
      <w:pPr>
        <w:adjustRightInd w:val="0"/>
        <w:snapToGrid w:val="0"/>
        <w:spacing w:line="38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hint="eastAsia" w:ascii="仿宋_GB2312" w:hAnsi="宋体"/>
          <w:color w:val="000000"/>
          <w:sz w:val="24"/>
          <w:szCs w:val="24"/>
        </w:rPr>
        <w:t>规则服药：在整个疗程中，患者在规定的服药时间实际服药次数占应服药次数的90%以上。</w:t>
      </w:r>
    </w:p>
    <w:p>
      <w:pPr>
        <w:adjustRightInd w:val="0"/>
        <w:snapToGrid w:val="0"/>
        <w:spacing w:line="380" w:lineRule="exact"/>
        <w:ind w:firstLine="480" w:firstLineChars="200"/>
        <w:rPr>
          <w:rFonts w:ascii="黑体" w:hAnsi="宋体" w:eastAsia="黑体"/>
          <w:color w:val="000000"/>
          <w:sz w:val="24"/>
          <w:szCs w:val="24"/>
        </w:rPr>
      </w:pPr>
      <w:r>
        <w:rPr>
          <w:rFonts w:hint="eastAsia" w:ascii="黑体" w:hAnsi="宋体" w:eastAsia="黑体"/>
          <w:color w:val="000000"/>
          <w:sz w:val="24"/>
          <w:szCs w:val="24"/>
        </w:rPr>
        <w:t>六、附件</w:t>
      </w:r>
    </w:p>
    <w:p>
      <w:pPr>
        <w:adjustRightInd w:val="0"/>
        <w:snapToGrid w:val="0"/>
        <w:spacing w:line="380" w:lineRule="exact"/>
        <w:ind w:firstLine="480" w:firstLineChars="200"/>
        <w:rPr>
          <w:rFonts w:ascii="仿宋_GB2312" w:hAnsi="宋体"/>
          <w:color w:val="000000"/>
          <w:sz w:val="24"/>
          <w:szCs w:val="24"/>
        </w:rPr>
      </w:pPr>
      <w:r>
        <w:rPr>
          <w:rFonts w:ascii="仿宋_GB2312" w:hAnsi="宋体"/>
          <w:color w:val="000000"/>
          <w:sz w:val="24"/>
          <w:szCs w:val="24"/>
        </w:rPr>
        <w:t>1.</w:t>
      </w:r>
      <w:r>
        <w:rPr>
          <w:rFonts w:hint="eastAsia" w:ascii="仿宋_GB2312" w:hAnsi="宋体"/>
          <w:color w:val="000000"/>
          <w:sz w:val="24"/>
          <w:szCs w:val="24"/>
        </w:rPr>
        <w:t>肺结核患者第一次入户随访记录表</w:t>
      </w:r>
    </w:p>
    <w:p>
      <w:pPr>
        <w:widowControl/>
        <w:jc w:val="left"/>
        <w:rPr>
          <w:rFonts w:hint="eastAsia" w:ascii="仿宋_GB2312" w:hAnsi="宋体"/>
          <w:color w:val="000000"/>
          <w:sz w:val="24"/>
          <w:szCs w:val="24"/>
        </w:rPr>
      </w:pPr>
      <w:r>
        <w:rPr>
          <w:rFonts w:ascii="仿宋_GB2312" w:hAnsi="宋体"/>
          <w:color w:val="000000"/>
          <w:sz w:val="24"/>
          <w:szCs w:val="24"/>
        </w:rPr>
        <w:t>2.</w:t>
      </w:r>
      <w:r>
        <w:rPr>
          <w:rFonts w:hint="eastAsia" w:ascii="仿宋_GB2312" w:hAnsi="宋体"/>
          <w:color w:val="000000"/>
          <w:sz w:val="24"/>
          <w:szCs w:val="24"/>
        </w:rPr>
        <w:t>肺结核患者随访服务记录表</w:t>
      </w:r>
    </w:p>
    <w:p>
      <w:pPr>
        <w:widowControl/>
        <w:jc w:val="left"/>
        <w:rPr>
          <w:rFonts w:hint="eastAsia" w:ascii="仿宋_GB2312" w:hAnsi="宋体"/>
          <w:color w:val="000000"/>
          <w:sz w:val="24"/>
          <w:szCs w:val="24"/>
        </w:rPr>
      </w:pPr>
    </w:p>
    <w:p>
      <w:pPr>
        <w:widowControl/>
        <w:jc w:val="left"/>
        <w:rPr>
          <w:rFonts w:hint="eastAsia" w:ascii="仿宋_GB2312" w:hAnsi="宋体"/>
          <w:color w:val="000000"/>
          <w:sz w:val="24"/>
          <w:szCs w:val="24"/>
        </w:rPr>
      </w:pPr>
    </w:p>
    <w:p>
      <w:pPr>
        <w:widowControl/>
        <w:jc w:val="left"/>
        <w:rPr>
          <w:rFonts w:hint="eastAsia" w:ascii="仿宋_GB2312" w:hAnsi="宋体"/>
          <w:color w:val="000000"/>
          <w:sz w:val="24"/>
          <w:szCs w:val="24"/>
        </w:rPr>
      </w:pPr>
    </w:p>
    <w:p>
      <w:pPr>
        <w:widowControl/>
        <w:jc w:val="left"/>
        <w:rPr>
          <w:rFonts w:ascii="仿宋_GB2312" w:hAnsi="仿宋"/>
          <w:b/>
          <w:color w:val="000000"/>
          <w:sz w:val="24"/>
          <w:szCs w:val="24"/>
        </w:rPr>
      </w:pPr>
      <w:bookmarkStart w:id="1" w:name="_GoBack"/>
      <w:bookmarkEnd w:id="1"/>
      <w:r>
        <w:rPr>
          <w:rFonts w:hint="eastAsia" w:ascii="仿宋_GB2312" w:hAnsi="仿宋"/>
          <w:b/>
          <w:color w:val="000000"/>
          <w:sz w:val="24"/>
          <w:szCs w:val="24"/>
        </w:rPr>
        <w:t>附件1</w:t>
      </w:r>
    </w:p>
    <w:p>
      <w:pPr>
        <w:adjustRightInd w:val="0"/>
        <w:snapToGrid w:val="0"/>
        <w:jc w:val="center"/>
        <w:rPr>
          <w:rFonts w:eastAsia="宋体"/>
          <w:b/>
          <w:bCs/>
          <w:color w:val="000000"/>
          <w:kern w:val="44"/>
          <w:szCs w:val="32"/>
        </w:rPr>
      </w:pPr>
      <w:r>
        <w:rPr>
          <w:rFonts w:hint="eastAsia" w:eastAsia="宋体"/>
          <w:b/>
          <w:bCs/>
          <w:color w:val="000000"/>
          <w:kern w:val="44"/>
          <w:szCs w:val="32"/>
        </w:rPr>
        <w:t>肺结核患者第一次入户随访记录表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仿宋_GB2312" w:hAnsi="宋体"/>
          <w:b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textAlignment w:val="baseline"/>
        <w:rPr>
          <w:rFonts w:ascii="仿宋_GB2312" w:hAnsi="宋体" w:eastAsia="宋体"/>
          <w:b/>
          <w:color w:val="000000"/>
          <w:sz w:val="28"/>
          <w:szCs w:val="28"/>
        </w:rPr>
      </w:pPr>
      <w:r>
        <w:rPr>
          <w:rFonts w:hint="eastAsia" w:ascii="仿宋_GB2312" w:hAnsi="宋体"/>
          <w:b/>
          <w:color w:val="000000"/>
          <w:sz w:val="24"/>
          <w:szCs w:val="24"/>
        </w:rPr>
        <w:t>姓  名：</w:t>
      </w:r>
      <w:r>
        <w:rPr>
          <w:rFonts w:hint="eastAsia" w:ascii="仿宋_GB2312" w:hAnsi="宋体"/>
          <w:b/>
          <w:color w:val="000000"/>
          <w:sz w:val="28"/>
          <w:szCs w:val="28"/>
        </w:rPr>
        <w:t xml:space="preserve">                                  </w:t>
      </w:r>
      <w:r>
        <w:rPr>
          <w:rFonts w:hint="eastAsia" w:ascii="仿宋_GB2312" w:hAnsi="宋体"/>
          <w:b/>
          <w:color w:val="000000"/>
          <w:sz w:val="24"/>
          <w:szCs w:val="24"/>
        </w:rPr>
        <w:t>编号□□□-□□□□□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6"/>
        <w:gridCol w:w="2127"/>
        <w:gridCol w:w="5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10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随访时间</w:t>
            </w:r>
          </w:p>
        </w:tc>
        <w:tc>
          <w:tcPr>
            <w:tcW w:w="3190" w:type="pct"/>
            <w:vAlign w:val="center"/>
          </w:tcPr>
          <w:p>
            <w:pPr>
              <w:spacing w:line="240" w:lineRule="exact"/>
              <w:ind w:firstLine="420" w:firstLineChars="200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 xml:space="preserve">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10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随访方式</w:t>
            </w:r>
          </w:p>
        </w:tc>
        <w:tc>
          <w:tcPr>
            <w:tcW w:w="3190" w:type="pct"/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1门诊      2.家庭          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10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患者类型</w:t>
            </w:r>
          </w:p>
        </w:tc>
        <w:tc>
          <w:tcPr>
            <w:tcW w:w="3190" w:type="pct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1初治      2复治           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10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痰菌情况</w:t>
            </w:r>
          </w:p>
        </w:tc>
        <w:tc>
          <w:tcPr>
            <w:tcW w:w="3190" w:type="pct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1阳性      2阴性     3未查痰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10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耐药情况</w:t>
            </w:r>
          </w:p>
        </w:tc>
        <w:tc>
          <w:tcPr>
            <w:tcW w:w="3190" w:type="pct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1耐药      2非耐药   3未检测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10" w:type="pct"/>
            <w:gridSpan w:val="3"/>
            <w:vMerge w:val="restart"/>
            <w:vAlign w:val="center"/>
          </w:tcPr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症状及体征：</w:t>
            </w:r>
          </w:p>
          <w:p>
            <w:pPr>
              <w:spacing w:line="240" w:lineRule="exact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0没有症状  1咳嗽咳痰</w:t>
            </w:r>
          </w:p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2低热盗汗  3咯血或血痰</w:t>
            </w:r>
          </w:p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4 胸痛消瘦  5恶心纳差</w:t>
            </w:r>
          </w:p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6头痛失眠  7视物模糊</w:t>
            </w:r>
          </w:p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8皮肤瘙痒、皮疹</w:t>
            </w:r>
          </w:p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9 耳鸣、听力下降</w:t>
            </w:r>
          </w:p>
        </w:tc>
        <w:tc>
          <w:tcPr>
            <w:tcW w:w="3190" w:type="pct"/>
            <w:vAlign w:val="center"/>
          </w:tcPr>
          <w:p>
            <w:pPr>
              <w:spacing w:line="240" w:lineRule="exact"/>
              <w:jc w:val="righ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□/□/□/□/□/□/□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810" w:type="pct"/>
            <w:gridSpan w:val="3"/>
            <w:vMerge w:val="continue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3190" w:type="pct"/>
          </w:tcPr>
          <w:p>
            <w:pPr>
              <w:spacing w:line="240" w:lineRule="exact"/>
              <w:jc w:val="lef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其他：</w:t>
            </w:r>
          </w:p>
          <w:p>
            <w:pPr>
              <w:spacing w:line="240" w:lineRule="exact"/>
              <w:jc w:val="left"/>
              <w:rPr>
                <w:rFonts w:ascii="仿宋_GB2312" w:hAnsi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仿宋_GB2312" w:hAnsi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仿宋_GB2312" w:hAnsi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63" w:type="pct"/>
            <w:gridSpan w:val="2"/>
            <w:vMerge w:val="restart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用</w:t>
            </w:r>
          </w:p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药</w:t>
            </w:r>
          </w:p>
        </w:tc>
        <w:tc>
          <w:tcPr>
            <w:tcW w:w="124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化疗方案</w:t>
            </w:r>
          </w:p>
        </w:tc>
        <w:tc>
          <w:tcPr>
            <w:tcW w:w="3190" w:type="pct"/>
          </w:tcPr>
          <w:p>
            <w:pPr>
              <w:spacing w:line="240" w:lineRule="exact"/>
              <w:jc w:val="right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63" w:type="pct"/>
            <w:gridSpan w:val="2"/>
            <w:vMerge w:val="continue"/>
          </w:tcPr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4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用    法</w:t>
            </w:r>
          </w:p>
        </w:tc>
        <w:tc>
          <w:tcPr>
            <w:tcW w:w="3190" w:type="pct"/>
            <w:vAlign w:val="center"/>
          </w:tcPr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1每日     2 间歇           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3" w:type="pct"/>
            <w:gridSpan w:val="2"/>
            <w:vMerge w:val="continue"/>
          </w:tcPr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4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药品剂型</w:t>
            </w:r>
          </w:p>
        </w:tc>
        <w:tc>
          <w:tcPr>
            <w:tcW w:w="3190" w:type="pct"/>
            <w:vAlign w:val="center"/>
          </w:tcPr>
          <w:p>
            <w:pPr>
              <w:spacing w:line="240" w:lineRule="exact"/>
              <w:jc w:val="distribute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1 固定剂量复合制剂   □      2 散装药          □</w:t>
            </w:r>
          </w:p>
          <w:p>
            <w:pPr>
              <w:spacing w:line="240" w:lineRule="exact"/>
              <w:jc w:val="distribute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3 板式组合药         □      4 注射剂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10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000000"/>
                <w:sz w:val="21"/>
                <w:szCs w:val="21"/>
              </w:rPr>
              <w:t>督导人员选择</w:t>
            </w:r>
          </w:p>
        </w:tc>
        <w:tc>
          <w:tcPr>
            <w:tcW w:w="3190" w:type="pct"/>
            <w:vAlign w:val="center"/>
          </w:tcPr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1医生      2家属      3自服药    4 其他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63" w:type="pct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家庭居住环境评估</w:t>
            </w:r>
          </w:p>
        </w:tc>
        <w:tc>
          <w:tcPr>
            <w:tcW w:w="124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单独的居室</w:t>
            </w:r>
          </w:p>
        </w:tc>
        <w:tc>
          <w:tcPr>
            <w:tcW w:w="3190" w:type="pct"/>
            <w:vAlign w:val="center"/>
          </w:tcPr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1有     2无                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63" w:type="pct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</w:p>
        </w:tc>
        <w:tc>
          <w:tcPr>
            <w:tcW w:w="124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通风情况</w:t>
            </w:r>
          </w:p>
        </w:tc>
        <w:tc>
          <w:tcPr>
            <w:tcW w:w="3190" w:type="pct"/>
            <w:vAlign w:val="center"/>
          </w:tcPr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1良好     2一般    3差         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63" w:type="pct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000000"/>
                <w:sz w:val="21"/>
                <w:szCs w:val="21"/>
              </w:rPr>
              <w:t>生活方式评估</w:t>
            </w:r>
          </w:p>
        </w:tc>
        <w:tc>
          <w:tcPr>
            <w:tcW w:w="124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000000"/>
                <w:sz w:val="21"/>
                <w:szCs w:val="21"/>
              </w:rPr>
              <w:t>吸     烟</w:t>
            </w:r>
          </w:p>
        </w:tc>
        <w:tc>
          <w:tcPr>
            <w:tcW w:w="3190" w:type="pct"/>
            <w:vAlign w:val="center"/>
          </w:tcPr>
          <w:p>
            <w:pPr>
              <w:spacing w:line="240" w:lineRule="exact"/>
              <w:ind w:firstLine="630" w:firstLineChars="300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000000"/>
                <w:sz w:val="21"/>
                <w:szCs w:val="21"/>
              </w:rPr>
              <w:t>　　 /　　  支/天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63" w:type="pct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21"/>
                <w:szCs w:val="21"/>
              </w:rPr>
            </w:pPr>
          </w:p>
        </w:tc>
        <w:tc>
          <w:tcPr>
            <w:tcW w:w="1247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饮     酒</w:t>
            </w:r>
          </w:p>
        </w:tc>
        <w:tc>
          <w:tcPr>
            <w:tcW w:w="3190" w:type="pct"/>
            <w:vAlign w:val="center"/>
          </w:tcPr>
          <w:p>
            <w:pPr>
              <w:spacing w:line="240" w:lineRule="exact"/>
              <w:ind w:firstLine="1134" w:firstLineChars="540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/　    两/天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13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000000"/>
                <w:sz w:val="21"/>
                <w:szCs w:val="21"/>
              </w:rPr>
              <w:t>健</w:t>
            </w:r>
          </w:p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000000"/>
                <w:sz w:val="21"/>
                <w:szCs w:val="21"/>
              </w:rPr>
              <w:t>康</w:t>
            </w:r>
          </w:p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000000"/>
                <w:sz w:val="21"/>
                <w:szCs w:val="21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000000"/>
                <w:sz w:val="21"/>
                <w:szCs w:val="21"/>
              </w:rPr>
              <w:t>育及培训</w:t>
            </w:r>
          </w:p>
        </w:tc>
        <w:tc>
          <w:tcPr>
            <w:tcW w:w="1497" w:type="pct"/>
            <w:gridSpan w:val="2"/>
            <w:vAlign w:val="center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000000"/>
                <w:sz w:val="21"/>
                <w:szCs w:val="21"/>
              </w:rPr>
              <w:t>取药地点、时间</w:t>
            </w:r>
          </w:p>
        </w:tc>
        <w:tc>
          <w:tcPr>
            <w:tcW w:w="3190" w:type="pct"/>
            <w:vAlign w:val="center"/>
          </w:tcPr>
          <w:p>
            <w:pPr>
              <w:spacing w:line="320" w:lineRule="exact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000000"/>
                <w:sz w:val="21"/>
                <w:szCs w:val="21"/>
              </w:rPr>
              <w:t xml:space="preserve">地点:                </w:t>
            </w:r>
          </w:p>
          <w:p>
            <w:pPr>
              <w:spacing w:line="320" w:lineRule="exact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000000"/>
                <w:sz w:val="21"/>
                <w:szCs w:val="21"/>
              </w:rPr>
              <w:t>时间: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13" w:type="pct"/>
            <w:vMerge w:val="continue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21"/>
                <w:szCs w:val="21"/>
              </w:rPr>
            </w:pPr>
          </w:p>
        </w:tc>
        <w:tc>
          <w:tcPr>
            <w:tcW w:w="1497" w:type="pct"/>
            <w:gridSpan w:val="2"/>
            <w:vAlign w:val="center"/>
          </w:tcPr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服药记录卡的填写</w:t>
            </w:r>
          </w:p>
        </w:tc>
        <w:tc>
          <w:tcPr>
            <w:tcW w:w="3190" w:type="pct"/>
            <w:vAlign w:val="center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000000"/>
                <w:sz w:val="21"/>
                <w:szCs w:val="21"/>
              </w:rPr>
              <w:t xml:space="preserve">1掌握      2未掌握                             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13" w:type="pct"/>
            <w:vMerge w:val="continue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21"/>
                <w:szCs w:val="21"/>
              </w:rPr>
            </w:pPr>
          </w:p>
        </w:tc>
        <w:tc>
          <w:tcPr>
            <w:tcW w:w="1497" w:type="pct"/>
            <w:gridSpan w:val="2"/>
            <w:vAlign w:val="center"/>
          </w:tcPr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服药方法及药品存放</w:t>
            </w:r>
          </w:p>
        </w:tc>
        <w:tc>
          <w:tcPr>
            <w:tcW w:w="3190" w:type="pct"/>
            <w:vAlign w:val="center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000000"/>
                <w:sz w:val="21"/>
                <w:szCs w:val="21"/>
              </w:rPr>
              <w:t xml:space="preserve">1掌握      2未掌握                             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13" w:type="pct"/>
            <w:vMerge w:val="continue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21"/>
                <w:szCs w:val="21"/>
              </w:rPr>
            </w:pPr>
          </w:p>
        </w:tc>
        <w:tc>
          <w:tcPr>
            <w:tcW w:w="1497" w:type="pct"/>
            <w:gridSpan w:val="2"/>
            <w:vAlign w:val="center"/>
          </w:tcPr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肺结核治疗疗程</w:t>
            </w:r>
          </w:p>
        </w:tc>
        <w:tc>
          <w:tcPr>
            <w:tcW w:w="3190" w:type="pct"/>
            <w:vAlign w:val="center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000000"/>
                <w:sz w:val="21"/>
                <w:szCs w:val="21"/>
              </w:rPr>
              <w:t xml:space="preserve">1掌握      2未掌握                             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13" w:type="pct"/>
            <w:vMerge w:val="continue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21"/>
                <w:szCs w:val="21"/>
              </w:rPr>
            </w:pPr>
          </w:p>
        </w:tc>
        <w:tc>
          <w:tcPr>
            <w:tcW w:w="1497" w:type="pct"/>
            <w:gridSpan w:val="2"/>
            <w:vAlign w:val="center"/>
          </w:tcPr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不规律服药危害</w:t>
            </w:r>
          </w:p>
        </w:tc>
        <w:tc>
          <w:tcPr>
            <w:tcW w:w="3190" w:type="pct"/>
            <w:vAlign w:val="center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000000"/>
                <w:sz w:val="21"/>
                <w:szCs w:val="21"/>
              </w:rPr>
              <w:t xml:space="preserve">1掌握      2未掌握                             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13" w:type="pct"/>
            <w:vMerge w:val="continue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21"/>
                <w:szCs w:val="21"/>
              </w:rPr>
            </w:pPr>
          </w:p>
        </w:tc>
        <w:tc>
          <w:tcPr>
            <w:tcW w:w="1497" w:type="pct"/>
            <w:gridSpan w:val="2"/>
            <w:vAlign w:val="center"/>
          </w:tcPr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服药后不良反应及处理</w:t>
            </w:r>
          </w:p>
        </w:tc>
        <w:tc>
          <w:tcPr>
            <w:tcW w:w="3190" w:type="pct"/>
            <w:vAlign w:val="center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000000"/>
                <w:sz w:val="21"/>
                <w:szCs w:val="21"/>
              </w:rPr>
              <w:t xml:space="preserve">1掌握      2未掌握                             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13" w:type="pct"/>
            <w:vMerge w:val="continue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21"/>
                <w:szCs w:val="21"/>
              </w:rPr>
            </w:pPr>
          </w:p>
        </w:tc>
        <w:tc>
          <w:tcPr>
            <w:tcW w:w="1497" w:type="pct"/>
            <w:gridSpan w:val="2"/>
            <w:vAlign w:val="center"/>
          </w:tcPr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治疗期间复诊查痰</w:t>
            </w:r>
          </w:p>
        </w:tc>
        <w:tc>
          <w:tcPr>
            <w:tcW w:w="3190" w:type="pct"/>
            <w:vAlign w:val="center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000000"/>
                <w:sz w:val="21"/>
                <w:szCs w:val="21"/>
              </w:rPr>
              <w:t xml:space="preserve">1掌握      2未掌握                             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13" w:type="pct"/>
            <w:vMerge w:val="continue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21"/>
                <w:szCs w:val="21"/>
              </w:rPr>
            </w:pPr>
          </w:p>
        </w:tc>
        <w:tc>
          <w:tcPr>
            <w:tcW w:w="1497" w:type="pct"/>
            <w:gridSpan w:val="2"/>
            <w:vAlign w:val="center"/>
          </w:tcPr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外出期间如何坚持服药</w:t>
            </w:r>
          </w:p>
        </w:tc>
        <w:tc>
          <w:tcPr>
            <w:tcW w:w="3190" w:type="pct"/>
            <w:vAlign w:val="center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000000"/>
                <w:sz w:val="21"/>
                <w:szCs w:val="21"/>
              </w:rPr>
              <w:t xml:space="preserve">1掌握      2未掌握                             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13" w:type="pct"/>
            <w:vMerge w:val="continue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21"/>
                <w:szCs w:val="21"/>
              </w:rPr>
            </w:pPr>
          </w:p>
        </w:tc>
        <w:tc>
          <w:tcPr>
            <w:tcW w:w="1497" w:type="pct"/>
            <w:gridSpan w:val="2"/>
            <w:vAlign w:val="center"/>
          </w:tcPr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生活习惯及注意事项</w:t>
            </w:r>
          </w:p>
        </w:tc>
        <w:tc>
          <w:tcPr>
            <w:tcW w:w="3190" w:type="pct"/>
            <w:vAlign w:val="center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000000"/>
                <w:sz w:val="21"/>
                <w:szCs w:val="21"/>
              </w:rPr>
              <w:t xml:space="preserve">1掌握      2未掌握                             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13" w:type="pct"/>
            <w:vMerge w:val="continue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21"/>
                <w:szCs w:val="21"/>
              </w:rPr>
            </w:pPr>
          </w:p>
        </w:tc>
        <w:tc>
          <w:tcPr>
            <w:tcW w:w="1497" w:type="pct"/>
            <w:gridSpan w:val="2"/>
            <w:vAlign w:val="center"/>
          </w:tcPr>
          <w:p>
            <w:pPr>
              <w:spacing w:line="240" w:lineRule="exact"/>
              <w:rPr>
                <w:rFonts w:ascii="仿宋_GB2312" w:hAnsi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密切接触者检查</w:t>
            </w:r>
          </w:p>
        </w:tc>
        <w:tc>
          <w:tcPr>
            <w:tcW w:w="3190" w:type="pct"/>
            <w:vAlign w:val="center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000000"/>
                <w:sz w:val="21"/>
                <w:szCs w:val="21"/>
              </w:rPr>
              <w:t xml:space="preserve">1掌握      2未掌握                             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10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下次随访时间</w:t>
            </w:r>
          </w:p>
        </w:tc>
        <w:tc>
          <w:tcPr>
            <w:tcW w:w="3190" w:type="pct"/>
            <w:vAlign w:val="center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Calibri"/>
                <w:color w:val="000000"/>
                <w:sz w:val="21"/>
                <w:szCs w:val="21"/>
              </w:rPr>
              <w:t xml:space="preserve">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810" w:type="pct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评估医生签名</w:t>
            </w:r>
          </w:p>
        </w:tc>
        <w:tc>
          <w:tcPr>
            <w:tcW w:w="3190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21"/>
                <w:szCs w:val="21"/>
              </w:rPr>
            </w:pPr>
          </w:p>
        </w:tc>
      </w:tr>
    </w:tbl>
    <w:p>
      <w:pPr>
        <w:tabs>
          <w:tab w:val="left" w:pos="1188"/>
          <w:tab w:val="left" w:pos="8386"/>
          <w:tab w:val="left" w:pos="8416"/>
        </w:tabs>
        <w:spacing w:line="400" w:lineRule="exac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填表说明：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ascii="仿宋_GB2312"/>
          <w:color w:val="000000"/>
          <w:sz w:val="21"/>
          <w:szCs w:val="21"/>
        </w:rPr>
        <w:t>1</w:t>
      </w:r>
      <w:r>
        <w:rPr>
          <w:rFonts w:hint="eastAsia" w:ascii="仿宋_GB2312"/>
          <w:color w:val="000000"/>
          <w:sz w:val="21"/>
          <w:szCs w:val="21"/>
        </w:rPr>
        <w:t>．本表为医生在</w:t>
      </w:r>
      <w:r>
        <w:rPr>
          <w:rFonts w:ascii="仿宋_GB2312"/>
          <w:color w:val="000000"/>
          <w:sz w:val="21"/>
          <w:szCs w:val="21"/>
        </w:rPr>
        <w:t>首次</w:t>
      </w:r>
      <w:r>
        <w:rPr>
          <w:rFonts w:hint="eastAsia" w:ascii="仿宋_GB2312"/>
          <w:color w:val="000000"/>
          <w:sz w:val="21"/>
          <w:szCs w:val="21"/>
        </w:rPr>
        <w:t>入户</w:t>
      </w:r>
      <w:r>
        <w:rPr>
          <w:rFonts w:ascii="仿宋_GB2312"/>
          <w:color w:val="000000"/>
          <w:sz w:val="21"/>
          <w:szCs w:val="21"/>
        </w:rPr>
        <w:t>访视</w:t>
      </w:r>
      <w:r>
        <w:rPr>
          <w:rFonts w:hint="eastAsia" w:ascii="仿宋_GB2312"/>
          <w:color w:val="000000"/>
          <w:sz w:val="21"/>
          <w:szCs w:val="21"/>
        </w:rPr>
        <w:t>结核病患者时填写。同时查看患者的</w:t>
      </w:r>
      <w:r>
        <w:rPr>
          <w:rFonts w:ascii="仿宋_GB2312"/>
          <w:color w:val="000000"/>
          <w:sz w:val="21"/>
          <w:szCs w:val="21"/>
        </w:rPr>
        <w:t>“</w:t>
      </w:r>
      <w:r>
        <w:rPr>
          <w:rFonts w:hint="eastAsia" w:ascii="仿宋_GB2312"/>
          <w:color w:val="000000"/>
          <w:sz w:val="21"/>
          <w:szCs w:val="21"/>
        </w:rPr>
        <w:t>肺结核患者治疗记录卡</w:t>
      </w:r>
      <w:r>
        <w:rPr>
          <w:rFonts w:ascii="仿宋_GB2312"/>
          <w:color w:val="000000"/>
          <w:sz w:val="21"/>
          <w:szCs w:val="21"/>
        </w:rPr>
        <w:t>”</w:t>
      </w:r>
      <w:r>
        <w:rPr>
          <w:rFonts w:hint="eastAsia" w:ascii="仿宋_GB2312"/>
          <w:color w:val="000000"/>
          <w:sz w:val="21"/>
          <w:szCs w:val="21"/>
        </w:rPr>
        <w:t>、耐多药患者查看“耐多药肺结核患者服药卡”。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ascii="仿宋_GB2312"/>
          <w:color w:val="000000"/>
          <w:sz w:val="21"/>
          <w:szCs w:val="21"/>
        </w:rPr>
        <w:t>2</w:t>
      </w:r>
      <w:r>
        <w:rPr>
          <w:rFonts w:hint="eastAsia" w:ascii="仿宋_GB2312"/>
          <w:color w:val="000000"/>
          <w:sz w:val="21"/>
          <w:szCs w:val="21"/>
        </w:rPr>
        <w:t>．患者</w:t>
      </w:r>
      <w:r>
        <w:rPr>
          <w:rFonts w:ascii="仿宋_GB2312"/>
          <w:color w:val="000000"/>
          <w:sz w:val="21"/>
          <w:szCs w:val="21"/>
        </w:rPr>
        <w:t>类型、</w:t>
      </w:r>
      <w:r>
        <w:rPr>
          <w:rFonts w:hint="eastAsia" w:ascii="仿宋_GB2312"/>
          <w:color w:val="000000"/>
          <w:sz w:val="21"/>
          <w:szCs w:val="21"/>
        </w:rPr>
        <w:t>痰菌、</w:t>
      </w:r>
      <w:r>
        <w:rPr>
          <w:rFonts w:ascii="仿宋_GB2312"/>
          <w:color w:val="000000"/>
          <w:sz w:val="21"/>
          <w:szCs w:val="21"/>
        </w:rPr>
        <w:t>耐药</w:t>
      </w:r>
      <w:r>
        <w:rPr>
          <w:rFonts w:hint="eastAsia" w:ascii="仿宋_GB2312"/>
          <w:color w:val="000000"/>
          <w:sz w:val="21"/>
          <w:szCs w:val="21"/>
        </w:rPr>
        <w:t>情况和</w:t>
      </w:r>
      <w:r>
        <w:rPr>
          <w:rFonts w:ascii="仿宋_GB2312"/>
          <w:color w:val="000000"/>
          <w:sz w:val="21"/>
          <w:szCs w:val="21"/>
        </w:rPr>
        <w:t>用药</w:t>
      </w:r>
      <w:r>
        <w:rPr>
          <w:rFonts w:hint="eastAsia" w:ascii="仿宋_GB2312"/>
          <w:color w:val="000000"/>
          <w:sz w:val="21"/>
          <w:szCs w:val="21"/>
        </w:rPr>
        <w:t>的信息</w:t>
      </w:r>
      <w:r>
        <w:rPr>
          <w:rFonts w:ascii="仿宋_GB2312"/>
          <w:color w:val="000000"/>
          <w:sz w:val="21"/>
          <w:szCs w:val="21"/>
        </w:rPr>
        <w:t>，均</w:t>
      </w:r>
      <w:r>
        <w:rPr>
          <w:rFonts w:hint="eastAsia" w:ascii="仿宋_GB2312"/>
          <w:color w:val="000000"/>
          <w:sz w:val="21"/>
          <w:szCs w:val="21"/>
        </w:rPr>
        <w:t>在患者的</w:t>
      </w:r>
      <w:r>
        <w:rPr>
          <w:rFonts w:ascii="仿宋_GB2312"/>
          <w:color w:val="000000"/>
          <w:sz w:val="21"/>
          <w:szCs w:val="21"/>
        </w:rPr>
        <w:t>“</w:t>
      </w:r>
      <w:r>
        <w:rPr>
          <w:rFonts w:hint="eastAsia" w:ascii="仿宋_GB2312"/>
          <w:color w:val="000000"/>
          <w:sz w:val="21"/>
          <w:szCs w:val="21"/>
        </w:rPr>
        <w:t>肺结核患者治疗记录卡</w:t>
      </w:r>
      <w:r>
        <w:rPr>
          <w:rFonts w:ascii="仿宋_GB2312"/>
          <w:color w:val="000000"/>
          <w:sz w:val="21"/>
          <w:szCs w:val="21"/>
        </w:rPr>
        <w:t>”</w:t>
      </w:r>
      <w:r>
        <w:rPr>
          <w:rFonts w:hint="eastAsia" w:ascii="仿宋_GB2312"/>
          <w:color w:val="000000"/>
          <w:sz w:val="21"/>
          <w:szCs w:val="21"/>
        </w:rPr>
        <w:t>、耐多药患者查看“耐多药肺结核患者服药卡”中获得。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3.督导</w:t>
      </w:r>
      <w:r>
        <w:rPr>
          <w:rFonts w:ascii="仿宋_GB2312"/>
          <w:color w:val="000000"/>
          <w:sz w:val="21"/>
          <w:szCs w:val="21"/>
        </w:rPr>
        <w:t>人员选择：</w:t>
      </w:r>
      <w:r>
        <w:rPr>
          <w:rFonts w:hint="eastAsia" w:ascii="仿宋_GB2312"/>
          <w:color w:val="000000"/>
          <w:sz w:val="21"/>
          <w:szCs w:val="21"/>
        </w:rPr>
        <w:t>根据</w:t>
      </w:r>
      <w:r>
        <w:rPr>
          <w:rFonts w:ascii="仿宋_GB2312"/>
          <w:color w:val="000000"/>
          <w:sz w:val="21"/>
          <w:szCs w:val="21"/>
        </w:rPr>
        <w:t>患者的情况，与其</w:t>
      </w:r>
      <w:r>
        <w:rPr>
          <w:rFonts w:hint="eastAsia" w:ascii="仿宋_GB2312"/>
          <w:color w:val="000000"/>
          <w:sz w:val="21"/>
          <w:szCs w:val="21"/>
        </w:rPr>
        <w:t>协商确定</w:t>
      </w:r>
      <w:r>
        <w:rPr>
          <w:rFonts w:ascii="仿宋_GB2312"/>
          <w:color w:val="000000"/>
          <w:sz w:val="21"/>
          <w:szCs w:val="21"/>
        </w:rPr>
        <w:t>督导人员。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4.家庭居住</w:t>
      </w:r>
      <w:r>
        <w:rPr>
          <w:rFonts w:ascii="仿宋_GB2312"/>
          <w:color w:val="000000"/>
          <w:sz w:val="21"/>
          <w:szCs w:val="21"/>
        </w:rPr>
        <w:t>环境评估：</w:t>
      </w:r>
      <w:r>
        <w:rPr>
          <w:rFonts w:hint="eastAsia" w:ascii="仿宋_GB2312"/>
          <w:color w:val="000000"/>
          <w:sz w:val="21"/>
          <w:szCs w:val="21"/>
        </w:rPr>
        <w:t>入户</w:t>
      </w:r>
      <w:r>
        <w:rPr>
          <w:rFonts w:ascii="仿宋_GB2312"/>
          <w:color w:val="000000"/>
          <w:sz w:val="21"/>
          <w:szCs w:val="21"/>
        </w:rPr>
        <w:t>后，了解患者</w:t>
      </w:r>
      <w:r>
        <w:rPr>
          <w:rFonts w:hint="eastAsia" w:ascii="仿宋_GB2312"/>
          <w:color w:val="000000"/>
          <w:sz w:val="21"/>
          <w:szCs w:val="21"/>
        </w:rPr>
        <w:t>的</w:t>
      </w:r>
      <w:r>
        <w:rPr>
          <w:rFonts w:ascii="仿宋_GB2312"/>
          <w:color w:val="000000"/>
          <w:sz w:val="21"/>
          <w:szCs w:val="21"/>
        </w:rPr>
        <w:t>居</w:t>
      </w:r>
      <w:r>
        <w:rPr>
          <w:rFonts w:hint="eastAsia" w:ascii="仿宋_GB2312"/>
          <w:color w:val="000000"/>
          <w:sz w:val="21"/>
          <w:szCs w:val="21"/>
        </w:rPr>
        <w:t>所</w:t>
      </w:r>
      <w:r>
        <w:rPr>
          <w:rFonts w:ascii="仿宋_GB2312"/>
          <w:color w:val="000000"/>
          <w:sz w:val="21"/>
          <w:szCs w:val="21"/>
        </w:rPr>
        <w:t>情况并记录</w:t>
      </w:r>
      <w:r>
        <w:rPr>
          <w:rFonts w:hint="eastAsia" w:ascii="仿宋_GB2312"/>
          <w:color w:val="000000"/>
          <w:sz w:val="21"/>
          <w:szCs w:val="21"/>
        </w:rPr>
        <w:t>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5.生活方式评估：在询问患者生活方式时，同时对患者进行生活方式指导，与患者共同制定下次随访目标。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吸烟</w:t>
      </w:r>
      <w:r>
        <w:rPr>
          <w:rFonts w:ascii="仿宋_GB2312"/>
          <w:color w:val="000000"/>
          <w:sz w:val="21"/>
          <w:szCs w:val="21"/>
        </w:rPr>
        <w:t xml:space="preserve">  </w:t>
      </w:r>
      <w:r>
        <w:rPr>
          <w:rFonts w:hint="eastAsia" w:ascii="仿宋_GB2312"/>
          <w:color w:val="000000"/>
          <w:sz w:val="21"/>
          <w:szCs w:val="21"/>
        </w:rPr>
        <w:t>斜线前填写目前吸烟量，不吸烟填“</w:t>
      </w:r>
      <w:r>
        <w:rPr>
          <w:rFonts w:ascii="仿宋_GB2312"/>
          <w:color w:val="000000"/>
          <w:sz w:val="21"/>
          <w:szCs w:val="21"/>
        </w:rPr>
        <w:t>0</w:t>
      </w:r>
      <w:r>
        <w:rPr>
          <w:rFonts w:hint="eastAsia" w:ascii="仿宋_GB2312"/>
          <w:color w:val="000000"/>
          <w:sz w:val="21"/>
          <w:szCs w:val="21"/>
        </w:rPr>
        <w:t>”，吸烟者写出每天的吸烟量“</w:t>
      </w:r>
      <w:r>
        <w:rPr>
          <w:rFonts w:ascii="仿宋_GB2312"/>
          <w:color w:val="000000"/>
          <w:sz w:val="21"/>
          <w:szCs w:val="21"/>
        </w:rPr>
        <w:t>**</w:t>
      </w:r>
      <w:r>
        <w:rPr>
          <w:rFonts w:hint="eastAsia" w:ascii="仿宋_GB2312"/>
          <w:color w:val="000000"/>
          <w:sz w:val="21"/>
          <w:szCs w:val="21"/>
        </w:rPr>
        <w:t>支／天”斜线后填写吸烟者下次随访目标吸烟量“</w:t>
      </w:r>
      <w:r>
        <w:rPr>
          <w:rFonts w:ascii="仿宋_GB2312"/>
          <w:color w:val="000000"/>
          <w:sz w:val="21"/>
          <w:szCs w:val="21"/>
        </w:rPr>
        <w:t>**</w:t>
      </w:r>
      <w:r>
        <w:rPr>
          <w:rFonts w:hint="eastAsia" w:ascii="仿宋_GB2312"/>
          <w:color w:val="000000"/>
          <w:sz w:val="21"/>
          <w:szCs w:val="21"/>
        </w:rPr>
        <w:t>支／天”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饮酒情况：“从不饮酒者”不必填写其他有关饮酒情况项目。“日饮酒量”应折合相当于白酒“××两”。（啤酒/10=白酒量，红酒/4=白酒量，黄酒/5=白酒量）。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6．健康教育及培训的主要内容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（1）肺结核治疗疗程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只要配合医生、遵从医嘱，严格坚持规律服药，绝大多数肺结核是可以彻底治愈的。服用抗结核药物</w:t>
      </w:r>
      <w:r>
        <w:rPr>
          <w:rFonts w:ascii="仿宋_GB2312"/>
          <w:color w:val="000000"/>
          <w:sz w:val="21"/>
          <w:szCs w:val="21"/>
        </w:rPr>
        <w:t>1</w:t>
      </w:r>
      <w:r>
        <w:rPr>
          <w:rFonts w:hint="eastAsia" w:ascii="仿宋_GB2312"/>
          <w:color w:val="000000"/>
          <w:sz w:val="21"/>
          <w:szCs w:val="21"/>
        </w:rPr>
        <w:t>个月以后，传染性一般就会消失。一般情况下，初治肺结核患者的治疗疗程为</w:t>
      </w:r>
      <w:r>
        <w:rPr>
          <w:rFonts w:ascii="仿宋_GB2312"/>
          <w:color w:val="000000"/>
          <w:sz w:val="21"/>
          <w:szCs w:val="21"/>
        </w:rPr>
        <w:t>6</w:t>
      </w:r>
      <w:r>
        <w:rPr>
          <w:rFonts w:hint="eastAsia" w:ascii="仿宋_GB2312"/>
          <w:color w:val="000000"/>
          <w:sz w:val="21"/>
          <w:szCs w:val="21"/>
        </w:rPr>
        <w:t>个月，复治肺结核患者为</w:t>
      </w:r>
      <w:r>
        <w:rPr>
          <w:rFonts w:ascii="仿宋_GB2312"/>
          <w:color w:val="000000"/>
          <w:sz w:val="21"/>
          <w:szCs w:val="21"/>
        </w:rPr>
        <w:t>8</w:t>
      </w:r>
      <w:r>
        <w:rPr>
          <w:rFonts w:hint="eastAsia" w:ascii="仿宋_GB2312"/>
          <w:color w:val="000000"/>
          <w:sz w:val="21"/>
          <w:szCs w:val="21"/>
        </w:rPr>
        <w:t>个月，耐多药肺结核患者</w:t>
      </w:r>
      <w:r>
        <w:rPr>
          <w:rFonts w:ascii="仿宋_GB2312"/>
          <w:color w:val="000000"/>
          <w:sz w:val="21"/>
          <w:szCs w:val="21"/>
        </w:rPr>
        <w:t>24</w:t>
      </w:r>
      <w:r>
        <w:rPr>
          <w:rFonts w:hint="eastAsia" w:ascii="仿宋_GB2312"/>
          <w:color w:val="000000"/>
          <w:sz w:val="21"/>
          <w:szCs w:val="21"/>
        </w:rPr>
        <w:t>个月。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（2）不规律服药危害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如果不遵从医嘱，不按时服药，不完成全疗程治疗，就会导致初次治疗失败，严重者会发展为耐多药结核病。治疗疗程明显延长，治愈率也会大大降低，甚至终生不愈。治疗费用也会大幅度增加。如果传染给其他人，被传染者一旦发病也是耐药结核病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（3）服药方法及药品存放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抗结核药物宜采用空腹顿服的服药方式，一日的药量要在同一时间一次服用。应放在阴凉干燥、孩子接触不到的地方。夏天宜放在冰箱的冷藏室。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（4）服药后不良反应及处理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常见的不良反应有：胃肠道不舒服、恶心、皮肤搔痒、关节痛、手脚麻木等，严重者可能会呕吐、视物不清、皮疹、听力下降等；当出现上述任何情况时，应及时和医生联系，不要自行停药或更改治疗方案。服用利福平后出现尿液变红、红色眼泪现象为正常现象，不必担心。为及时发现并干预不良反应，每月应到定点医疗机构进行血常规、肝肾功能复查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（5）治疗期间复诊查痰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查痰的目的是让医生及时了解患者的治疗状况、是否有效，是否需要调整治疗方案。初治肺结核患者应在治疗满</w:t>
      </w:r>
      <w:r>
        <w:rPr>
          <w:rFonts w:ascii="仿宋_GB2312"/>
          <w:color w:val="000000"/>
          <w:sz w:val="21"/>
          <w:szCs w:val="21"/>
        </w:rPr>
        <w:t>2</w:t>
      </w:r>
      <w:r>
        <w:rPr>
          <w:rFonts w:hint="eastAsia" w:ascii="仿宋_GB2312"/>
          <w:color w:val="000000"/>
          <w:sz w:val="21"/>
          <w:szCs w:val="21"/>
        </w:rPr>
        <w:t>、</w:t>
      </w:r>
      <w:r>
        <w:rPr>
          <w:rFonts w:ascii="仿宋_GB2312"/>
          <w:color w:val="000000"/>
          <w:sz w:val="21"/>
          <w:szCs w:val="21"/>
        </w:rPr>
        <w:t>5</w:t>
      </w:r>
      <w:r>
        <w:rPr>
          <w:rFonts w:hint="eastAsia" w:ascii="仿宋_GB2312"/>
          <w:color w:val="000000"/>
          <w:sz w:val="21"/>
          <w:szCs w:val="21"/>
        </w:rPr>
        <w:t>、</w:t>
      </w:r>
      <w:r>
        <w:rPr>
          <w:rFonts w:ascii="仿宋_GB2312"/>
          <w:color w:val="000000"/>
          <w:sz w:val="21"/>
          <w:szCs w:val="21"/>
        </w:rPr>
        <w:t>6</w:t>
      </w:r>
      <w:r>
        <w:rPr>
          <w:rFonts w:hint="eastAsia" w:ascii="仿宋_GB2312"/>
          <w:color w:val="000000"/>
          <w:sz w:val="21"/>
          <w:szCs w:val="21"/>
        </w:rPr>
        <w:t>月时、复治肺结核患者在治疗满</w:t>
      </w:r>
      <w:r>
        <w:rPr>
          <w:rFonts w:ascii="仿宋_GB2312"/>
          <w:color w:val="000000"/>
          <w:sz w:val="21"/>
          <w:szCs w:val="21"/>
        </w:rPr>
        <w:t>2</w:t>
      </w:r>
      <w:r>
        <w:rPr>
          <w:rFonts w:hint="eastAsia" w:ascii="仿宋_GB2312"/>
          <w:color w:val="000000"/>
          <w:sz w:val="21"/>
          <w:szCs w:val="21"/>
        </w:rPr>
        <w:t>、</w:t>
      </w:r>
      <w:r>
        <w:rPr>
          <w:rFonts w:ascii="仿宋_GB2312"/>
          <w:color w:val="000000"/>
          <w:sz w:val="21"/>
          <w:szCs w:val="21"/>
        </w:rPr>
        <w:t>5</w:t>
      </w:r>
      <w:r>
        <w:rPr>
          <w:rFonts w:hint="eastAsia" w:ascii="仿宋_GB2312"/>
          <w:color w:val="000000"/>
          <w:sz w:val="21"/>
          <w:szCs w:val="21"/>
        </w:rPr>
        <w:t>、</w:t>
      </w:r>
      <w:r>
        <w:rPr>
          <w:rFonts w:ascii="仿宋_GB2312"/>
          <w:color w:val="000000"/>
          <w:sz w:val="21"/>
          <w:szCs w:val="21"/>
        </w:rPr>
        <w:t>8</w:t>
      </w:r>
      <w:r>
        <w:rPr>
          <w:rFonts w:hint="eastAsia" w:ascii="仿宋_GB2312"/>
          <w:color w:val="000000"/>
          <w:sz w:val="21"/>
          <w:szCs w:val="21"/>
        </w:rPr>
        <w:t>月时、耐多药肺结核患者注射期每个月、非注射期每两个月均需复查痰涂片和培养。正确的留痰方法是：深呼吸</w:t>
      </w:r>
      <w:r>
        <w:rPr>
          <w:rFonts w:ascii="仿宋_GB2312"/>
          <w:color w:val="000000"/>
          <w:sz w:val="21"/>
          <w:szCs w:val="21"/>
        </w:rPr>
        <w:t>2-3</w:t>
      </w:r>
      <w:r>
        <w:rPr>
          <w:rFonts w:hint="eastAsia" w:ascii="仿宋_GB2312"/>
          <w:color w:val="000000"/>
          <w:sz w:val="21"/>
          <w:szCs w:val="21"/>
        </w:rPr>
        <w:t>次，用力从肺部深处咳出痰液</w:t>
      </w:r>
      <w:r>
        <w:rPr>
          <w:rFonts w:ascii="仿宋_GB2312"/>
          <w:color w:val="000000"/>
          <w:sz w:val="21"/>
          <w:szCs w:val="21"/>
        </w:rPr>
        <w:t>,</w:t>
      </w:r>
      <w:r>
        <w:rPr>
          <w:rFonts w:hint="eastAsia" w:ascii="仿宋_GB2312"/>
          <w:color w:val="000000"/>
          <w:sz w:val="21"/>
          <w:szCs w:val="21"/>
        </w:rPr>
        <w:t>将咳出的痰液留置在痰盒中，并拧紧痰盒盖。复查的肺结核患者应收集两个痰标本（夜间痰、清晨痰）。夜间痰：送痰前一日，患者晚间咳出的痰液；清晨痰：患者晨起立即用清水漱口后，留存咳出的第</w:t>
      </w:r>
      <w:r>
        <w:rPr>
          <w:rFonts w:ascii="仿宋_GB2312"/>
          <w:color w:val="000000"/>
          <w:sz w:val="21"/>
          <w:szCs w:val="21"/>
        </w:rPr>
        <w:t>2</w:t>
      </w:r>
      <w:r>
        <w:rPr>
          <w:rFonts w:hint="eastAsia" w:ascii="仿宋_GB2312"/>
          <w:color w:val="000000"/>
          <w:sz w:val="21"/>
          <w:szCs w:val="21"/>
        </w:rPr>
        <w:t>口、第</w:t>
      </w:r>
      <w:r>
        <w:rPr>
          <w:rFonts w:ascii="仿宋_GB2312"/>
          <w:color w:val="000000"/>
          <w:sz w:val="21"/>
          <w:szCs w:val="21"/>
        </w:rPr>
        <w:t>3</w:t>
      </w:r>
      <w:r>
        <w:rPr>
          <w:rFonts w:hint="eastAsia" w:ascii="仿宋_GB2312"/>
          <w:color w:val="000000"/>
          <w:sz w:val="21"/>
          <w:szCs w:val="21"/>
        </w:rPr>
        <w:t>口痰液。如果患者在留痰前吃过东西，则应先用清水漱口，再留存咳出的第</w:t>
      </w:r>
      <w:r>
        <w:rPr>
          <w:rFonts w:ascii="仿宋_GB2312"/>
          <w:color w:val="000000"/>
          <w:sz w:val="21"/>
          <w:szCs w:val="21"/>
        </w:rPr>
        <w:t>2</w:t>
      </w:r>
      <w:r>
        <w:rPr>
          <w:rFonts w:hint="eastAsia" w:ascii="仿宋_GB2312"/>
          <w:color w:val="000000"/>
          <w:sz w:val="21"/>
          <w:szCs w:val="21"/>
        </w:rPr>
        <w:t>口、第</w:t>
      </w:r>
      <w:r>
        <w:rPr>
          <w:rFonts w:ascii="仿宋_GB2312"/>
          <w:color w:val="000000"/>
          <w:sz w:val="21"/>
          <w:szCs w:val="21"/>
        </w:rPr>
        <w:t>3</w:t>
      </w:r>
      <w:r>
        <w:rPr>
          <w:rFonts w:hint="eastAsia" w:ascii="仿宋_GB2312"/>
          <w:color w:val="000000"/>
          <w:sz w:val="21"/>
          <w:szCs w:val="21"/>
        </w:rPr>
        <w:t>口痰液；装有义齿的患者在留取痰标本前应先将义齿取出。唾液或口水为不合格标本。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（6）外出期间如何坚持服药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如果患者需要短时间的外出，应告知医生，并带够足量的药品继续按时服药，同时要注意将药品低温、避光保存；如果改变居住地，应及时告知医生，以便能够延续治疗。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（7）生活习惯及注意事项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患者应注意保持良好的卫生习惯。避免将疾病传染他人，最好住在单独的光线充足的房间，经常开窗通风。不能随地吐痰，也不要下咽，应把痰吐在纸中包好后焚烧，或吐在有消毒液的痰盂中；不要对着他人大声说话、咳嗽或打喷嚏；传染期内应尽量少去公共场所，如需外出应佩戴口罩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吸烟会加重咳嗽、咳痰、咯血等症状，大量咯血可危及生命。另抗结核药物大部分经肝脏代谢，并且对肝脏有不同程度的损害，饮酒会加重对肝脏的损害，降低药物疗效，因此在治疗期间应严格戒烟、禁酒。要注意休息，避免重体力活动，加强营养，多吃奶类、蛋类、瘦肉等高蛋白食物，还应多吃绿叶蔬菜、水果以及杂粮等富含维生素和无机盐的食品，避免吃过于刺激的食物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（8）密切接触者检查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建议患者的家人、同班、同宿舍同学、同办公室同事或经常接触的好友等密切接触者，及时到定点医疗机构进行结核菌感染和肺结核筛查。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7</w:t>
      </w:r>
      <w:r>
        <w:rPr>
          <w:rFonts w:ascii="仿宋_GB2312"/>
          <w:color w:val="000000"/>
          <w:sz w:val="21"/>
          <w:szCs w:val="21"/>
        </w:rPr>
        <w:t>.</w:t>
      </w:r>
      <w:r>
        <w:rPr>
          <w:rFonts w:hint="eastAsia" w:ascii="仿宋_GB2312"/>
          <w:color w:val="000000"/>
          <w:sz w:val="21"/>
          <w:szCs w:val="21"/>
        </w:rPr>
        <w:t>下次随访时间：确定下次随访日期，并告知患者。</w:t>
      </w:r>
    </w:p>
    <w:p>
      <w:pPr>
        <w:spacing w:line="400" w:lineRule="exact"/>
        <w:ind w:firstLine="420" w:firstLineChars="200"/>
        <w:rPr>
          <w:rFonts w:ascii="仿宋" w:hAnsi="仿宋" w:eastAsia="仿宋"/>
          <w:snapToGrid w:val="0"/>
          <w:color w:val="000000"/>
          <w:sz w:val="21"/>
          <w:szCs w:val="2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  <w:r>
        <w:rPr>
          <w:rFonts w:hint="eastAsia" w:ascii="仿宋_GB2312"/>
          <w:color w:val="000000"/>
          <w:sz w:val="21"/>
          <w:szCs w:val="21"/>
        </w:rPr>
        <w:t>8</w:t>
      </w:r>
      <w:r>
        <w:rPr>
          <w:rFonts w:ascii="仿宋_GB2312"/>
          <w:color w:val="000000"/>
          <w:sz w:val="21"/>
          <w:szCs w:val="21"/>
        </w:rPr>
        <w:t>.</w:t>
      </w:r>
      <w:r>
        <w:rPr>
          <w:rFonts w:hint="eastAsia" w:ascii="仿宋_GB2312"/>
          <w:color w:val="000000"/>
          <w:sz w:val="21"/>
          <w:szCs w:val="21"/>
        </w:rPr>
        <w:t>评估医生签名：随访完毕，核查无误后随访医生签署其姓名。</w:t>
      </w:r>
    </w:p>
    <w:p>
      <w:pPr>
        <w:adjustRightInd w:val="0"/>
        <w:snapToGrid w:val="0"/>
        <w:jc w:val="left"/>
        <w:rPr>
          <w:rFonts w:ascii="仿宋_GB2312" w:hAnsi="仿宋"/>
          <w:b/>
          <w:color w:val="000000"/>
          <w:sz w:val="24"/>
          <w:szCs w:val="24"/>
        </w:rPr>
      </w:pPr>
      <w:r>
        <w:rPr>
          <w:rFonts w:hint="eastAsia" w:ascii="仿宋_GB2312" w:hAnsi="仿宋"/>
          <w:b/>
          <w:color w:val="000000"/>
          <w:sz w:val="24"/>
          <w:szCs w:val="24"/>
        </w:rPr>
        <w:t>附件2</w:t>
      </w:r>
    </w:p>
    <w:p>
      <w:pPr>
        <w:spacing w:line="360" w:lineRule="auto"/>
        <w:jc w:val="center"/>
        <w:rPr>
          <w:rFonts w:eastAsia="宋体"/>
          <w:b/>
          <w:bCs/>
          <w:color w:val="000000"/>
          <w:kern w:val="44"/>
          <w:szCs w:val="32"/>
        </w:rPr>
      </w:pPr>
      <w:r>
        <w:rPr>
          <w:rFonts w:hint="eastAsia" w:eastAsia="宋体"/>
          <w:b/>
          <w:bCs/>
          <w:color w:val="000000"/>
          <w:kern w:val="44"/>
          <w:szCs w:val="32"/>
        </w:rPr>
        <w:t>肺结核患者随访服务记录表</w:t>
      </w:r>
    </w:p>
    <w:p>
      <w:pPr>
        <w:spacing w:line="300" w:lineRule="exact"/>
        <w:rPr>
          <w:rFonts w:ascii="仿宋_GB2312"/>
          <w:b/>
          <w:sz w:val="24"/>
          <w:szCs w:val="24"/>
        </w:rPr>
      </w:pPr>
      <w:r>
        <w:rPr>
          <w:rFonts w:hint="eastAsia" w:ascii="仿宋_GB2312"/>
          <w:b/>
          <w:sz w:val="24"/>
          <w:szCs w:val="24"/>
        </w:rPr>
        <w:t>姓  名：                                       编号 □□□-□□□□□</w:t>
      </w:r>
    </w:p>
    <w:tbl>
      <w:tblPr>
        <w:tblStyle w:val="3"/>
        <w:tblW w:w="6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91"/>
        <w:gridCol w:w="2147"/>
        <w:gridCol w:w="2147"/>
        <w:gridCol w:w="2147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5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随访时间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ind w:firstLine="630" w:firstLineChars="350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年    月    日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ind w:firstLine="630" w:firstLineChars="350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年    月    日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ind w:firstLine="630" w:firstLineChars="350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年    月    日</w:t>
            </w:r>
          </w:p>
        </w:tc>
        <w:tc>
          <w:tcPr>
            <w:tcW w:w="1043" w:type="pct"/>
            <w:vAlign w:val="center"/>
          </w:tcPr>
          <w:p>
            <w:pPr>
              <w:spacing w:line="240" w:lineRule="exact"/>
              <w:ind w:firstLine="630" w:firstLineChars="350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5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治疗月序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ind w:firstLine="540" w:firstLineChars="300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第   月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ind w:firstLine="540" w:firstLineChars="300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第   月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ind w:firstLine="540" w:firstLineChars="300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第   月</w:t>
            </w:r>
          </w:p>
        </w:tc>
        <w:tc>
          <w:tcPr>
            <w:tcW w:w="1043" w:type="pct"/>
            <w:vAlign w:val="center"/>
          </w:tcPr>
          <w:p>
            <w:pPr>
              <w:spacing w:line="240" w:lineRule="exact"/>
              <w:ind w:firstLine="540" w:firstLineChars="300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第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5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督导人员</w:t>
            </w:r>
          </w:p>
        </w:tc>
        <w:tc>
          <w:tcPr>
            <w:tcW w:w="1044" w:type="pct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1医生      2家属</w:t>
            </w:r>
          </w:p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3 自服药   4 其他  □</w:t>
            </w:r>
          </w:p>
        </w:tc>
        <w:tc>
          <w:tcPr>
            <w:tcW w:w="1044" w:type="pct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1医生      2家属</w:t>
            </w:r>
          </w:p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3 自服药   4 其他  □</w:t>
            </w:r>
          </w:p>
        </w:tc>
        <w:tc>
          <w:tcPr>
            <w:tcW w:w="1044" w:type="pct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1医生      2家属</w:t>
            </w:r>
          </w:p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3 自服药   4 其他  □</w:t>
            </w:r>
          </w:p>
        </w:tc>
        <w:tc>
          <w:tcPr>
            <w:tcW w:w="1043" w:type="pct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1医生      2家属</w:t>
            </w:r>
          </w:p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3 自服药   4 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5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随访方式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1门诊2家庭3电话 □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1门诊2家庭3电话 □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1门诊2家庭3电话 □</w:t>
            </w:r>
          </w:p>
        </w:tc>
        <w:tc>
          <w:tcPr>
            <w:tcW w:w="1043" w:type="pct"/>
            <w:vAlign w:val="center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1门诊2家庭3电话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5" w:type="pct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 xml:space="preserve">症状及体征：   </w:t>
            </w:r>
          </w:p>
          <w:p>
            <w:pPr>
              <w:spacing w:line="200" w:lineRule="exact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0没有症状</w:t>
            </w:r>
          </w:p>
          <w:p>
            <w:pPr>
              <w:spacing w:line="20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1咳嗽咳痰</w:t>
            </w:r>
          </w:p>
          <w:p>
            <w:pPr>
              <w:spacing w:line="200" w:lineRule="exact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2低热盗汗</w:t>
            </w:r>
          </w:p>
          <w:p>
            <w:pPr>
              <w:spacing w:line="200" w:lineRule="exact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3咯血或血痰</w:t>
            </w:r>
          </w:p>
          <w:p>
            <w:pPr>
              <w:spacing w:line="200" w:lineRule="exact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4 胸痛消瘦</w:t>
            </w:r>
          </w:p>
          <w:p>
            <w:pPr>
              <w:spacing w:line="200" w:lineRule="exact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5恶心纳差</w:t>
            </w:r>
          </w:p>
          <w:p>
            <w:pPr>
              <w:spacing w:line="200" w:lineRule="exact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6 关节疼痛</w:t>
            </w:r>
          </w:p>
          <w:p>
            <w:pPr>
              <w:spacing w:line="200" w:lineRule="exact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7头痛失眠</w:t>
            </w:r>
          </w:p>
          <w:p>
            <w:pPr>
              <w:spacing w:line="200" w:lineRule="exact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 xml:space="preserve">8视物模糊 </w:t>
            </w:r>
          </w:p>
          <w:p>
            <w:pPr>
              <w:spacing w:line="200" w:lineRule="exact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9皮肤瘙痒、皮疹</w:t>
            </w:r>
          </w:p>
          <w:p>
            <w:pPr>
              <w:spacing w:line="200" w:lineRule="exact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10 耳鸣、听力下降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□/□/□/□/□/□/□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□/□/□/□/□/□/□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□/□/□/□/□/□/□</w:t>
            </w:r>
          </w:p>
        </w:tc>
        <w:tc>
          <w:tcPr>
            <w:tcW w:w="104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□/□/□/□/□/□/□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825" w:type="pct"/>
            <w:gridSpan w:val="2"/>
            <w:vMerge w:val="continue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1044" w:type="pct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044" w:type="pct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044" w:type="pct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043" w:type="pct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3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生活方式指导</w:t>
            </w:r>
          </w:p>
        </w:tc>
        <w:tc>
          <w:tcPr>
            <w:tcW w:w="48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吸烟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/　　  支/天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/　　  支/天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/　　  支/天</w:t>
            </w:r>
          </w:p>
        </w:tc>
        <w:tc>
          <w:tcPr>
            <w:tcW w:w="104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/　　  支/天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3" w:type="pct"/>
            <w:vMerge w:val="continue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饮酒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/　    两/天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/　    两/天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/　    两/天</w:t>
            </w:r>
          </w:p>
        </w:tc>
        <w:tc>
          <w:tcPr>
            <w:tcW w:w="104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/　    两/天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3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用药</w:t>
            </w:r>
          </w:p>
        </w:tc>
        <w:tc>
          <w:tcPr>
            <w:tcW w:w="48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化疗方案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1043" w:type="pct"/>
            <w:vAlign w:val="center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343" w:type="pct"/>
            <w:vMerge w:val="continue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用    法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1每日2 间歇      □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1每日 2 间歇     □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1每日  2 间歇    □</w:t>
            </w:r>
          </w:p>
        </w:tc>
        <w:tc>
          <w:tcPr>
            <w:tcW w:w="1043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1每日   2 间歇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343" w:type="pct"/>
            <w:vMerge w:val="continue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药品剂型</w:t>
            </w:r>
          </w:p>
        </w:tc>
        <w:tc>
          <w:tcPr>
            <w:tcW w:w="1044" w:type="pct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 固定剂量复合制剂□</w:t>
            </w:r>
          </w:p>
          <w:p>
            <w:pPr>
              <w:adjustRightInd w:val="0"/>
              <w:snapToGrid w:val="0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2 散装药          □</w:t>
            </w:r>
          </w:p>
          <w:p>
            <w:pPr>
              <w:adjustRightInd w:val="0"/>
              <w:snapToGrid w:val="0"/>
              <w:ind w:right="90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3 板式组合药</w:t>
            </w:r>
            <w:r>
              <w:rPr>
                <w:rFonts w:hint="eastAsia" w:ascii="仿宋_GB2312" w:hAnsi="宋体"/>
                <w:color w:val="000000"/>
                <w:sz w:val="10"/>
                <w:szCs w:val="10"/>
              </w:rPr>
              <w:t xml:space="preserve">          </w:t>
            </w: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□</w:t>
            </w:r>
          </w:p>
          <w:p>
            <w:pPr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4 注射剂</w:t>
            </w:r>
            <w:r>
              <w:rPr>
                <w:rFonts w:hint="eastAsia" w:ascii="仿宋_GB2312" w:hAnsi="宋体"/>
                <w:color w:val="000000"/>
                <w:sz w:val="10"/>
                <w:szCs w:val="10"/>
              </w:rPr>
              <w:t xml:space="preserve">                 </w:t>
            </w: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044" w:type="pct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 固定剂量复合制剂□</w:t>
            </w:r>
          </w:p>
          <w:p>
            <w:pPr>
              <w:adjustRightInd w:val="0"/>
              <w:snapToGrid w:val="0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2 散装药          □</w:t>
            </w:r>
          </w:p>
          <w:p>
            <w:pPr>
              <w:adjustRightInd w:val="0"/>
              <w:snapToGrid w:val="0"/>
              <w:ind w:right="90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3 板式组合药</w:t>
            </w:r>
            <w:r>
              <w:rPr>
                <w:rFonts w:hint="eastAsia" w:ascii="仿宋_GB2312" w:hAnsi="宋体"/>
                <w:color w:val="000000"/>
                <w:sz w:val="10"/>
                <w:szCs w:val="10"/>
              </w:rPr>
              <w:t xml:space="preserve">          </w:t>
            </w: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□</w:t>
            </w:r>
          </w:p>
          <w:p>
            <w:pPr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4 注射剂</w:t>
            </w:r>
            <w:r>
              <w:rPr>
                <w:rFonts w:hint="eastAsia" w:ascii="仿宋_GB2312" w:hAnsi="宋体"/>
                <w:color w:val="000000"/>
                <w:sz w:val="10"/>
                <w:szCs w:val="10"/>
              </w:rPr>
              <w:t xml:space="preserve">                 </w:t>
            </w: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044" w:type="pct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 固定剂量复合制剂□</w:t>
            </w:r>
          </w:p>
          <w:p>
            <w:pPr>
              <w:adjustRightInd w:val="0"/>
              <w:snapToGrid w:val="0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2 散装药          □</w:t>
            </w:r>
          </w:p>
          <w:p>
            <w:pPr>
              <w:adjustRightInd w:val="0"/>
              <w:snapToGrid w:val="0"/>
              <w:ind w:right="90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3 板式组合药</w:t>
            </w:r>
            <w:r>
              <w:rPr>
                <w:rFonts w:hint="eastAsia" w:ascii="仿宋_GB2312" w:hAnsi="宋体"/>
                <w:color w:val="000000"/>
                <w:sz w:val="10"/>
                <w:szCs w:val="10"/>
              </w:rPr>
              <w:t xml:space="preserve">          </w:t>
            </w: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□</w:t>
            </w:r>
          </w:p>
          <w:p>
            <w:pPr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4 注射剂</w:t>
            </w:r>
            <w:r>
              <w:rPr>
                <w:rFonts w:hint="eastAsia" w:ascii="仿宋_GB2312" w:hAnsi="宋体"/>
                <w:color w:val="000000"/>
                <w:sz w:val="10"/>
                <w:szCs w:val="10"/>
              </w:rPr>
              <w:t xml:space="preserve">                 </w:t>
            </w: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1043" w:type="pct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 固定剂量复合制剂□</w:t>
            </w:r>
          </w:p>
          <w:p>
            <w:pPr>
              <w:adjustRightInd w:val="0"/>
              <w:snapToGrid w:val="0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2 散装药          □</w:t>
            </w:r>
          </w:p>
          <w:p>
            <w:pPr>
              <w:adjustRightInd w:val="0"/>
              <w:snapToGrid w:val="0"/>
              <w:ind w:right="90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3 板式组合药</w:t>
            </w:r>
            <w:r>
              <w:rPr>
                <w:rFonts w:hint="eastAsia" w:ascii="仿宋_GB2312" w:hAnsi="宋体"/>
                <w:color w:val="000000"/>
                <w:sz w:val="10"/>
                <w:szCs w:val="10"/>
              </w:rPr>
              <w:t xml:space="preserve">          </w:t>
            </w: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□</w:t>
            </w:r>
          </w:p>
          <w:p>
            <w:pPr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4 注射剂</w:t>
            </w:r>
            <w:r>
              <w:rPr>
                <w:rFonts w:hint="eastAsia" w:ascii="仿宋_GB2312" w:hAnsi="宋体"/>
                <w:color w:val="000000"/>
                <w:sz w:val="10"/>
                <w:szCs w:val="10"/>
              </w:rPr>
              <w:t xml:space="preserve">                 </w:t>
            </w: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3" w:type="pct"/>
            <w:vMerge w:val="continue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漏服药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次数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jc w:val="righ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 xml:space="preserve">   次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jc w:val="righ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044" w:type="pct"/>
            <w:vAlign w:val="center"/>
          </w:tcPr>
          <w:p>
            <w:pPr>
              <w:spacing w:line="240" w:lineRule="exact"/>
              <w:jc w:val="righ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043" w:type="pct"/>
            <w:vAlign w:val="center"/>
          </w:tcPr>
          <w:p>
            <w:pPr>
              <w:spacing w:line="240" w:lineRule="exact"/>
              <w:jc w:val="righ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5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药物不良反应</w:t>
            </w:r>
          </w:p>
        </w:tc>
        <w:tc>
          <w:tcPr>
            <w:tcW w:w="1044" w:type="pct"/>
          </w:tcPr>
          <w:p>
            <w:pPr>
              <w:spacing w:line="240" w:lineRule="exact"/>
              <w:jc w:val="lef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1无           □</w:t>
            </w:r>
          </w:p>
          <w:p>
            <w:pPr>
              <w:spacing w:line="240" w:lineRule="exact"/>
              <w:jc w:val="lef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2有____________</w:t>
            </w:r>
          </w:p>
        </w:tc>
        <w:tc>
          <w:tcPr>
            <w:tcW w:w="1044" w:type="pct"/>
          </w:tcPr>
          <w:p>
            <w:pPr>
              <w:spacing w:line="240" w:lineRule="exact"/>
              <w:jc w:val="lef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1无            □</w:t>
            </w:r>
          </w:p>
          <w:p>
            <w:pPr>
              <w:spacing w:line="240" w:lineRule="exact"/>
              <w:jc w:val="lef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2有____________</w:t>
            </w:r>
          </w:p>
        </w:tc>
        <w:tc>
          <w:tcPr>
            <w:tcW w:w="1044" w:type="pct"/>
          </w:tcPr>
          <w:p>
            <w:pPr>
              <w:spacing w:line="240" w:lineRule="exact"/>
              <w:jc w:val="lef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1无             □</w:t>
            </w:r>
          </w:p>
          <w:p>
            <w:pPr>
              <w:spacing w:line="240" w:lineRule="exact"/>
              <w:jc w:val="lef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2有____________</w:t>
            </w:r>
          </w:p>
        </w:tc>
        <w:tc>
          <w:tcPr>
            <w:tcW w:w="1043" w:type="pct"/>
          </w:tcPr>
          <w:p>
            <w:pPr>
              <w:spacing w:line="240" w:lineRule="exact"/>
              <w:jc w:val="lef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1无            □</w:t>
            </w:r>
          </w:p>
          <w:p>
            <w:pPr>
              <w:spacing w:line="240" w:lineRule="exact"/>
              <w:jc w:val="lef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2有____________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25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并发症或合并症</w:t>
            </w:r>
          </w:p>
        </w:tc>
        <w:tc>
          <w:tcPr>
            <w:tcW w:w="1044" w:type="pct"/>
          </w:tcPr>
          <w:p>
            <w:pPr>
              <w:spacing w:line="240" w:lineRule="exact"/>
              <w:jc w:val="lef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1无           □</w:t>
            </w:r>
          </w:p>
          <w:p>
            <w:pPr>
              <w:spacing w:line="240" w:lineRule="exact"/>
              <w:jc w:val="left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2有____________</w:t>
            </w:r>
          </w:p>
        </w:tc>
        <w:tc>
          <w:tcPr>
            <w:tcW w:w="1044" w:type="pct"/>
          </w:tcPr>
          <w:p>
            <w:pPr>
              <w:spacing w:line="240" w:lineRule="exact"/>
              <w:jc w:val="lef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1无            □</w:t>
            </w:r>
          </w:p>
          <w:p>
            <w:pPr>
              <w:spacing w:line="240" w:lineRule="exact"/>
              <w:jc w:val="left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2有____________</w:t>
            </w:r>
          </w:p>
        </w:tc>
        <w:tc>
          <w:tcPr>
            <w:tcW w:w="1044" w:type="pct"/>
          </w:tcPr>
          <w:p>
            <w:pPr>
              <w:spacing w:line="240" w:lineRule="exact"/>
              <w:jc w:val="lef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1无             □</w:t>
            </w:r>
          </w:p>
          <w:p>
            <w:pPr>
              <w:spacing w:line="240" w:lineRule="exact"/>
              <w:jc w:val="left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2有____________</w:t>
            </w:r>
          </w:p>
        </w:tc>
        <w:tc>
          <w:tcPr>
            <w:tcW w:w="1043" w:type="pct"/>
          </w:tcPr>
          <w:p>
            <w:pPr>
              <w:spacing w:line="240" w:lineRule="exact"/>
              <w:jc w:val="lef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1无            □</w:t>
            </w:r>
          </w:p>
          <w:p>
            <w:pPr>
              <w:spacing w:line="240" w:lineRule="exact"/>
              <w:jc w:val="left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2有____________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3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转</w:t>
            </w:r>
          </w:p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诊</w:t>
            </w:r>
          </w:p>
        </w:tc>
        <w:tc>
          <w:tcPr>
            <w:tcW w:w="48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科 别</w:t>
            </w:r>
          </w:p>
        </w:tc>
        <w:tc>
          <w:tcPr>
            <w:tcW w:w="1044" w:type="pct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1044" w:type="pct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1044" w:type="pct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1043" w:type="pct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43" w:type="pct"/>
            <w:vMerge w:val="continue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原 因</w:t>
            </w:r>
          </w:p>
        </w:tc>
        <w:tc>
          <w:tcPr>
            <w:tcW w:w="1044" w:type="pct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1044" w:type="pct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1044" w:type="pct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1043" w:type="pct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43" w:type="pct"/>
            <w:vMerge w:val="continue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exact"/>
              <w:jc w:val="lef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2周内随访，随访结果</w:t>
            </w:r>
          </w:p>
        </w:tc>
        <w:tc>
          <w:tcPr>
            <w:tcW w:w="1044" w:type="pct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1044" w:type="pct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1044" w:type="pct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1043" w:type="pct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5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处理意见</w:t>
            </w:r>
          </w:p>
        </w:tc>
        <w:tc>
          <w:tcPr>
            <w:tcW w:w="1044" w:type="pct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1044" w:type="pct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1044" w:type="pct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1043" w:type="pct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5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下次随访时间</w:t>
            </w:r>
          </w:p>
        </w:tc>
        <w:tc>
          <w:tcPr>
            <w:tcW w:w="1044" w:type="pct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1044" w:type="pct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1044" w:type="pct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1043" w:type="pct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5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随访医生签名</w:t>
            </w:r>
          </w:p>
        </w:tc>
        <w:tc>
          <w:tcPr>
            <w:tcW w:w="1044" w:type="pct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1044" w:type="pct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1044" w:type="pct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1043" w:type="pct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停止治疗及原因</w:t>
            </w:r>
          </w:p>
        </w:tc>
        <w:tc>
          <w:tcPr>
            <w:tcW w:w="4175" w:type="pct"/>
            <w:gridSpan w:val="4"/>
            <w:vAlign w:val="center"/>
          </w:tcPr>
          <w:p>
            <w:pPr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1 出现停止治疗时间       年        月     日</w:t>
            </w:r>
          </w:p>
          <w:p>
            <w:pPr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2 停止治疗原因：完成疗程□   死亡□    丢失□   转入耐多药治疗□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5" w:type="pct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全程管理情况</w:t>
            </w:r>
          </w:p>
        </w:tc>
        <w:tc>
          <w:tcPr>
            <w:tcW w:w="4175" w:type="pct"/>
            <w:gridSpan w:val="4"/>
            <w:vAlign w:val="center"/>
          </w:tcPr>
          <w:p>
            <w:pPr>
              <w:spacing w:line="240" w:lineRule="exact"/>
              <w:rPr>
                <w:rFonts w:ascii="仿宋_GB2312" w:hAnsi="Calibri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应访视患者_____次，实际访视____次；</w:t>
            </w:r>
          </w:p>
          <w:p>
            <w:pPr>
              <w:spacing w:line="240" w:lineRule="exact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患者在疗程中，应服药____次，实际服药___次，服药率___%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25" w:type="pct"/>
            <w:gridSpan w:val="2"/>
            <w:vMerge w:val="continue"/>
          </w:tcPr>
          <w:p>
            <w:pPr>
              <w:spacing w:line="240" w:lineRule="exact"/>
              <w:jc w:val="center"/>
              <w:rPr>
                <w:rFonts w:ascii="仿宋_GB2312" w:hAnsi="Calibri"/>
                <w:color w:val="000000"/>
                <w:sz w:val="18"/>
                <w:szCs w:val="18"/>
              </w:rPr>
            </w:pPr>
          </w:p>
        </w:tc>
        <w:tc>
          <w:tcPr>
            <w:tcW w:w="4175" w:type="pct"/>
            <w:gridSpan w:val="4"/>
            <w:vAlign w:val="center"/>
          </w:tcPr>
          <w:p>
            <w:pPr>
              <w:spacing w:line="240" w:lineRule="exact"/>
              <w:rPr>
                <w:rFonts w:ascii="仿宋_GB2312" w:hAnsi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/>
                <w:color w:val="000000"/>
                <w:sz w:val="18"/>
                <w:szCs w:val="18"/>
              </w:rPr>
              <w:t>评估医生签名：</w:t>
            </w:r>
          </w:p>
        </w:tc>
      </w:tr>
    </w:tbl>
    <w:p>
      <w:pPr>
        <w:tabs>
          <w:tab w:val="left" w:pos="1188"/>
          <w:tab w:val="left" w:pos="8386"/>
          <w:tab w:val="left" w:pos="8416"/>
        </w:tabs>
        <w:spacing w:line="400" w:lineRule="exac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填表说明：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1.本表为结核病患者在接受随访服务时由医生填写。同时查看患者的“肺结核患者治疗记录卡”、耐多药患者查看“耐多药肺结核患者服药卡”。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2.生活方式指导：在询问患者生活方式时，同时对患者进行生活方式指导，与患者共同制定下次随访目标。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吸烟：斜线前填写目前吸烟量，不吸烟填“0”，吸烟者写出每天的吸烟量“**支／天”斜线后填写吸烟者下次随访目标吸烟量“**支／天”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饮酒情况：“从不饮酒者”不必填写其他有关饮酒情况项目。“日饮酒量”应折合相当于白酒“××两”。（啤酒/10=白酒量，红酒/4=白酒量，黄酒/5=白酒量）。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3.漏服药次数：上次随访至本次随访期间漏服药次数。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4.药物不良反应：如果患者服用抗结核有明显的药物不良反应，具体描述何种不良反应或症状。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5.合并症/并发症：如果患者出现了合并症或并发症，则具体记录。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6.转诊：如果转诊要写明转诊的医疗机构及科室类别，如××市人民医院结核科，并在原因一栏写明转诊原因。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7.2周内随访，随访结果：转诊2周后，对患者进行随访，并记录随访结果。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8.处理：根据患者服药情况，对患者督导服药进行分类干预。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9.下次随访日期：根据患者此次随访分类，确定下次随访日期，并告知患者。</w:t>
      </w:r>
    </w:p>
    <w:p>
      <w:pPr>
        <w:spacing w:line="400" w:lineRule="exact"/>
        <w:ind w:firstLine="420" w:firstLineChars="200"/>
        <w:rPr>
          <w:rFonts w:ascii="仿宋_GB2312"/>
          <w:color w:val="000000"/>
          <w:sz w:val="21"/>
          <w:szCs w:val="21"/>
        </w:rPr>
      </w:pPr>
      <w:r>
        <w:rPr>
          <w:rFonts w:hint="eastAsia" w:ascii="仿宋_GB2312"/>
          <w:color w:val="000000"/>
          <w:sz w:val="21"/>
          <w:szCs w:val="21"/>
        </w:rPr>
        <w:t>10.评估医生签名：随访完毕，核查无误后随访医生签署其姓名。</w:t>
      </w:r>
    </w:p>
    <w:p>
      <w:r>
        <w:rPr>
          <w:rFonts w:hint="eastAsia" w:ascii="仿宋_GB2312"/>
          <w:color w:val="000000"/>
          <w:sz w:val="21"/>
          <w:szCs w:val="21"/>
        </w:rPr>
        <w:t>11.全程服药管理情况：肺结核患者治疗结案时填写。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86EC5"/>
    <w:rsid w:val="31986EC5"/>
    <w:rsid w:val="7A6379DC"/>
    <w:rsid w:val="7D56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emf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2021-11-15T03:50:00Z</dcterms:created>
  <dc:creator>欧阳离冰</dc:creator>
  <cp:lastModifiedBy>欧阳离冰</cp:lastModifiedBy>
  <dcterms:modified xsi:type="dcterms:W3CDTF">2021-11-15T03:52:42Z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5992E9C6D239423F84D1069120E2E94C</vt:lpwstr>
  </property>
</Properties>
</file>