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color w:val="000000"/>
          <w:sz w:val="32"/>
          <w:szCs w:val="32"/>
        </w:rPr>
      </w:pPr>
      <w:bookmarkStart w:id="0" w:name="_Toc436221575"/>
      <w:r>
        <w:rPr>
          <w:rFonts w:hint="eastAsia"/>
          <w:color w:val="000000"/>
          <w:sz w:val="32"/>
          <w:szCs w:val="32"/>
        </w:rPr>
        <w:t>老年人健康管理服务规范</w:t>
      </w:r>
      <w:bookmarkEnd w:id="0"/>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一、服务对象</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辖区内65岁及以上常住居民。</w:t>
      </w:r>
    </w:p>
    <w:p>
      <w:pPr>
        <w:adjustRightInd w:val="0"/>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二、服务内容</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每年为老年人提供1次健康管理服务，包括生活方式和健康状况评估、体格检查、辅助检查和健康指导。</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（一）生活方式和健康状况评估。通过问诊及老年人健康状态自评了解其基本健康状况、体育锻炼、饮食、吸烟、饮酒、慢性疾病常见症状、既往所患疾病、治疗及目前用药和生活自理能力等情况。</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（二）体格检查。包括体温、脉搏、呼吸、血压、身高、体重、腰围、皮肤、浅表淋巴结、肺部、心脏、腹部等常规体格检查，并对口腔、视力、听力和运动功能等进行粗测判断。</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三）辅助检查。包括血常规、尿常规、肝功能（血清谷草转氨酶、血清谷丙转氨酶和总胆红素）、肾功能（血清肌酐和血尿素）、空腹血糖、血脂（总胆固醇、甘油三酯、低密度脂蛋白胆固醇、高密度脂蛋白胆固醇）、心电图和腹部B超（肝胆胰脾）检查。</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（四）健康指导。告知评价结果并进行相应健康指导。</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1.对发现已确诊的原发性高血压和2型糖尿病等患者同时开展相应的慢性病患者健康管理。</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2.对患有其他疾病的(非高血压或糖尿病)，应及时治疗或转诊。</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3.对发现有异常的老年人建议定期复查或向上级医疗机构转诊。</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4.进行健康生活方式以及疫苗接种、骨质疏松预防、防跌倒措施、意外伤害预防和自救、认知和情感等健康指导。</w:t>
      </w:r>
    </w:p>
    <w:p>
      <w:pPr>
        <w:adjustRightInd w:val="0"/>
        <w:snapToGrid w:val="0"/>
        <w:spacing w:line="400" w:lineRule="exact"/>
        <w:ind w:firstLine="480" w:firstLineChars="200"/>
        <w:rPr>
          <w:rFonts w:hint="eastAsia" w:ascii="仿宋_GB2312" w:hAnsi="宋体"/>
          <w:color w:val="000000"/>
          <w:sz w:val="24"/>
          <w:szCs w:val="24"/>
        </w:rPr>
      </w:pPr>
      <w:r>
        <w:rPr>
          <w:rFonts w:hint="eastAsia" w:ascii="仿宋_GB2312" w:hAnsi="宋体"/>
          <w:color w:val="000000"/>
          <w:sz w:val="24"/>
          <w:szCs w:val="24"/>
        </w:rPr>
        <w:t>5.告知或预约下一次健康管理服务的时间。</w:t>
      </w: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hint="eastAsia" w:ascii="仿宋_GB2312" w:hAnsi="宋体"/>
          <w:color w:val="000000"/>
          <w:sz w:val="24"/>
          <w:szCs w:val="24"/>
        </w:rPr>
      </w:pPr>
    </w:p>
    <w:p>
      <w:pPr>
        <w:adjustRightInd w:val="0"/>
        <w:snapToGrid w:val="0"/>
        <w:spacing w:line="400" w:lineRule="exact"/>
        <w:ind w:firstLine="480" w:firstLineChars="200"/>
        <w:rPr>
          <w:rFonts w:ascii="仿宋_GB2312" w:hAnsi="宋体"/>
          <w:color w:val="000000"/>
          <w:sz w:val="24"/>
          <w:szCs w:val="24"/>
        </w:rPr>
      </w:pPr>
      <w:r>
        <w:rPr>
          <w:rFonts w:hint="eastAsia" w:ascii="黑体" w:hAnsi="宋体" w:eastAsia="黑体"/>
          <w:color w:val="000000"/>
          <w:sz w:val="24"/>
          <w:szCs w:val="24"/>
        </w:rPr>
        <w:t>三、服务流程</w:t>
      </w:r>
      <w:r>
        <w:rPr>
          <w:rFonts w:hint="eastAsia" w:ascii="仿宋_GB2312" w:hAnsi="宋体"/>
          <w:color w:val="000000"/>
          <w:sz w:val="24"/>
          <w:szCs w:val="24"/>
        </w:rPr>
        <w:t xml:space="preserve"> </w:t>
      </w:r>
    </w:p>
    <w:p>
      <w:pPr>
        <w:adjustRightInd w:val="0"/>
        <w:snapToGrid w:val="0"/>
        <w:rPr>
          <w:color w:val="000000"/>
        </w:rPr>
      </w:pPr>
      <w:r>
        <w:rPr>
          <w:color w:val="000000"/>
        </w:rPr>
        <w:object>
          <v:shape id="_x0000_i1025" o:spt="75" type="#_x0000_t75" style="height:220.2pt;width:416.9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r>
        <w:rPr>
          <w:rFonts w:hint="eastAsia"/>
          <w:color w:val="000000"/>
        </w:rPr>
        <w:t xml:space="preserve">    </w:t>
      </w:r>
    </w:p>
    <w:p>
      <w:pPr>
        <w:adjustRightInd w:val="0"/>
        <w:snapToGrid w:val="0"/>
        <w:ind w:firstLine="480" w:firstLineChars="200"/>
        <w:rPr>
          <w:rFonts w:ascii="黑体" w:hAnsi="宋体" w:eastAsia="黑体"/>
          <w:color w:val="000000"/>
          <w:sz w:val="24"/>
          <w:szCs w:val="24"/>
        </w:rPr>
      </w:pPr>
      <w:r>
        <w:rPr>
          <w:rFonts w:hint="eastAsia" w:ascii="黑体" w:hAnsi="宋体" w:eastAsia="黑体"/>
          <w:color w:val="000000"/>
          <w:sz w:val="24"/>
          <w:szCs w:val="24"/>
        </w:rPr>
        <w:t>四、服务要求</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（一）开展老年人健康管理服务的乡镇卫生院和社区卫生服务中心应当具备服务内容所需的基本设备和条件。</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（二）加强与村（居）委会、派出所等相关部门的联系，掌握辖区内老年人口信息变化。加强宣传，告知服务内容，使更多的老年人愿意接受服务。</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（三）每次健康检查后及时将相关信息记入健康档案。具体内容详见《居民健康档案管理服务规范》健康体检表。对于已纳入相应慢病健康管理的老年人，本次健康管理服务可作为一次随访服务。</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（四）积极应用中医药方法为老年人提供养生保健、疾病防治等健康指导。</w:t>
      </w:r>
    </w:p>
    <w:p>
      <w:pPr>
        <w:adjustRightInd w:val="0"/>
        <w:snapToGrid w:val="0"/>
        <w:spacing w:line="400" w:lineRule="exact"/>
        <w:ind w:firstLine="600" w:firstLineChars="250"/>
        <w:rPr>
          <w:rFonts w:ascii="黑体" w:hAnsi="宋体" w:eastAsia="黑体"/>
          <w:color w:val="000000"/>
          <w:sz w:val="24"/>
          <w:szCs w:val="24"/>
        </w:rPr>
      </w:pPr>
      <w:r>
        <w:rPr>
          <w:rFonts w:hint="eastAsia" w:ascii="黑体" w:hAnsi="宋体" w:eastAsia="黑体"/>
          <w:color w:val="000000"/>
          <w:sz w:val="24"/>
          <w:szCs w:val="24"/>
        </w:rPr>
        <w:t>五、工作指标</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老年人健康管理率＝年内接受健康管理人数/年内辖区内65岁及以上常住居民数×100％。</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注：接受健康管理是指建立了健康档案、接受了</w:t>
      </w:r>
      <w:r>
        <w:rPr>
          <w:rFonts w:hint="eastAsia" w:ascii="仿宋_GB2312" w:hAnsi="宋体"/>
          <w:color w:val="000000"/>
          <w:spacing w:val="-2"/>
          <w:sz w:val="24"/>
          <w:szCs w:val="24"/>
        </w:rPr>
        <w:t>健康</w:t>
      </w:r>
      <w:r>
        <w:rPr>
          <w:rFonts w:hint="eastAsia" w:ascii="仿宋_GB2312" w:hAnsi="宋体"/>
          <w:color w:val="000000"/>
          <w:sz w:val="24"/>
          <w:szCs w:val="24"/>
        </w:rPr>
        <w:t>体检、健康指导、</w:t>
      </w:r>
      <w:r>
        <w:rPr>
          <w:rFonts w:hint="eastAsia" w:ascii="仿宋_GB2312" w:hAnsi="宋体"/>
          <w:color w:val="000000"/>
          <w:spacing w:val="-2"/>
          <w:sz w:val="24"/>
          <w:szCs w:val="24"/>
        </w:rPr>
        <w:t>健康</w:t>
      </w:r>
      <w:r>
        <w:rPr>
          <w:rFonts w:hint="eastAsia" w:ascii="仿宋_GB2312" w:hAnsi="宋体"/>
          <w:color w:val="000000"/>
          <w:sz w:val="24"/>
          <w:szCs w:val="24"/>
        </w:rPr>
        <w:t>体检</w:t>
      </w:r>
      <w:r>
        <w:rPr>
          <w:rFonts w:hint="eastAsia" w:ascii="仿宋_GB2312" w:hAnsi="宋体"/>
          <w:color w:val="000000"/>
          <w:spacing w:val="-2"/>
          <w:sz w:val="24"/>
          <w:szCs w:val="24"/>
        </w:rPr>
        <w:t>表填写完整</w:t>
      </w:r>
      <w:r>
        <w:rPr>
          <w:rFonts w:hint="eastAsia" w:ascii="仿宋_GB2312" w:hAnsi="宋体"/>
          <w:color w:val="000000"/>
          <w:sz w:val="24"/>
          <w:szCs w:val="24"/>
        </w:rPr>
        <w:t>。</w:t>
      </w:r>
    </w:p>
    <w:p>
      <w:pPr>
        <w:adjustRightInd w:val="0"/>
        <w:snapToGrid w:val="0"/>
        <w:spacing w:line="400" w:lineRule="exact"/>
        <w:ind w:firstLine="600" w:firstLineChars="250"/>
        <w:rPr>
          <w:rFonts w:ascii="黑体" w:hAnsi="宋体" w:eastAsia="黑体"/>
          <w:color w:val="000000"/>
          <w:sz w:val="24"/>
          <w:szCs w:val="24"/>
        </w:rPr>
      </w:pPr>
      <w:r>
        <w:rPr>
          <w:rFonts w:hint="eastAsia" w:ascii="黑体" w:hAnsi="宋体" w:eastAsia="黑体"/>
          <w:color w:val="000000"/>
          <w:sz w:val="24"/>
          <w:szCs w:val="24"/>
        </w:rPr>
        <w:t>六、附件</w:t>
      </w:r>
    </w:p>
    <w:p>
      <w:pPr>
        <w:adjustRightInd w:val="0"/>
        <w:snapToGrid w:val="0"/>
        <w:spacing w:line="400" w:lineRule="exact"/>
        <w:ind w:firstLine="480" w:firstLineChars="200"/>
        <w:rPr>
          <w:rFonts w:ascii="仿宋_GB2312" w:hAnsi="宋体"/>
          <w:color w:val="000000"/>
          <w:sz w:val="24"/>
          <w:szCs w:val="24"/>
        </w:rPr>
      </w:pPr>
      <w:r>
        <w:rPr>
          <w:rFonts w:hint="eastAsia" w:ascii="仿宋_GB2312" w:hAnsi="宋体"/>
          <w:color w:val="000000"/>
          <w:sz w:val="24"/>
          <w:szCs w:val="24"/>
        </w:rPr>
        <w:t>老年人生活自理能力评估表</w:t>
      </w: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rFonts w:hint="eastAsia"/>
          <w:b/>
          <w:color w:val="000000"/>
          <w:sz w:val="24"/>
          <w:szCs w:val="24"/>
        </w:rPr>
      </w:pPr>
    </w:p>
    <w:p>
      <w:pPr>
        <w:widowControl/>
        <w:jc w:val="left"/>
        <w:rPr>
          <w:b/>
          <w:color w:val="000000"/>
          <w:sz w:val="24"/>
          <w:szCs w:val="24"/>
        </w:rPr>
      </w:pPr>
      <w:bookmarkStart w:id="1" w:name="_GoBack"/>
      <w:bookmarkEnd w:id="1"/>
      <w:r>
        <w:rPr>
          <w:rFonts w:hint="eastAsia"/>
          <w:b/>
          <w:color w:val="000000"/>
          <w:sz w:val="24"/>
          <w:szCs w:val="24"/>
        </w:rPr>
        <w:t>附件</w:t>
      </w:r>
    </w:p>
    <w:p>
      <w:pPr>
        <w:jc w:val="center"/>
        <w:rPr>
          <w:b/>
          <w:color w:val="000000"/>
          <w:sz w:val="24"/>
          <w:szCs w:val="24"/>
        </w:rPr>
      </w:pPr>
      <w:r>
        <w:rPr>
          <w:rFonts w:hint="eastAsia" w:ascii="宋体" w:hAnsi="宋体" w:eastAsia="宋体"/>
          <w:b/>
          <w:color w:val="000000"/>
          <w:sz w:val="28"/>
          <w:szCs w:val="28"/>
        </w:rPr>
        <w:t>老年人生活自理能力评估表</w:t>
      </w:r>
    </w:p>
    <w:p>
      <w:pPr>
        <w:spacing w:line="400" w:lineRule="exact"/>
        <w:ind w:firstLine="420" w:firstLineChars="200"/>
        <w:rPr>
          <w:rFonts w:ascii="仿宋_GB2312"/>
          <w:color w:val="000000"/>
          <w:sz w:val="21"/>
          <w:szCs w:val="21"/>
        </w:rPr>
      </w:pPr>
      <w:r>
        <w:rPr>
          <w:rFonts w:hint="eastAsia" w:ascii="仿宋_GB2312"/>
          <w:color w:val="000000"/>
          <w:sz w:val="21"/>
          <w:szCs w:val="21"/>
        </w:rPr>
        <w:t>该表为自评表，根据下表中5个方面进行评估，将各方面判断评分汇总后，0</w:t>
      </w:r>
      <w:r>
        <w:rPr>
          <w:rFonts w:hint="eastAsia" w:ascii="仿宋_GB2312" w:hAnsi="宋体"/>
          <w:snapToGrid w:val="0"/>
          <w:color w:val="000000"/>
          <w:kern w:val="0"/>
          <w:sz w:val="24"/>
          <w:szCs w:val="24"/>
        </w:rPr>
        <w:t>～</w:t>
      </w:r>
      <w:r>
        <w:rPr>
          <w:rFonts w:hint="eastAsia" w:ascii="仿宋_GB2312"/>
          <w:color w:val="000000"/>
          <w:sz w:val="21"/>
          <w:szCs w:val="21"/>
        </w:rPr>
        <w:t>3分者为可自理；4</w:t>
      </w:r>
      <w:r>
        <w:rPr>
          <w:rFonts w:hint="eastAsia" w:ascii="仿宋_GB2312" w:hAnsi="宋体"/>
          <w:snapToGrid w:val="0"/>
          <w:color w:val="000000"/>
          <w:kern w:val="0"/>
          <w:sz w:val="24"/>
          <w:szCs w:val="24"/>
        </w:rPr>
        <w:t>～</w:t>
      </w:r>
      <w:r>
        <w:rPr>
          <w:rFonts w:hint="eastAsia" w:ascii="仿宋_GB2312"/>
          <w:color w:val="000000"/>
          <w:sz w:val="21"/>
          <w:szCs w:val="21"/>
        </w:rPr>
        <w:t>8分者为轻度依赖；9</w:t>
      </w:r>
      <w:r>
        <w:rPr>
          <w:rFonts w:hint="eastAsia" w:ascii="仿宋_GB2312" w:hAnsi="宋体"/>
          <w:snapToGrid w:val="0"/>
          <w:color w:val="000000"/>
          <w:kern w:val="0"/>
          <w:sz w:val="24"/>
          <w:szCs w:val="24"/>
        </w:rPr>
        <w:t>～</w:t>
      </w:r>
      <w:r>
        <w:rPr>
          <w:rFonts w:hint="eastAsia" w:ascii="仿宋_GB2312"/>
          <w:color w:val="000000"/>
          <w:sz w:val="21"/>
          <w:szCs w:val="21"/>
        </w:rPr>
        <w:t xml:space="preserve">18分者为中度依赖； </w:t>
      </w:r>
      <w:r>
        <w:rPr>
          <w:rFonts w:ascii="Courier" w:eastAsia="Courier"/>
          <w:color w:val="000000"/>
          <w:sz w:val="21"/>
          <w:szCs w:val="21"/>
        </w:rPr>
        <w:sym w:font="Symbol" w:char="00B3"/>
      </w:r>
      <w:r>
        <w:rPr>
          <w:rFonts w:hint="eastAsia" w:ascii="仿宋_GB2312"/>
          <w:color w:val="000000"/>
          <w:sz w:val="21"/>
          <w:szCs w:val="21"/>
        </w:rPr>
        <w:t>19分者为不能自理。</w:t>
      </w:r>
    </w:p>
    <w:p>
      <w:pPr>
        <w:spacing w:line="400" w:lineRule="exact"/>
        <w:ind w:firstLine="482" w:firstLineChars="200"/>
        <w:rPr>
          <w:rFonts w:ascii="Calibri" w:hAnsi="Calibri"/>
          <w:b/>
          <w:color w:val="000000"/>
          <w:sz w:val="24"/>
          <w:szCs w:val="24"/>
        </w:rPr>
      </w:pPr>
    </w:p>
    <w:tbl>
      <w:tblPr>
        <w:tblStyle w:val="3"/>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1275"/>
        <w:gridCol w:w="1418"/>
        <w:gridCol w:w="1559"/>
        <w:gridCol w:w="127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02" w:type="dxa"/>
            <w:vMerge w:val="restart"/>
            <w:tcBorders>
              <w:top w:val="single" w:color="auto" w:sz="4" w:space="0"/>
              <w:left w:val="single" w:color="auto" w:sz="4" w:space="0"/>
              <w:right w:val="single" w:color="auto" w:sz="4" w:space="0"/>
            </w:tcBorders>
            <w:vAlign w:val="center"/>
          </w:tcPr>
          <w:p>
            <w:pPr>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评估事项、内容</w:t>
            </w:r>
          </w:p>
          <w:p>
            <w:pPr>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与评分</w:t>
            </w:r>
          </w:p>
        </w:tc>
        <w:tc>
          <w:tcPr>
            <w:tcW w:w="6259" w:type="dxa"/>
            <w:gridSpan w:val="5"/>
            <w:tcBorders>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程度等级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02" w:type="dxa"/>
            <w:vMerge w:val="continue"/>
            <w:tcBorders>
              <w:left w:val="single" w:color="auto" w:sz="4" w:space="0"/>
              <w:bottom w:val="single" w:color="auto" w:sz="4" w:space="0"/>
              <w:right w:val="single" w:color="auto" w:sz="4" w:space="0"/>
            </w:tcBorders>
          </w:tcPr>
          <w:p>
            <w:pPr>
              <w:widowControl/>
              <w:spacing w:line="380" w:lineRule="exact"/>
              <w:jc w:val="left"/>
              <w:rPr>
                <w:rFonts w:ascii="仿宋_GB2312" w:hAnsi="宋体" w:cs="宋体"/>
                <w:color w:val="000000"/>
                <w:kern w:val="0"/>
                <w:sz w:val="21"/>
                <w:szCs w:val="21"/>
              </w:rPr>
            </w:pPr>
          </w:p>
        </w:tc>
        <w:tc>
          <w:tcPr>
            <w:tcW w:w="1275" w:type="dxa"/>
            <w:tcBorders>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可自理</w:t>
            </w:r>
          </w:p>
        </w:tc>
        <w:tc>
          <w:tcPr>
            <w:tcW w:w="1418" w:type="dxa"/>
            <w:tcBorders>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轻度依赖</w:t>
            </w:r>
          </w:p>
        </w:tc>
        <w:tc>
          <w:tcPr>
            <w:tcW w:w="1559" w:type="dxa"/>
            <w:tcBorders>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中度依赖</w:t>
            </w:r>
          </w:p>
        </w:tc>
        <w:tc>
          <w:tcPr>
            <w:tcW w:w="1276" w:type="dxa"/>
            <w:tcBorders>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不能自理</w:t>
            </w:r>
          </w:p>
        </w:tc>
        <w:tc>
          <w:tcPr>
            <w:tcW w:w="731" w:type="dxa"/>
            <w:tcBorders>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判断评分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进餐：使用餐具将饭菜送入口、咀嚼、吞咽等活动</w:t>
            </w:r>
          </w:p>
        </w:tc>
        <w:tc>
          <w:tcPr>
            <w:tcW w:w="1275" w:type="dxa"/>
            <w:tcBorders>
              <w:top w:val="single" w:color="auto" w:sz="4" w:space="0"/>
              <w:left w:val="single" w:color="auto" w:sz="4" w:space="0"/>
              <w:bottom w:val="nil"/>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独立完成</w:t>
            </w:r>
          </w:p>
        </w:tc>
        <w:tc>
          <w:tcPr>
            <w:tcW w:w="1418" w:type="dxa"/>
            <w:tcBorders>
              <w:top w:val="single" w:color="auto" w:sz="4" w:space="0"/>
              <w:left w:val="single" w:color="auto" w:sz="4" w:space="0"/>
              <w:bottom w:val="nil"/>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w:t>
            </w:r>
          </w:p>
        </w:tc>
        <w:tc>
          <w:tcPr>
            <w:tcW w:w="1559"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需要协助，如切碎、搅拌食物等</w:t>
            </w:r>
          </w:p>
        </w:tc>
        <w:tc>
          <w:tcPr>
            <w:tcW w:w="1276"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完全需要帮助</w:t>
            </w:r>
          </w:p>
        </w:tc>
        <w:tc>
          <w:tcPr>
            <w:tcW w:w="731" w:type="dxa"/>
            <w:vMerge w:val="restart"/>
            <w:tcBorders>
              <w:top w:val="single" w:color="auto" w:sz="4" w:space="0"/>
              <w:left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评分</w:t>
            </w:r>
          </w:p>
        </w:tc>
        <w:tc>
          <w:tcPr>
            <w:tcW w:w="1275"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418"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559"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1276"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731" w:type="dxa"/>
            <w:vMerge w:val="continue"/>
            <w:tcBorders>
              <w:left w:val="single" w:color="auto" w:sz="4" w:space="0"/>
              <w:bottom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梳洗：梳头、洗脸、刷牙、剃须、洗澡等活动</w:t>
            </w:r>
          </w:p>
        </w:tc>
        <w:tc>
          <w:tcPr>
            <w:tcW w:w="1275" w:type="dxa"/>
            <w:tcBorders>
              <w:top w:val="single" w:color="auto" w:sz="4" w:space="0"/>
              <w:left w:val="single" w:color="auto" w:sz="4" w:space="0"/>
              <w:bottom w:val="nil"/>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独立完成</w:t>
            </w:r>
          </w:p>
        </w:tc>
        <w:tc>
          <w:tcPr>
            <w:tcW w:w="1418"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能独立地洗头、梳头、洗脸、刷牙、剃须等；洗澡需要协助</w:t>
            </w:r>
          </w:p>
        </w:tc>
        <w:tc>
          <w:tcPr>
            <w:tcW w:w="1559"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在协助下和适当的时间内，能完成部分梳洗活动</w:t>
            </w:r>
          </w:p>
        </w:tc>
        <w:tc>
          <w:tcPr>
            <w:tcW w:w="1276"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完全需要帮助</w:t>
            </w:r>
          </w:p>
        </w:tc>
        <w:tc>
          <w:tcPr>
            <w:tcW w:w="731" w:type="dxa"/>
            <w:vMerge w:val="restart"/>
            <w:tcBorders>
              <w:top w:val="single" w:color="auto" w:sz="4" w:space="0"/>
              <w:left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评分</w:t>
            </w:r>
          </w:p>
        </w:tc>
        <w:tc>
          <w:tcPr>
            <w:tcW w:w="1275"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418"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1559"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1276"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7</w:t>
            </w:r>
          </w:p>
        </w:tc>
        <w:tc>
          <w:tcPr>
            <w:tcW w:w="731" w:type="dxa"/>
            <w:vMerge w:val="continue"/>
            <w:tcBorders>
              <w:left w:val="single" w:color="auto" w:sz="4" w:space="0"/>
              <w:bottom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穿衣：穿衣裤、袜子、鞋子等活动</w:t>
            </w:r>
          </w:p>
        </w:tc>
        <w:tc>
          <w:tcPr>
            <w:tcW w:w="1275" w:type="dxa"/>
            <w:tcBorders>
              <w:top w:val="single" w:color="auto" w:sz="4" w:space="0"/>
              <w:left w:val="single" w:color="auto" w:sz="4" w:space="0"/>
              <w:bottom w:val="nil"/>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独立完成</w:t>
            </w:r>
          </w:p>
        </w:tc>
        <w:tc>
          <w:tcPr>
            <w:tcW w:w="1418" w:type="dxa"/>
            <w:tcBorders>
              <w:top w:val="single" w:color="auto" w:sz="4" w:space="0"/>
              <w:left w:val="single" w:color="auto" w:sz="4" w:space="0"/>
              <w:bottom w:val="nil"/>
              <w:right w:val="single" w:color="auto" w:sz="4" w:space="0"/>
            </w:tcBorders>
            <w:vAlign w:val="center"/>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w:t>
            </w:r>
          </w:p>
        </w:tc>
        <w:tc>
          <w:tcPr>
            <w:tcW w:w="1559"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需要协助，在适当的时间内完成部分穿衣</w:t>
            </w:r>
          </w:p>
        </w:tc>
        <w:tc>
          <w:tcPr>
            <w:tcW w:w="1276"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完全需要帮助</w:t>
            </w:r>
          </w:p>
        </w:tc>
        <w:tc>
          <w:tcPr>
            <w:tcW w:w="731" w:type="dxa"/>
            <w:vMerge w:val="restart"/>
            <w:tcBorders>
              <w:top w:val="single" w:color="auto" w:sz="4" w:space="0"/>
              <w:left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评分</w:t>
            </w:r>
          </w:p>
        </w:tc>
        <w:tc>
          <w:tcPr>
            <w:tcW w:w="1275"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418"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559"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1276"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731" w:type="dxa"/>
            <w:vMerge w:val="continue"/>
            <w:tcBorders>
              <w:left w:val="single" w:color="auto" w:sz="4" w:space="0"/>
              <w:bottom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如厕：小便、大便等活动及自控</w:t>
            </w:r>
          </w:p>
        </w:tc>
        <w:tc>
          <w:tcPr>
            <w:tcW w:w="1275" w:type="dxa"/>
            <w:tcBorders>
              <w:top w:val="single" w:color="auto" w:sz="4" w:space="0"/>
              <w:left w:val="single" w:color="auto" w:sz="4" w:space="0"/>
              <w:bottom w:val="nil"/>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不需协助，可自控</w:t>
            </w:r>
          </w:p>
        </w:tc>
        <w:tc>
          <w:tcPr>
            <w:tcW w:w="1418"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偶尔失禁，但基本上能如厕或使用便具</w:t>
            </w:r>
          </w:p>
        </w:tc>
        <w:tc>
          <w:tcPr>
            <w:tcW w:w="1559"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经常失禁，在很多提示和协助下尚能如厕或使用便具</w:t>
            </w:r>
          </w:p>
        </w:tc>
        <w:tc>
          <w:tcPr>
            <w:tcW w:w="1276"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完全失禁，完全需要帮助</w:t>
            </w:r>
          </w:p>
        </w:tc>
        <w:tc>
          <w:tcPr>
            <w:tcW w:w="731" w:type="dxa"/>
            <w:vMerge w:val="restart"/>
            <w:tcBorders>
              <w:top w:val="single" w:color="auto" w:sz="4" w:space="0"/>
              <w:left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评分</w:t>
            </w:r>
          </w:p>
        </w:tc>
        <w:tc>
          <w:tcPr>
            <w:tcW w:w="1275"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418"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1559"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1276" w:type="dxa"/>
            <w:tcBorders>
              <w:top w:val="nil"/>
              <w:left w:val="single" w:color="auto" w:sz="4" w:space="0"/>
              <w:bottom w:val="single" w:color="auto" w:sz="4" w:space="0"/>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731" w:type="dxa"/>
            <w:vMerge w:val="continue"/>
            <w:tcBorders>
              <w:left w:val="single" w:color="auto" w:sz="4" w:space="0"/>
              <w:bottom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活动：站立、室内行走、上下楼梯、户外活动</w:t>
            </w:r>
          </w:p>
        </w:tc>
        <w:tc>
          <w:tcPr>
            <w:tcW w:w="1275" w:type="dxa"/>
            <w:tcBorders>
              <w:top w:val="single" w:color="auto" w:sz="4" w:space="0"/>
              <w:left w:val="single" w:color="auto" w:sz="4" w:space="0"/>
              <w:bottom w:val="nil"/>
              <w:right w:val="single" w:color="auto" w:sz="4" w:space="0"/>
            </w:tcBorders>
          </w:tcPr>
          <w:p>
            <w:pPr>
              <w:widowControl/>
              <w:spacing w:line="38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独立完成所有活动</w:t>
            </w:r>
          </w:p>
        </w:tc>
        <w:tc>
          <w:tcPr>
            <w:tcW w:w="1418"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借助较小的外力或辅助装置能完成站立、行走、上下楼梯等</w:t>
            </w:r>
          </w:p>
        </w:tc>
        <w:tc>
          <w:tcPr>
            <w:tcW w:w="1559"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借助较大的外力才能完成站立、行走，不能上下楼梯</w:t>
            </w:r>
          </w:p>
        </w:tc>
        <w:tc>
          <w:tcPr>
            <w:tcW w:w="1276" w:type="dxa"/>
            <w:tcBorders>
              <w:top w:val="single" w:color="auto" w:sz="4" w:space="0"/>
              <w:left w:val="single" w:color="auto" w:sz="4" w:space="0"/>
              <w:bottom w:val="nil"/>
              <w:right w:val="single" w:color="auto" w:sz="4" w:space="0"/>
            </w:tcBorders>
          </w:tcPr>
          <w:p>
            <w:pPr>
              <w:widowControl/>
              <w:spacing w:line="38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卧床不起，活动完全需要帮助</w:t>
            </w:r>
          </w:p>
        </w:tc>
        <w:tc>
          <w:tcPr>
            <w:tcW w:w="731" w:type="dxa"/>
            <w:vMerge w:val="restart"/>
            <w:tcBorders>
              <w:top w:val="single" w:color="auto" w:sz="4" w:space="0"/>
              <w:left w:val="single" w:color="auto" w:sz="4" w:space="0"/>
              <w:right w:val="single" w:color="auto" w:sz="4" w:space="0"/>
            </w:tcBorders>
          </w:tcPr>
          <w:p>
            <w:pPr>
              <w:widowControl/>
              <w:spacing w:line="38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评分</w:t>
            </w:r>
          </w:p>
        </w:tc>
        <w:tc>
          <w:tcPr>
            <w:tcW w:w="1275"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0</w:t>
            </w:r>
          </w:p>
        </w:tc>
        <w:tc>
          <w:tcPr>
            <w:tcW w:w="1418"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1559"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1276" w:type="dxa"/>
            <w:tcBorders>
              <w:top w:val="nil"/>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731" w:type="dxa"/>
            <w:vMerge w:val="continue"/>
            <w:tcBorders>
              <w:left w:val="single" w:color="auto" w:sz="4" w:space="0"/>
              <w:right w:val="single" w:color="auto" w:sz="4" w:space="0"/>
            </w:tcBorders>
          </w:tcPr>
          <w:p>
            <w:pPr>
              <w:widowControl/>
              <w:spacing w:line="400" w:lineRule="exact"/>
              <w:jc w:val="right"/>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0"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总得分</w:t>
            </w:r>
          </w:p>
        </w:tc>
        <w:tc>
          <w:tcPr>
            <w:tcW w:w="731" w:type="dxa"/>
            <w:tcBorders>
              <w:left w:val="single" w:color="auto" w:sz="4" w:space="0"/>
              <w:right w:val="single" w:color="auto" w:sz="4" w:space="0"/>
            </w:tcBorders>
          </w:tcPr>
          <w:p>
            <w:pPr>
              <w:widowControl/>
              <w:spacing w:line="400" w:lineRule="exact"/>
              <w:jc w:val="right"/>
              <w:rPr>
                <w:rFonts w:ascii="仿宋_GB2312" w:hAnsi="宋体" w:cs="宋体"/>
                <w:color w:val="000000"/>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17940"/>
    <w:rsid w:val="68517940"/>
    <w:rsid w:val="7A6379DC"/>
    <w:rsid w:val="7D56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宋体"/>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2021-11-15T03:45:00Z</dcterms:created>
  <dc:creator>欧阳离冰</dc:creator>
  <cp:lastModifiedBy>欧阳离冰</cp:lastModifiedBy>
  <dcterms:modified xsi:type="dcterms:W3CDTF">2021-11-15T03:48:40Z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B1543FBE7EE34435B98168679EC85D12</vt:lpwstr>
  </property>
</Properties>
</file>