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6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重庆市大足区退役军人事务局</w:t>
      </w:r>
    </w:p>
    <w:p>
      <w:pPr>
        <w:widowControl w:val="0"/>
        <w:wordWrap/>
        <w:adjustRightInd/>
        <w:snapToGrid/>
        <w:spacing w:before="0" w:after="0" w:line="6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年政府信息公开工作年度报告</w:t>
      </w:r>
    </w:p>
    <w:p>
      <w:pPr>
        <w:pStyle w:val="4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4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年我局坚持以习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近平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新时代中国特色社会主义思想为指导，深入贯彻党的二十大重要指示精神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按照党中央、国务院和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政府以及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政府关于政务公开工作的决策部署，坚持以人民为中心，坚持以公开为常态、不公开为例外，深化政务公开内容，创新政务公开形式，完善政务公开制度，强化政务公开监督，夯实政务公开基础，提升政务公开质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现将有关情况报告如下：</w:t>
      </w:r>
    </w:p>
    <w:p>
      <w:pPr>
        <w:pStyle w:val="4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</w:rPr>
        <w:t>一、总体情况</w:t>
      </w:r>
    </w:p>
    <w:p>
      <w:pPr>
        <w:pStyle w:val="4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202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年我局按照《中华人民共和国政府信息公开条例》要求，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积极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推进法定主动公开内容信息公开工作。始终坚持以公开为常态，以不公开为例外的原则，积极做好政府信息公开工作，切实保障人民群众的知情权、参与权、监督权和表达权。</w:t>
      </w:r>
    </w:p>
    <w:p>
      <w:pPr>
        <w:pStyle w:val="4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700" w:firstLineChars="200"/>
        <w:jc w:val="both"/>
        <w:textAlignment w:val="auto"/>
        <w:outlineLvl w:val="9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（一）主动公开。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202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年，我局坚持以退役军人为中心，将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  <w:lang w:eastAsia="zh-CN"/>
        </w:rPr>
        <w:t>有关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退役军人关心关切的政策文件、热点问题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作为信息公开的重点，及时、准确地公开各类政务信息。我局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  <w:lang w:eastAsia="zh-CN"/>
        </w:rPr>
        <w:t>协助办理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政协委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员提案办理结果公开数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，得到了政协委员的好评；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清理并公开现行有效的行政规范性文件数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条；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就业创业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信息公开数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12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条；乡村振兴信息公开数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；政府网站公开政府信息数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978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条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在官方微信公众号主动公开发布工作动态、宣传政策法规等信息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  <w:lang w:val="en-US" w:eastAsia="zh-CN"/>
        </w:rPr>
        <w:t>270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条；同时，还积极回复人民群众问题，公开信箱、网上信访信息系统、退役军人事务部信访信息系统回复数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  <w:lang w:val="en-US" w:eastAsia="zh-CN"/>
        </w:rPr>
        <w:t>86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条；网民留言回复数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  <w:lang w:val="en-US" w:eastAsia="zh-CN"/>
        </w:rPr>
        <w:t>500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条，其他民政互动渠道回应社会关切数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  <w:lang w:val="en-US" w:eastAsia="zh-CN"/>
        </w:rPr>
        <w:t>260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条，保质保量地完成了政府信息主动公开的工作任务。</w:t>
      </w:r>
    </w:p>
    <w:p>
      <w:pPr>
        <w:pStyle w:val="4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700" w:firstLineChars="200"/>
        <w:jc w:val="both"/>
        <w:textAlignment w:val="auto"/>
        <w:outlineLvl w:val="9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（二）依申请公开。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202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年我局接到依申请公开政府信息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条。</w:t>
      </w:r>
    </w:p>
    <w:p>
      <w:pPr>
        <w:pStyle w:val="4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700" w:firstLineChars="200"/>
        <w:jc w:val="both"/>
        <w:textAlignment w:val="auto"/>
        <w:outlineLvl w:val="9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（三）政府信息管理</w:t>
      </w:r>
      <w:r>
        <w:rPr>
          <w:rStyle w:val="7"/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90000" w:fill="FFFFFF"/>
        </w:rPr>
        <w:t>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202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年，我局始终坚持加强政府信息管理工作，成立了由党组书记、局长任组长，其他班子成员任副组长，相关职能科室负责人为成员的政府信息公开领导小组。领导小组下设办公室，抽调各科室和办公室人员负责日常工作开展，为全面推进政府信息公开工作奠定坚强的组织保障。</w:t>
      </w:r>
    </w:p>
    <w:p>
      <w:pPr>
        <w:pStyle w:val="4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70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（四）</w:t>
      </w:r>
      <w:r>
        <w:rPr>
          <w:rFonts w:hint="eastAsia" w:ascii="Times New Roman" w:hAnsi="Times New Roman" w:eastAsia="方正楷体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  <w:lang w:eastAsia="zh-CN"/>
        </w:rPr>
        <w:t>政府信息公开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平台建设。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202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年，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  <w:lang w:eastAsia="zh-CN"/>
        </w:rPr>
        <w:t>依托“大足区退役军人事务局官网”及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  <w:lang w:eastAsia="zh-CN"/>
        </w:rPr>
        <w:t>大足区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退役军人事务局微信公众号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，设置“政策法规”“信息动态”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  <w:lang w:eastAsia="zh-CN"/>
        </w:rPr>
        <w:t>“大足双拥”“军人之家”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等栏目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  <w:lang w:eastAsia="zh-CN"/>
        </w:rPr>
        <w:t>及链接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，拓展“互联网+政务服务”宣传渠道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及时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集中公开退役军人政策文件，更新退役军人工作动态。建强“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  <w:lang w:eastAsia="zh-CN"/>
        </w:rPr>
        <w:t>大足区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退役军人事务局政务新媒体矩阵”，拓展政府信息公开渠道，营造共同发声、多层级传播的播报形式。</w:t>
      </w:r>
    </w:p>
    <w:p>
      <w:pPr>
        <w:pStyle w:val="4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70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（五）监督保障。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202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年，我局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建立健全工作机制情况，根据相关文件要求，结合我局实际，进一步明确在政府信息公开工作中各部门的职责和分工，明确推行政府信息公开工作的时限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将信息公开工作纳入年度部门绩效考核和领导干部考核内容，同部署、同落实、同检查、同考核。</w:t>
      </w:r>
    </w:p>
    <w:p>
      <w:pPr>
        <w:pStyle w:val="4"/>
        <w:widowControl/>
        <w:wordWrap/>
        <w:adjustRightInd/>
        <w:snapToGrid/>
        <w:spacing w:before="0" w:beforeAutospacing="0" w:after="0" w:afterAutospacing="0" w:line="555" w:lineRule="atLeas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Style w:val="5"/>
        <w:tblW w:w="833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2352"/>
        <w:gridCol w:w="1726"/>
        <w:gridCol w:w="2392"/>
        <w:gridCol w:w="186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  <w:jc w:val="center"/>
        </w:trPr>
        <w:tc>
          <w:tcPr>
            <w:tcW w:w="83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23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17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</w:rPr>
              <w:t>本年制发件数</w:t>
            </w:r>
          </w:p>
        </w:tc>
        <w:tc>
          <w:tcPr>
            <w:tcW w:w="23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</w:rPr>
              <w:t>本年废止件数</w:t>
            </w:r>
          </w:p>
        </w:tc>
        <w:tc>
          <w:tcPr>
            <w:tcW w:w="18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23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</w:rPr>
              <w:t>规章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23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</w:rPr>
              <w:t>行政规范性文件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2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  <w:jc w:val="center"/>
        </w:trPr>
        <w:tc>
          <w:tcPr>
            <w:tcW w:w="833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23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598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23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59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  <w:jc w:val="center"/>
        </w:trPr>
        <w:tc>
          <w:tcPr>
            <w:tcW w:w="833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23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598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23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</w:rPr>
              <w:t>行政处罚</w:t>
            </w:r>
          </w:p>
        </w:tc>
        <w:tc>
          <w:tcPr>
            <w:tcW w:w="59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23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</w:rPr>
              <w:t>行政强制</w:t>
            </w:r>
          </w:p>
        </w:tc>
        <w:tc>
          <w:tcPr>
            <w:tcW w:w="59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833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23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598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23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</w:rPr>
              <w:t>行政事业性收费</w:t>
            </w:r>
          </w:p>
        </w:tc>
        <w:tc>
          <w:tcPr>
            <w:tcW w:w="59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tbl>
      <w:tblPr>
        <w:tblStyle w:val="5"/>
        <w:tblW w:w="833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463"/>
        <w:gridCol w:w="787"/>
        <w:gridCol w:w="6"/>
        <w:gridCol w:w="2753"/>
        <w:gridCol w:w="598"/>
        <w:gridCol w:w="576"/>
        <w:gridCol w:w="563"/>
        <w:gridCol w:w="724"/>
        <w:gridCol w:w="724"/>
        <w:gridCol w:w="538"/>
        <w:gridCol w:w="60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4009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pacing w:val="-4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327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0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4009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0"/>
              </w:rPr>
              <w:t>自然人</w:t>
            </w:r>
          </w:p>
        </w:tc>
        <w:tc>
          <w:tcPr>
            <w:tcW w:w="312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0"/>
              </w:rPr>
              <w:t>法人或其他组织</w:t>
            </w:r>
          </w:p>
        </w:tc>
        <w:tc>
          <w:tcPr>
            <w:tcW w:w="60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0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4009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0"/>
              </w:rPr>
              <w:t>商业企业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0"/>
              </w:rPr>
              <w:t>科研机构</w:t>
            </w:r>
          </w:p>
        </w:tc>
        <w:tc>
          <w:tcPr>
            <w:tcW w:w="7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0"/>
              </w:rPr>
              <w:t>社会公益组织</w:t>
            </w:r>
          </w:p>
        </w:tc>
        <w:tc>
          <w:tcPr>
            <w:tcW w:w="7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0"/>
              </w:rPr>
              <w:t>法律服务机构</w:t>
            </w:r>
          </w:p>
        </w:tc>
        <w:tc>
          <w:tcPr>
            <w:tcW w:w="5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0"/>
              </w:rPr>
              <w:t>其他</w:t>
            </w:r>
          </w:p>
        </w:tc>
        <w:tc>
          <w:tcPr>
            <w:tcW w:w="60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400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书宋_GBK" w:cs="方正书宋_GBK"/>
                <w:color w:val="000000"/>
                <w:sz w:val="20"/>
              </w:rPr>
              <w:t>一、本年新收政府信息公开申请数量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400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书宋_GBK" w:cs="方正书宋_GBK"/>
                <w:color w:val="000000"/>
                <w:sz w:val="20"/>
              </w:rPr>
              <w:t>二、上年结转政府信息公开申请数量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46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书宋_GBK" w:cs="方正书宋_GBK"/>
                <w:color w:val="000000"/>
                <w:sz w:val="20"/>
              </w:rPr>
              <w:t>三、本年度办理结果</w:t>
            </w:r>
          </w:p>
        </w:tc>
        <w:tc>
          <w:tcPr>
            <w:tcW w:w="35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书宋_GBK" w:cs="方正书宋_GBK"/>
                <w:color w:val="000000"/>
                <w:sz w:val="20"/>
              </w:rPr>
              <w:t>（一）予以公开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  <w:jc w:val="center"/>
        </w:trPr>
        <w:tc>
          <w:tcPr>
            <w:tcW w:w="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书宋_GBK" w:cs="方正书宋_GBK"/>
                <w:color w:val="000000"/>
                <w:sz w:val="20"/>
              </w:rPr>
              <w:t>（二）部分公开（</w:t>
            </w:r>
            <w:r>
              <w:rPr>
                <w:rFonts w:hint="eastAsia" w:eastAsia="方正楷体_GBK" w:cs="方正楷体_GBK"/>
                <w:color w:val="000000"/>
                <w:sz w:val="20"/>
              </w:rPr>
              <w:t>区分处理的，只计这一情形，不计其他情形</w:t>
            </w:r>
            <w:r>
              <w:rPr>
                <w:rFonts w:hint="eastAsia" w:eastAsia="方正书宋_GBK" w:cs="方正书宋_GBK"/>
                <w:color w:val="000000"/>
                <w:sz w:val="20"/>
              </w:rPr>
              <w:t>）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书宋_GBK" w:cs="方正书宋_GBK"/>
                <w:color w:val="000000"/>
                <w:sz w:val="20"/>
              </w:rPr>
              <w:t>（三）不予公开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书宋_GBK" w:cs="方正书宋_GBK"/>
                <w:color w:val="000000"/>
                <w:sz w:val="20"/>
              </w:rPr>
              <w:t>1.属于国家秘密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书宋_GBK" w:cs="方正书宋_GBK"/>
                <w:color w:val="000000"/>
                <w:spacing w:val="-6"/>
                <w:sz w:val="20"/>
              </w:rPr>
              <w:t>2.其他法律行政法规禁止公开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书宋_GBK" w:cs="方正书宋_GBK"/>
                <w:color w:val="000000"/>
                <w:sz w:val="20"/>
              </w:rPr>
              <w:t>3.危及“三安全一稳定”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书宋_GBK" w:cs="方正书宋_GBK"/>
                <w:color w:val="000000"/>
                <w:sz w:val="20"/>
              </w:rPr>
              <w:t>4.保护第三方合法权益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书宋_GBK" w:cs="方正书宋_GBK"/>
                <w:color w:val="000000"/>
                <w:sz w:val="20"/>
              </w:rPr>
              <w:t>5.属于三类内部事务信息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书宋_GBK" w:cs="方正书宋_GBK"/>
                <w:color w:val="000000"/>
                <w:sz w:val="20"/>
              </w:rPr>
              <w:t>6.属于四类过程性信息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书宋_GBK" w:cs="方正书宋_GBK"/>
                <w:color w:val="000000"/>
                <w:sz w:val="20"/>
              </w:rPr>
              <w:t>7.属于行政执法案卷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书宋_GBK" w:cs="方正书宋_GBK"/>
                <w:color w:val="000000"/>
                <w:sz w:val="20"/>
              </w:rPr>
              <w:t>8.属于行政查询事项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书宋_GBK" w:cs="方正书宋_GBK"/>
                <w:color w:val="000000"/>
                <w:sz w:val="20"/>
              </w:rPr>
              <w:t>（四）无法提供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书宋_GBK" w:cs="方正书宋_GBK"/>
                <w:color w:val="000000"/>
                <w:spacing w:val="-4"/>
                <w:sz w:val="20"/>
              </w:rPr>
              <w:t>1.本机关不掌握相关政府信息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书宋_GBK" w:cs="方正书宋_GBK"/>
                <w:color w:val="000000"/>
                <w:spacing w:val="-4"/>
                <w:sz w:val="20"/>
              </w:rPr>
              <w:t>2.没有现成信息需要另行制作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书宋_GBK" w:cs="方正书宋_GBK"/>
                <w:color w:val="000000"/>
                <w:sz w:val="20"/>
              </w:rPr>
              <w:t>3.补正后申请内容仍不明确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书宋_GBK" w:cs="方正书宋_GBK"/>
                <w:color w:val="000000"/>
                <w:sz w:val="20"/>
              </w:rPr>
              <w:t>（五）不予处理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书宋_GBK" w:cs="方正书宋_GBK"/>
                <w:color w:val="000000"/>
                <w:sz w:val="20"/>
              </w:rPr>
              <w:t>1.信访举报投诉类申请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书宋_GBK" w:cs="方正书宋_GBK"/>
                <w:color w:val="000000"/>
                <w:sz w:val="20"/>
              </w:rPr>
              <w:t>2.重复申请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书宋_GBK" w:cs="方正书宋_GBK"/>
                <w:color w:val="000000"/>
                <w:sz w:val="20"/>
              </w:rPr>
              <w:t>3.要求提供公开出版物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书宋_GBK" w:cs="方正书宋_GBK"/>
                <w:color w:val="000000"/>
                <w:sz w:val="20"/>
              </w:rPr>
              <w:t>4.无正当理由大量反复申请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书宋_GBK" w:cs="方正书宋_GBK"/>
                <w:color w:val="000000"/>
                <w:sz w:val="20"/>
              </w:rPr>
              <w:t>5.要求行政机关确认或重新出具已获取信息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80" w:hRule="atLeast"/>
          <w:jc w:val="center"/>
        </w:trPr>
        <w:tc>
          <w:tcPr>
            <w:tcW w:w="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书宋_GBK" w:cs="方正书宋_GBK"/>
                <w:color w:val="000000"/>
                <w:sz w:val="20"/>
                <w:lang w:bidi="ar"/>
              </w:rPr>
              <w:t>（六）其他处理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书宋_GBK" w:cs="方正书宋_GBK"/>
                <w:color w:val="000000"/>
                <w:sz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20" w:hRule="atLeast"/>
          <w:jc w:val="center"/>
        </w:trPr>
        <w:tc>
          <w:tcPr>
            <w:tcW w:w="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书宋_GBK" w:cs="方正书宋_GBK"/>
                <w:color w:val="000000"/>
                <w:sz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  <w:jc w:val="center"/>
        </w:trPr>
        <w:tc>
          <w:tcPr>
            <w:tcW w:w="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书宋_GBK" w:cs="方正书宋_GBK"/>
                <w:color w:val="000000"/>
                <w:sz w:val="20"/>
                <w:lang w:bidi="ar"/>
              </w:rPr>
              <w:t>3.其他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书宋_GBK" w:cs="方正书宋_GBK"/>
                <w:color w:val="000000"/>
                <w:sz w:val="20"/>
              </w:rPr>
              <w:t>（七）总计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70" w:hRule="atLeast"/>
          <w:jc w:val="center"/>
        </w:trPr>
        <w:tc>
          <w:tcPr>
            <w:tcW w:w="400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书宋_GBK" w:cs="方正书宋_GBK"/>
                <w:color w:val="000000"/>
                <w:sz w:val="20"/>
              </w:rPr>
              <w:t>四、结转下年度继续办理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pacing w:before="0" w:beforeAutospacing="0" w:after="0" w:afterAutospacing="0" w:line="315" w:lineRule="atLeast"/>
        <w:ind w:left="0" w:right="0" w:firstLine="645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tbl>
      <w:tblPr>
        <w:tblStyle w:val="5"/>
        <w:tblW w:w="833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27"/>
        <w:gridCol w:w="487"/>
        <w:gridCol w:w="514"/>
        <w:gridCol w:w="488"/>
        <w:gridCol w:w="541"/>
        <w:gridCol w:w="513"/>
        <w:gridCol w:w="565"/>
        <w:gridCol w:w="565"/>
        <w:gridCol w:w="565"/>
        <w:gridCol w:w="459"/>
        <w:gridCol w:w="565"/>
        <w:gridCol w:w="565"/>
        <w:gridCol w:w="565"/>
        <w:gridCol w:w="566"/>
        <w:gridCol w:w="85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25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行政复议</w:t>
            </w:r>
          </w:p>
        </w:tc>
        <w:tc>
          <w:tcPr>
            <w:tcW w:w="577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行    政    诉    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52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结果维持</w:t>
            </w:r>
          </w:p>
        </w:tc>
        <w:tc>
          <w:tcPr>
            <w:tcW w:w="4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结果纠正</w:t>
            </w:r>
          </w:p>
        </w:tc>
        <w:tc>
          <w:tcPr>
            <w:tcW w:w="51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其他结果</w:t>
            </w:r>
          </w:p>
        </w:tc>
        <w:tc>
          <w:tcPr>
            <w:tcW w:w="48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尚未审结</w:t>
            </w:r>
          </w:p>
        </w:tc>
        <w:tc>
          <w:tcPr>
            <w:tcW w:w="54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26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未经复议直接起诉</w:t>
            </w:r>
          </w:p>
        </w:tc>
        <w:tc>
          <w:tcPr>
            <w:tcW w:w="31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5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结果维持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结果纠正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其他结果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尚未审结</w:t>
            </w:r>
          </w:p>
        </w:tc>
        <w:tc>
          <w:tcPr>
            <w:tcW w:w="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结果维持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结果纠正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其他结果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尚未审结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pacing w:before="0" w:beforeAutospacing="0" w:after="0" w:afterAutospacing="0" w:line="315" w:lineRule="atLeast"/>
        <w:ind w:left="0" w:right="0" w:firstLine="645"/>
        <w:jc w:val="both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</w:rPr>
        <w:t>五、当前存在的主要问题及下步改进措施</w:t>
      </w:r>
    </w:p>
    <w:p>
      <w:pPr>
        <w:pStyle w:val="4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700" w:firstLineChars="200"/>
        <w:textAlignment w:val="auto"/>
        <w:outlineLvl w:val="9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年，我单位政务信息公开工作取得一定的成效，但仍与退役军人及其他优抚对象的期盼有一定差距：一是信息公开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  <w:lang w:eastAsia="zh-CN"/>
        </w:rPr>
        <w:t>创新意识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还有待提高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公开的形式还有待完善、不够丰富；二是信息更新不够及时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下一步，我局将针对存在的问题和不足从以下几方面进行改进完善：</w:t>
      </w:r>
    </w:p>
    <w:p>
      <w:pPr>
        <w:pStyle w:val="4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700" w:firstLineChars="200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一是增强创新意识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  <w:lang w:eastAsia="zh-CN"/>
        </w:rPr>
        <w:t>政务信息公开方式进一步多样化，提供主动推送服务，进一步提升全社会对于退役军人的关注度。</w:t>
      </w:r>
    </w:p>
    <w:p>
      <w:pPr>
        <w:pStyle w:val="4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700" w:firstLineChars="200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  <w:lang w:eastAsia="zh-CN"/>
        </w:rPr>
        <w:t>二是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加大公开力度。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进一步发挥微信公众号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  <w:lang w:eastAsia="zh-CN"/>
        </w:rPr>
        <w:t>、抖音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等新兴媒体作用，对退役军人事务领域工作及我局重要活动及时进行宣传报道，加大信息公开力度，及时公开政务信息，挖掘信息资源，拓宽公开内容。</w:t>
      </w:r>
    </w:p>
    <w:p>
      <w:pPr>
        <w:pStyle w:val="4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700" w:firstLineChars="200"/>
        <w:textAlignment w:val="auto"/>
        <w:outlineLvl w:val="9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  <w:lang w:eastAsia="zh-CN"/>
        </w:rPr>
        <w:t>三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是做好政策解读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color="080000" w:fill="FFFFFF"/>
        </w:rPr>
        <w:t>更全面和更准确地解读政策，增加原创性政策解读文章。</w:t>
      </w:r>
    </w:p>
    <w:p>
      <w:pPr>
        <w:pStyle w:val="4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</w:rPr>
        <w:t>六、其他需要报告的事项</w:t>
      </w:r>
    </w:p>
    <w:p>
      <w:pPr>
        <w:pStyle w:val="4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本单位严格落实《政府信息公开条例》要求，完成政务公开各项工作。本机关未收取信息处理费。</w:t>
      </w:r>
    </w:p>
    <w:p>
      <w:pPr>
        <w:pStyle w:val="4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 </w:t>
      </w:r>
    </w:p>
    <w:p>
      <w:pPr>
        <w:pStyle w:val="4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840" w:rightChars="400" w:firstLine="640" w:firstLineChars="200"/>
        <w:jc w:val="both"/>
        <w:textAlignment w:val="auto"/>
        <w:outlineLvl w:val="9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  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  重庆市大足区退役军人事务局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  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 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_x0000_s4097" o:spid="_x0000_s4097" o:spt="202" type="#_x0000_t202" style="position:absolute;left:0pt;margin-top:0pt;height:16.1pt;width:58pt;mso-position-horizontal:outside;mso-position-horizontal-relative:margin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Times New Roman" w:hAnsi="Times New Roman" w:cs="Times New Roman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Times New Roman" w:hAnsi="Times New Roman" w:cs="Times New Roman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Times New Roman" w:hAnsi="Times New Roman" w:cs="Times New Roman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IyNjM4MTMzZmI3ODkwOTc3YzkzZWRkODAyYjZiNTYifQ=="/>
  </w:docVars>
  <w:rsids>
    <w:rsidRoot w:val="00000000"/>
    <w:rsid w:val="4A161E48"/>
    <w:rsid w:val="600929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2023-12-05T01:21:00Z</dcterms:created>
  <dc:creator>Administrator</dc:creator>
  <cp:lastModifiedBy>Administrator</cp:lastModifiedBy>
  <cp:lastPrinted>2024-01-29T02:31:37Z</cp:lastPrinted>
  <dcterms:modified xsi:type="dcterms:W3CDTF">2024-01-29T02:45:00Z</dcterms:modified>
  <dc:title>重庆市大足区退役军人事务局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4D3B3384FA4647989C25DE535B15AE88_11</vt:lpwstr>
  </property>
</Properties>
</file>