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地方统计调查项目公示主要内容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仿宋_GBK"/>
          <w:sz w:val="32"/>
          <w:szCs w:val="32"/>
        </w:rPr>
        <w:t>制度（方案）名称：</w:t>
      </w:r>
      <w:r>
        <w:rPr>
          <w:rFonts w:eastAsia="方正仿宋_GBK"/>
          <w:sz w:val="32"/>
          <w:szCs w:val="32"/>
          <w:u w:val="single"/>
        </w:rPr>
        <w:t xml:space="preserve">                  </w:t>
      </w:r>
      <w:r>
        <w:rPr>
          <w:rFonts w:hint="eastAsia" w:eastAsia="方正仿宋_GBK"/>
          <w:sz w:val="32"/>
          <w:szCs w:val="32"/>
        </w:rPr>
        <w:t>制度（方案）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一、调查目的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包括制定本制度（方案）的目的、意义等内容。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二、调查内容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包括本制度涉及的主要调查方面及主要调查指标等内容。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三、调查对象及范围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调查对象指接受调查的各类单位的总称，调查范围一般指全省（区、市）或特定行政区域。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四、调查方法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包括调查采用的全面调查、典型调查、重点调查、抽样调查等方法。从现有统计调查中收集数据或只有综合要求的制度，请对收集数据方法予以简要说明。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五、组织方式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包括本制度组织实施单位，由谁负责收集整理数据，数据采用什么方式上报等内容。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六、数据发布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包括调查结果中的部分或全部内容，以什么方式公布，如年鉴、报告、网站等向社会公开的方式。不公布结果的，请予以简要说明。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7D"/>
    <w:rsid w:val="001A317D"/>
    <w:rsid w:val="001A50A7"/>
    <w:rsid w:val="002B6A87"/>
    <w:rsid w:val="003735A2"/>
    <w:rsid w:val="004018E9"/>
    <w:rsid w:val="004C5903"/>
    <w:rsid w:val="00BD17C2"/>
    <w:rsid w:val="01192A70"/>
    <w:rsid w:val="26315635"/>
    <w:rsid w:val="33750715"/>
    <w:rsid w:val="52BF774F"/>
    <w:rsid w:val="759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36</TotalTime>
  <ScaleCrop>false</ScaleCrop>
  <LinksUpToDate>false</LinksUpToDate>
  <CharactersWithSpaces>354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2021-12-30T09:18:00Z</dcterms:created>
  <dc:creator>PC</dc:creator>
  <cp:lastModifiedBy>ACER</cp:lastModifiedBy>
  <cp:lastPrinted>2024-02-26T08:29:23Z</cp:lastPrinted>
  <dcterms:modified xsi:type="dcterms:W3CDTF">2024-02-26T08:36:02Z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723583464A724ADE82C2AC5408A6853C</vt:lpwstr>
  </property>
</Properties>
</file>