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6C39">
      <w:pPr>
        <w:spacing w:line="400" w:lineRule="exac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1</w:t>
      </w:r>
    </w:p>
    <w:p w14:paraId="13FEB2DF">
      <w:pPr>
        <w:spacing w:line="560" w:lineRule="exact"/>
        <w:ind w:left="2860" w:hanging="2600" w:hangingChars="650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重庆市大足区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打造五金网货产业带</w:t>
      </w:r>
    </w:p>
    <w:p w14:paraId="412F6308">
      <w:pPr>
        <w:spacing w:line="560" w:lineRule="exact"/>
        <w:ind w:left="2860" w:hanging="2600" w:hangingChars="650"/>
        <w:jc w:val="center"/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专项资金使用办法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试行）</w:t>
      </w:r>
    </w:p>
    <w:bookmarkEnd w:id="0"/>
    <w:p w14:paraId="2E8BFC4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73D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为支持全区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五金网货产业带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健康发展，根据《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重庆市商务委员会关于下达2024年市级电子商务项目及资金计划的通知》（渝商务〔2024〕344号）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，结合大足区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五金网货产业带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实际情况，制定本办法。</w:t>
      </w:r>
    </w:p>
    <w:p w14:paraId="57FF7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第二条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本办法所称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五金网货产业带专项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资金是指统筹使用中央财政专项资金和</w:t>
      </w:r>
      <w:r>
        <w:rPr>
          <w:rFonts w:hint="eastAsia" w:ascii="Times New Roman" w:hAnsi="Times New Roman" w:eastAsia="方正仿宋_GBK" w:cs="Times New Roman"/>
          <w:sz w:val="32"/>
        </w:rPr>
        <w:t>市商务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发展专项资金，由市商务委分配下达我区，用于支持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打造五金网货产业带项目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的资金。</w:t>
      </w:r>
    </w:p>
    <w:p w14:paraId="61453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专项资金实行属地化管理，遵循依法依规、专款专用、公平公正、公开透明、真实规范、加强监管、注重绩效的原则，促进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五金网货产业带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可持续发展。</w:t>
      </w:r>
    </w:p>
    <w:p w14:paraId="0BB2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第四条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区商务委根据市商务委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达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的电子商务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发展项目资金，提出使用方向、支持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范围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，并组织项目绩效评价，开展专项资金的申报受理、项目审核、政策咨询等业务管理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，提出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资金分配建议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，报分管区领导同意后实施。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区财政局负责专项资金拨付，会同区商务委对资金使用情况进行监督检查。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专项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资金主要是用于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打造五金网货产业带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相关项目支出。</w:t>
      </w:r>
    </w:p>
    <w:p w14:paraId="08932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打造五金网货产业带项目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资金具体支持范围：</w:t>
      </w:r>
    </w:p>
    <w:p w14:paraId="35AA0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支持开展营销活动。</w:t>
      </w:r>
      <w:r>
        <w:rPr>
          <w:rFonts w:hint="eastAsia"/>
        </w:rPr>
        <w:t>由行业协会或商会组织的大足</w:t>
      </w:r>
      <w:r>
        <w:rPr>
          <w:rFonts w:hint="eastAsia"/>
          <w:lang w:eastAsia="zh-CN"/>
        </w:rPr>
        <w:t>五金</w:t>
      </w:r>
      <w:r>
        <w:rPr>
          <w:rFonts w:hint="eastAsia"/>
        </w:rPr>
        <w:t>产品展销、供需对接、产业合作、设计大赛等活动，单项给予组织方实际发生金额80%的补助，最高不超过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万元。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拟组织开展单位需将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方案报区商务委审定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经审批同意后，实施补贴政策。</w:t>
      </w:r>
    </w:p>
    <w:p w14:paraId="05A4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支持打造网销爆品。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支持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电子商务行业协会、相关机构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调集国内电商平台、服务商等资源，对接国内头部直播电商服务机构，为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大足五金网销产品开展资源对接会，</w:t>
      </w:r>
      <w:r>
        <w:rPr>
          <w:rFonts w:hint="eastAsia"/>
        </w:rPr>
        <w:t>单项给予组织方实际发生金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额</w:t>
      </w:r>
      <w:r>
        <w:rPr>
          <w:rFonts w:hint="eastAsia"/>
          <w:lang w:val="en-US" w:eastAsia="zh-CN"/>
        </w:rPr>
        <w:t>80%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的补助，最高不超过</w:t>
      </w:r>
      <w:r>
        <w:rPr>
          <w:rFonts w:hint="eastAsia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拟组织开展单位需将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方案报区商务委审定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经审批同意后，实施补贴政策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</w:p>
    <w:p w14:paraId="705531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（三）支持人才培育。支持学校、行业协会为大足区五金企业开展实操技能、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运营推广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包装设计、网络直播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等电商专业技能培训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单项给予组织方实际发生金额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80%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的补助，最高不超过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万元。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拟组织开展相关培训单位需将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培训方案报区商务委审定，经审批同意后，实施补贴政策。</w:t>
      </w:r>
    </w:p>
    <w:p w14:paraId="3821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）其他涉及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五金网货产业带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发展相关工作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费用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包括五金博览会期间举办电商活动，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采取“一事一议”方式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予以扶持。</w:t>
      </w:r>
    </w:p>
    <w:p w14:paraId="1C426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申请专项资金的企业，单位应当符合以下基本条件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</w:p>
    <w:p w14:paraId="07C40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（一）在大足区境内依法登记注册，具有独立法人资格。</w:t>
      </w:r>
    </w:p>
    <w:p w14:paraId="5BF57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（二）按照有关规定已取得开展相关业务资格或已进行核准或备案。</w:t>
      </w:r>
    </w:p>
    <w:p w14:paraId="479F8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（三）依法依规开展相关业务，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按照规定按时纳税，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坚持履行社会责任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FD0C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（四）积极配合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五金网货产业带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领域开放创新工作，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为大足电子商务发展、就业创业等方面作出一定贡献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A709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将企业信用信息作为专项资金支持的审慎性参考依据。受到财政违法行为处罚处分以及存在其他严重违规行为的申报主体，不纳入专项资金支持范围。</w:t>
      </w:r>
    </w:p>
    <w:p w14:paraId="7B0D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按照“择优不重复”原则，同一企业的同一项目原则上采用一种方式给予支持，做好中央、市级、区级财政项目下达各类专项资金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统筹和对接，防止资金、项目安排重复交叉或缺位。  </w:t>
      </w:r>
    </w:p>
    <w:p w14:paraId="1B11E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区商务委、区财政局根据本办法规定，定时组织开展辖区内企业项目申报、审核、公示及资金拨付等工作，专项资金原则上需在当年度拨付至企业。每年次年2月底前，向市商务委、市财政局报送资金使用总结、支持项目清单以及绩效目标完成情况。</w:t>
      </w:r>
    </w:p>
    <w:p w14:paraId="7809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企业收到专项资金后，应当按照国家有关财务、会计制度的规定进行账务处理，严格按照规定使用资金，并按照国家档案管理有关规定妥善保管申请和审核材料，以备核查。</w:t>
      </w:r>
    </w:p>
    <w:p w14:paraId="58FA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区商务委组织开展项目绩效评价，评价结果按要求报送市区相关部门。相关企业及单位应积极配合开展绩效评价，自觉接受区财政局、区商务委和审计等部门的监督检查。</w:t>
      </w:r>
    </w:p>
    <w:p w14:paraId="45C8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本着“谁使用、谁负责”的原则，相关企业和单位对自身信用状况、项目及材料真实性、遵守法律法规和违约责任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作出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书面承诺，对项目真实性、项目实施、资金使用绩效负责。</w:t>
      </w:r>
    </w:p>
    <w:p w14:paraId="14C1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第十三条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区商务委、区财政局及其工作人员在专项资金审核、分配、审批工作中，如存在违反规定分配资金、向不符合条件的单位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或项目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分配资金、擅自超出规定的范围和标准分配资金，以及滥用职权、玩忽职守、徇私舞弊等违法违纪行为的，按照《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中华人民共和国预算法》《中华人民共和国公务员法》《中华人民共和国监察法》《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财政违法行为处罚处分条例》等国家有关规定追究责任，涉嫌犯罪的，依法移送司法机关处理。</w:t>
      </w:r>
    </w:p>
    <w:p w14:paraId="79F14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本办法从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2025年1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日起实施，由区商务委、区财政局负责解释。</w:t>
      </w:r>
    </w:p>
    <w:p w14:paraId="566AC294">
      <w:pPr>
        <w:widowControl/>
        <w:rPr>
          <w:rFonts w:hint="eastAsia" w:ascii="黑体" w:hAnsi="宋体" w:eastAsia="黑体" w:cs="宋体"/>
          <w:sz w:val="30"/>
          <w:szCs w:val="30"/>
        </w:rPr>
      </w:pPr>
    </w:p>
    <w:p w14:paraId="40434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5362"/>
    <w:rsid w:val="603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7">
    <w:name w:val="正文首行缩进1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1754</Words>
  <Characters>1774</Characters>
  <Lines>0</Lines>
  <Paragraphs>0</Paragraphs>
  <TotalTime>0</TotalTime>
  <ScaleCrop>false</ScaleCrop>
  <LinksUpToDate>false</LinksUpToDate>
  <CharactersWithSpaces>1825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2025-05-19T01:29:00Z</dcterms:created>
  <dc:creator>Administrator</dc:creator>
  <cp:lastModifiedBy>WPS_1601995964</cp:lastModifiedBy>
  <dcterms:modified xsi:type="dcterms:W3CDTF">2025-05-19T01:39:21Z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eyJoZGlkIjoiN2RjNGUzZmNjZjgxYjNhYzhkN2E2Yjk0MGNmYTlmZmQiLCJ1c2VySWQiOiIxMTI3OTY3NDI5In0=</vt:lpwstr>
  </property>
  <property fmtid="{D5CDD505-2E9C-101B-9397-08002B2CF9AE}" pid="4" name="ICV">
    <vt:lpwstr>4ECDF9C1295547ACBC08BB61D6205CEE_12</vt:lpwstr>
  </property>
</Properties>
</file>