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left"/>
        <w:rPr>
          <w:rFonts w:ascii="方正小标宋_GBK" w:eastAsia="方正小标宋_GBK" w:cs="方正小标宋_GBK"/>
          <w:sz w:val="30"/>
          <w:szCs w:val="30"/>
        </w:rPr>
      </w:pPr>
      <w:bookmarkStart w:id="1" w:name="_GoBack"/>
      <w:bookmarkEnd w:id="1"/>
      <w:r>
        <w:rPr>
          <w:rFonts w:hint="eastAsia" w:ascii="方正小标宋_GBK" w:eastAsia="方正小标宋_GBK" w:cs="方正小标宋_GBK"/>
          <w:sz w:val="30"/>
          <w:szCs w:val="30"/>
        </w:rPr>
        <w:t>附件1</w:t>
      </w:r>
    </w:p>
    <w:p>
      <w:pPr>
        <w:spacing w:line="68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 xml:space="preserve"> 重庆市大足区人民政府</w:t>
      </w:r>
    </w:p>
    <w:p>
      <w:pPr>
        <w:spacing w:line="68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关于落实生态保护红线、环境质量底线、资源利用上线制定生态环境准入清单实施生态环境分区管控的实施意见（征求意见稿）</w:t>
      </w:r>
    </w:p>
    <w:p>
      <w:pPr>
        <w:rPr>
          <w:rFonts w:ascii="方正仿宋_GBK" w:eastAsia="方正仿宋_GBK" w:cs="方正仿宋_GBK"/>
          <w:spacing w:val="-6"/>
          <w:sz w:val="32"/>
          <w:szCs w:val="32"/>
        </w:rPr>
      </w:pPr>
      <w:r>
        <w:rPr>
          <w:rFonts w:hint="eastAsia" w:ascii="方正仿宋_GBK" w:eastAsia="方正仿宋_GBK" w:cs="方正仿宋_GBK"/>
          <w:spacing w:val="-6"/>
          <w:sz w:val="32"/>
          <w:szCs w:val="32"/>
        </w:rPr>
        <w:t>各镇街人民政府（办事处），区政府各部门，有关单位：</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为深入落实《重庆市人民政府关于落实生态保护红线、环境质量底线、资源利用上线制定生态环境准入清单实施生态环境分区管控的意见》（渝府发〔2020〕11号）精神，坚定贯彻“共抓大保护、不搞大开发”方针，推动长江经济带高质量发展，现就落实生态保护红线、环境质量底线、资源利用上线，制定生态环境准入清单（以下统称三线一单），实施生态环境分区管控，结合大足实际，提出如下实施意见。</w:t>
      </w:r>
    </w:p>
    <w:p>
      <w:pPr>
        <w:ind w:firstLine="640" w:firstLineChars="200"/>
        <w:rPr>
          <w:rFonts w:ascii="方正黑体_GBK" w:eastAsia="方正黑体_GBK" w:cs="方正黑体_GBK"/>
          <w:sz w:val="32"/>
          <w:szCs w:val="32"/>
        </w:rPr>
      </w:pPr>
      <w:r>
        <w:rPr>
          <w:rFonts w:hint="eastAsia" w:ascii="方正黑体_GBK" w:eastAsia="方正黑体_GBK" w:cs="方正黑体_GBK"/>
          <w:sz w:val="32"/>
          <w:szCs w:val="32"/>
        </w:rPr>
        <w:t>一、总体要求</w:t>
      </w:r>
    </w:p>
    <w:p>
      <w:pPr>
        <w:ind w:firstLine="616" w:firstLineChars="200"/>
        <w:rPr>
          <w:rFonts w:ascii="方正楷体_GBK" w:eastAsia="方正楷体_GBK" w:cs="方正楷体_GBK"/>
          <w:spacing w:val="-6"/>
          <w:sz w:val="32"/>
          <w:szCs w:val="32"/>
        </w:rPr>
      </w:pPr>
      <w:r>
        <w:rPr>
          <w:rFonts w:hint="eastAsia" w:ascii="方正楷体_GBK" w:eastAsia="方正楷体_GBK" w:cs="方正楷体_GBK"/>
          <w:spacing w:val="-6"/>
          <w:sz w:val="32"/>
          <w:szCs w:val="32"/>
        </w:rPr>
        <w:t>（一）指导思想</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以习近平新时代中国特色社会主义思想为指导，全面贯彻党的十九大、</w:t>
      </w:r>
      <w:r>
        <w:rPr>
          <w:rFonts w:hint="eastAsia" w:ascii="方正仿宋_GBK" w:eastAsia="方正仿宋_GBK" w:cs="方正仿宋_GBK"/>
          <w:spacing w:val="-6"/>
          <w:sz w:val="32"/>
          <w:szCs w:val="32"/>
          <w:lang w:eastAsia="zh-CN"/>
        </w:rPr>
        <w:t>十九届二中、三中、四中全会</w:t>
      </w:r>
      <w:r>
        <w:rPr>
          <w:rFonts w:hint="eastAsia" w:ascii="方正仿宋_GBK" w:eastAsia="方正仿宋_GBK" w:cs="方正仿宋_GBK"/>
          <w:spacing w:val="-6"/>
          <w:sz w:val="32"/>
          <w:szCs w:val="32"/>
        </w:rPr>
        <w:t>精神和中央经济工作会议精神，深化落实习近平总书记对重庆提出的“两点”定位、“两地”“两高”目标、发挥“三个作用”和营造良好政治生态的重要指示要求，深学笃用习近平生态文明思想，打造成渝地区双城经济圈协同发展示范区，建立以三线一单为核心的生态环境分区管控体系，加快推动生态靓区建设、打造高品质宜居地。</w:t>
      </w:r>
    </w:p>
    <w:p>
      <w:pPr>
        <w:ind w:firstLine="616" w:firstLineChars="200"/>
        <w:rPr>
          <w:rFonts w:ascii="方正楷体_GBK" w:eastAsia="方正楷体_GBK" w:cs="方正楷体_GBK"/>
          <w:spacing w:val="-6"/>
          <w:sz w:val="32"/>
          <w:szCs w:val="32"/>
        </w:rPr>
      </w:pPr>
      <w:r>
        <w:rPr>
          <w:rFonts w:hint="eastAsia" w:ascii="方正楷体_GBK" w:eastAsia="方正楷体_GBK" w:cs="方正楷体_GBK"/>
          <w:spacing w:val="-6"/>
          <w:sz w:val="32"/>
          <w:szCs w:val="32"/>
        </w:rPr>
        <w:t>（二）基本原则</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坚持保护优先。落实生态保护红线、环境质量底线、资源利用上线硬约束，推动形成绿色发展方式和生活方式。</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坚持分类施策。针对流域、区域、行业特点，聚焦问题和目标，实施生态环境分区管控。</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坚持稳中求进。坚持生态环境管控内容不突破、管理要求不降低，结合经济社会发展新形势和环境质量改善新要求，定期评估调整和动态更新。</w:t>
      </w:r>
    </w:p>
    <w:p>
      <w:pPr>
        <w:ind w:firstLine="616" w:firstLineChars="200"/>
        <w:rPr>
          <w:rFonts w:ascii="方正楷体_GBK" w:eastAsia="方正楷体_GBK" w:cs="方正楷体_GBK"/>
          <w:spacing w:val="-6"/>
          <w:sz w:val="32"/>
          <w:szCs w:val="32"/>
        </w:rPr>
      </w:pPr>
      <w:r>
        <w:rPr>
          <w:rFonts w:hint="eastAsia" w:ascii="方正楷体_GBK" w:eastAsia="方正楷体_GBK" w:cs="方正楷体_GBK"/>
          <w:spacing w:val="-6"/>
          <w:sz w:val="32"/>
          <w:szCs w:val="32"/>
        </w:rPr>
        <w:t>（三）总体目标</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到2020年，生态环境质量总体改善，主要污染物排放总量大幅减少，环境风险得到有效管控，生态环境保护水平同全面建成小康社会目标相适应。</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到2025年，产业结构调整深入推进，绿色发展和绿色生活水平显著提升，生态环境质量持续改善，主要污染物排放量持续减少，生态系统稳定性进一步提升，环境治理体系和治理能力现代化水平明显提升。</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到2035年，节约资源和保护生态环境的空间格局、产业结构、生产方式、生活方式总体形成，生态环境质量实现根本好转。</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到本世纪中叶，生态文明全面提升，实现生态环境领域治理体系和治理能力现代化。</w:t>
      </w:r>
    </w:p>
    <w:p>
      <w:pPr>
        <w:ind w:firstLine="640" w:firstLineChars="200"/>
        <w:rPr>
          <w:rFonts w:ascii="方正黑体_GBK" w:eastAsia="方正黑体_GBK" w:cs="方正黑体_GBK"/>
          <w:sz w:val="32"/>
          <w:szCs w:val="32"/>
        </w:rPr>
      </w:pPr>
      <w:r>
        <w:rPr>
          <w:rFonts w:hint="eastAsia" w:ascii="方正黑体_GBK" w:eastAsia="方正黑体_GBK" w:cs="方正黑体_GBK"/>
          <w:sz w:val="32"/>
          <w:szCs w:val="32"/>
        </w:rPr>
        <w:t>二、分区管控</w:t>
      </w:r>
    </w:p>
    <w:p>
      <w:pPr>
        <w:ind w:firstLine="616" w:firstLineChars="200"/>
        <w:rPr>
          <w:rFonts w:ascii="方正楷体_GBK" w:eastAsia="方正楷体_GBK" w:cs="方正楷体_GBK"/>
          <w:spacing w:val="-6"/>
          <w:sz w:val="32"/>
          <w:szCs w:val="32"/>
        </w:rPr>
      </w:pPr>
      <w:r>
        <w:rPr>
          <w:rFonts w:hint="eastAsia" w:ascii="方正楷体_GBK" w:eastAsia="方正楷体_GBK" w:cs="方正楷体_GBK"/>
          <w:spacing w:val="-6"/>
          <w:sz w:val="32"/>
          <w:szCs w:val="32"/>
        </w:rPr>
        <w:t>（一）环境管控单元划分</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环境管控单元包括优先保护单元、重点管控单元、一般管控单元三类。优先保护单元指以生态环境保护为主的区域，主要包括生态保护红线、集中式饮用水源保护区、自然保护地等生态功能重要区和生态环境敏感区。重点管控单元指涉及水、大气、土壤、自然资源等资源环境要素重点管控的区域，主要包括人口密集的城镇规划区和产业集聚的工业园区（工业集聚区）。一般管控单元指除优先保护单元和重点管控单元之外的其他区域，主要从产业调整或转移、生活和农业面源治理等方面落实生态环境保护基础性要求。</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按优先保护、重点管控、一般管控三大类划分为20个环境管控单元。其中，优先保护单元12个，面积占比21.8%；重点管控单元4个，面积占比46.1%；一般管控单元4个，面积占比32.1%。</w:t>
      </w:r>
    </w:p>
    <w:p>
      <w:pPr>
        <w:pStyle w:val="6"/>
        <w:widowControl/>
        <w:spacing w:before="240" w:after="300" w:line="26" w:lineRule="atLeast"/>
        <w:ind w:firstLine="420"/>
        <w:rPr>
          <w:rFonts w:ascii="方正仿宋_GBK" w:eastAsia="方正仿宋_GBK" w:cs="方正仿宋_GBK"/>
          <w:spacing w:val="-6"/>
          <w:kern w:val="2"/>
          <w:sz w:val="32"/>
          <w:szCs w:val="32"/>
        </w:rPr>
      </w:pPr>
      <w:r>
        <w:rPr>
          <w:rFonts w:hint="eastAsia" w:ascii="方正楷体_GBK" w:eastAsia="方正楷体_GBK" w:cs="方正楷体_GBK"/>
          <w:spacing w:val="-6"/>
          <w:sz w:val="32"/>
          <w:szCs w:val="32"/>
        </w:rPr>
        <w:t>（二</w:t>
      </w:r>
      <w:r>
        <w:rPr>
          <w:rFonts w:hint="eastAsia" w:ascii="方正仿宋_GBK" w:eastAsia="方正仿宋_GBK" w:cs="方正仿宋_GBK"/>
          <w:spacing w:val="-6"/>
          <w:kern w:val="2"/>
          <w:sz w:val="32"/>
          <w:szCs w:val="32"/>
        </w:rPr>
        <w:t>）分区环境管控要求</w:t>
      </w:r>
    </w:p>
    <w:p>
      <w:pPr>
        <w:pStyle w:val="6"/>
        <w:widowControl/>
        <w:spacing w:before="240" w:after="300" w:line="26" w:lineRule="atLeast"/>
        <w:ind w:firstLine="420"/>
        <w:rPr>
          <w:rFonts w:ascii="方正仿宋_GBK" w:eastAsia="方正仿宋_GBK" w:cs="方正仿宋_GBK"/>
          <w:spacing w:val="-6"/>
          <w:kern w:val="2"/>
          <w:sz w:val="32"/>
          <w:szCs w:val="32"/>
        </w:rPr>
      </w:pPr>
      <w:r>
        <w:rPr>
          <w:rFonts w:hint="eastAsia" w:ascii="方正仿宋_GBK" w:eastAsia="方正仿宋_GBK" w:cs="方正仿宋_GBK"/>
          <w:spacing w:val="-6"/>
          <w:kern w:val="2"/>
          <w:sz w:val="32"/>
          <w:szCs w:val="32"/>
        </w:rPr>
        <w:t>优先保护单元依法禁止或限制大规模、高强度的工业和城镇建设，在功能受损的优先保护单元优先开展生态保护修复活动，恢复生态系统服务功能。重点管控单元优化空间布局，不断提升资源利用效率，有针对性地加强污染物排放控制和环境风险防控，解决生态环境质量不达标、生态环境风险高等问题。一般管控单元主要落实生态环境保护基本要求。</w:t>
      </w:r>
    </w:p>
    <w:p>
      <w:pPr>
        <w:pStyle w:val="6"/>
        <w:widowControl/>
        <w:spacing w:before="240" w:after="300" w:line="26" w:lineRule="atLeast"/>
        <w:ind w:firstLine="420"/>
        <w:rPr>
          <w:rFonts w:ascii="方正仿宋_GBK" w:eastAsia="方正仿宋_GBK" w:cs="方正仿宋_GBK"/>
          <w:spacing w:val="-6"/>
          <w:kern w:val="2"/>
          <w:sz w:val="32"/>
          <w:szCs w:val="32"/>
        </w:rPr>
      </w:pPr>
      <w:r>
        <w:rPr>
          <w:rFonts w:hint="eastAsia" w:ascii="方正仿宋_GBK" w:eastAsia="方正仿宋_GBK" w:cs="方正仿宋_GBK"/>
          <w:spacing w:val="-6"/>
          <w:kern w:val="2"/>
          <w:sz w:val="32"/>
          <w:szCs w:val="32"/>
        </w:rPr>
        <w:t>实施差异化管理，推动“一区两群”协调发展，促进各片区发挥优势、彰显特色、协调发展。主城都市区重点推进产业升级，优化工业区、商业区、居住区布局，优化水资源配置和排污口、取水口及饮用水水源地布局、保护和修复“四山”生态、强化污染物排放控制和环境风险防控。</w:t>
      </w:r>
    </w:p>
    <w:p>
      <w:pPr>
        <w:ind w:firstLine="616" w:firstLineChars="200"/>
        <w:rPr>
          <w:rFonts w:ascii="方正楷体_GBK" w:eastAsia="方正楷体_GBK" w:cs="方正楷体_GBK"/>
          <w:spacing w:val="-6"/>
          <w:sz w:val="32"/>
          <w:szCs w:val="32"/>
        </w:rPr>
      </w:pPr>
      <w:r>
        <w:rPr>
          <w:rFonts w:hint="eastAsia" w:ascii="方正楷体_GBK" w:eastAsia="方正楷体_GBK" w:cs="方正楷体_GBK"/>
          <w:spacing w:val="-6"/>
          <w:sz w:val="32"/>
          <w:szCs w:val="32"/>
        </w:rPr>
        <w:t>（三）环境管控单元名称</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优先保护单元：重庆市大足区玉滩水库水源地、重庆市大足区宝顶镇化龙水库大足区自来水公司水源地、重庆市大足区中敖镇上游水库大足区自来水公司水源地、重庆市大足区龙岗街道濑溪河渝大水务公司西门水厂水源地、双桥经开区通桥街道龙水湖水库双桥经开区水务公司水源地、大足区西山桫椤县级自然保护区、重庆玉龙山国家森林公园、重庆市白云寨市级森林公园、重庆市宝林寺市级森林公园、重庆大足龙水湖湿地公园、大足区水土保持功能区、大足区一般生态空间-水土保持功能区</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重点管控单元：濑溪河玉滩水库管控单元、太平河漫水桥管控单元、淮远河玉峡渡口管控单元、大足区城镇开发边界管控单元</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一般管控单元：窟窿河宝兴管控单元、濑溪河化龙水库管控单元、濑溪河上游水库管控单元、珠溪河界牌管控单元</w:t>
      </w:r>
    </w:p>
    <w:p>
      <w:pPr>
        <w:ind w:firstLine="640" w:firstLineChars="200"/>
        <w:rPr>
          <w:rFonts w:ascii="方正黑体_GBK" w:eastAsia="方正黑体_GBK" w:cs="方正黑体_GBK"/>
          <w:sz w:val="32"/>
          <w:szCs w:val="32"/>
        </w:rPr>
      </w:pPr>
      <w:r>
        <w:rPr>
          <w:rFonts w:hint="eastAsia" w:ascii="方正黑体_GBK" w:eastAsia="方正黑体_GBK" w:cs="方正黑体_GBK"/>
          <w:sz w:val="32"/>
          <w:szCs w:val="32"/>
        </w:rPr>
        <w:t>三、工作要求</w:t>
      </w:r>
    </w:p>
    <w:p>
      <w:pPr>
        <w:ind w:firstLine="616" w:firstLineChars="200"/>
        <w:rPr>
          <w:rFonts w:ascii="方正楷体_GBK" w:eastAsia="方正楷体_GBK" w:cs="方正楷体_GBK"/>
          <w:spacing w:val="-6"/>
          <w:sz w:val="32"/>
          <w:szCs w:val="32"/>
        </w:rPr>
      </w:pPr>
      <w:r>
        <w:rPr>
          <w:rFonts w:hint="eastAsia" w:ascii="方正楷体_GBK" w:eastAsia="方正楷体_GBK" w:cs="方正楷体_GBK"/>
          <w:spacing w:val="-6"/>
          <w:sz w:val="32"/>
          <w:szCs w:val="32"/>
        </w:rPr>
        <w:t>（一）实施与应用</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市级统一建立三线一单数据应用平台，数据集中管理、查询、应用、展示和交换，实行信息共享共用。各区县制定具体单元管控要求，相应管控要求数据应上传至数据应用平台。</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区域资源开发、产业布局和结构调整、城镇建设、重大项目选址应将环境管控单元及生态环境准入清单作为重要依据，相关规划编制、产业政策制定应将“三线一单”要求作为重要依据，开展协调性分析，不断强化“三线一单”分区环境管控体系对国土空间规划、各专项规划的引导作用。</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三线一单”是精准推进污染防治、生态修复、环境风险防控的重要依据，应强化“三线一单”在生态、水、大气、土壤等要素环境管理中的应用，制定排污许可证及其他相关环境政策应落实生态环境分区管控要求。</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区域、流域等产业发展应将三线一单提出的要求作为产业准入清单编制基础，具体管控单元的管控要求作为推动产业准入清单在具体区域、园区和单元落地的基础支撑。</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监管开发建设行为和生产活动时，应将三线一单作为重要依据。优先保护单元和重点管控单元应作为生态环境监管重点区域，生态环境分区管控要求应作为生态环境监管的重点内容。</w:t>
      </w:r>
    </w:p>
    <w:p>
      <w:pPr>
        <w:ind w:firstLine="616" w:firstLineChars="200"/>
        <w:rPr>
          <w:rFonts w:ascii="方正楷体_GBK" w:eastAsia="方正楷体_GBK" w:cs="方正楷体_GBK"/>
          <w:spacing w:val="-6"/>
          <w:sz w:val="32"/>
          <w:szCs w:val="32"/>
        </w:rPr>
      </w:pPr>
      <w:r>
        <w:rPr>
          <w:rFonts w:hint="eastAsia" w:ascii="方正楷体_GBK" w:eastAsia="方正楷体_GBK" w:cs="方正楷体_GBK"/>
          <w:spacing w:val="-6"/>
          <w:sz w:val="32"/>
          <w:szCs w:val="32"/>
        </w:rPr>
        <w:t>（二）更新与调整</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区生态环境部门每5年组织开展全区三线一单实施情况评估，充分听取相关部门提出的更新调整意见，依据评估情况编制三线一单更新调整方案，并按程序和要求审议发布，更新调整后的成果报上级生态环境部门备案并上传至“三线一单”数据共享系统。5年内因国家与地方发展战略、生态保护红线、自然保护地和生态环境质量目标调整，三线一单确需进行更新的，由区政府提出申请，市生态环境部门组织审定后进行更新。</w:t>
      </w:r>
      <w:r>
        <w:rPr>
          <w:rFonts w:hint="eastAsia" w:ascii="方正仿宋_GBK" w:eastAsia="方正仿宋_GBK" w:cs="方正仿宋_GBK"/>
          <w:spacing w:val="-6"/>
          <w:sz w:val="32"/>
          <w:szCs w:val="32"/>
        </w:rPr>
        <w:br w:type="textWrapping"/>
      </w:r>
      <w:r>
        <w:rPr>
          <w:rFonts w:hint="eastAsia" w:ascii="方正楷体_GBK" w:eastAsia="方正楷体_GBK" w:cs="方正楷体_GBK"/>
          <w:spacing w:val="-6"/>
          <w:sz w:val="32"/>
          <w:szCs w:val="32"/>
        </w:rPr>
        <w:t xml:space="preserve">   （三）保障措施</w:t>
      </w:r>
    </w:p>
    <w:p>
      <w:pPr>
        <w:ind w:firstLine="616" w:firstLineChars="200"/>
        <w:rPr>
          <w:rFonts w:ascii="方正仿宋_GBK" w:eastAsia="方正仿宋_GBK" w:cs="方正仿宋_GBK"/>
          <w:spacing w:val="-6"/>
          <w:sz w:val="32"/>
          <w:szCs w:val="32"/>
        </w:rPr>
      </w:pPr>
      <w:r>
        <w:rPr>
          <w:rFonts w:hint="eastAsia" w:ascii="方正仿宋_GBK" w:eastAsia="方正仿宋_GBK" w:cs="方正仿宋_GBK"/>
          <w:spacing w:val="-6"/>
          <w:sz w:val="32"/>
          <w:szCs w:val="32"/>
        </w:rPr>
        <w:t>区生态环境部门组织全区三线一单实施、评估、更新调整和宣传工作。</w:t>
      </w:r>
    </w:p>
    <w:p>
      <w:pPr>
        <w:ind w:firstLine="616" w:firstLineChars="200"/>
        <w:rPr>
          <w:sz w:val="32"/>
        </w:rPr>
      </w:pPr>
      <w:r>
        <w:rPr>
          <w:rFonts w:hint="eastAsia" w:ascii="方正仿宋_GBK" w:eastAsia="方正仿宋_GBK" w:cs="方正仿宋_GBK"/>
          <w:spacing w:val="-6"/>
          <w:sz w:val="32"/>
          <w:szCs w:val="32"/>
        </w:rPr>
        <w:t>区生态环境部门负责组建长期稳定的专业技术团队，区财政部门负责安排专项财政资金，切实保障三线一单实施、评估、更新调整、数据应用和维护等。</w:t>
      </w:r>
      <w:r>
        <w:rPr>
          <w:rFonts w:hint="eastAsia"/>
          <w:sz w:val="32"/>
        </w:rPr>
        <w:br w:type="textWrapping"/>
      </w:r>
    </w:p>
    <w:p>
      <w:pPr>
        <w:pStyle w:val="6"/>
        <w:widowControl/>
        <w:spacing w:before="240" w:after="300" w:line="26" w:lineRule="atLeast"/>
        <w:ind w:firstLine="420"/>
      </w:pPr>
      <w:r>
        <w:rPr>
          <w:rFonts w:hint="eastAsia" w:ascii="宋体" w:hAnsi="宋体" w:cs="宋体"/>
          <w:color w:val="000000"/>
        </w:rPr>
        <w:t> </w:t>
      </w:r>
    </w:p>
    <w:p>
      <w:pPr>
        <w:ind w:firstLine="924" w:firstLineChars="300"/>
        <w:rPr>
          <w:rFonts w:ascii="方正仿宋_GBK" w:eastAsia="方正仿宋_GBK" w:cs="方正仿宋_GBK"/>
          <w:spacing w:val="-6"/>
          <w:sz w:val="32"/>
          <w:szCs w:val="32"/>
        </w:rPr>
      </w:pPr>
      <w:r>
        <w:rPr>
          <w:rFonts w:hint="eastAsia" w:ascii="方正仿宋_GBK" w:eastAsia="方正仿宋_GBK" w:cs="方正仿宋_GBK"/>
          <w:spacing w:val="-6"/>
          <w:sz w:val="32"/>
          <w:szCs w:val="32"/>
        </w:rPr>
        <w:t>附件：大足区生态环境准入清单</w:t>
      </w:r>
    </w:p>
    <w:p>
      <w:pPr>
        <w:sectPr>
          <w:pgSz w:w="12240" w:h="15840"/>
          <w:pgMar w:top="1440" w:right="1800" w:bottom="1440" w:left="1800" w:header="720" w:footer="720" w:gutter="0"/>
          <w:cols w:space="720" w:num="1"/>
          <w:docGrid w:type="lines" w:linePitch="312" w:charSpace="0"/>
        </w:sectPr>
      </w:pPr>
    </w:p>
    <w:p>
      <w:pPr>
        <w:pStyle w:val="6"/>
        <w:widowControl/>
        <w:adjustRightInd w:val="0"/>
        <w:snapToGrid w:val="0"/>
        <w:spacing w:line="400" w:lineRule="exact"/>
        <w:jc w:val="both"/>
        <w:rPr>
          <w:b/>
          <w:kern w:val="2"/>
        </w:rPr>
      </w:pPr>
      <w:r>
        <w:rPr>
          <w:rFonts w:hint="eastAsia"/>
          <w:b/>
          <w:kern w:val="2"/>
        </w:rPr>
        <w:t>附件</w:t>
      </w:r>
    </w:p>
    <w:p>
      <w:pPr>
        <w:pStyle w:val="6"/>
        <w:widowControl/>
        <w:adjustRightInd w:val="0"/>
        <w:snapToGrid w:val="0"/>
        <w:spacing w:line="400" w:lineRule="exact"/>
        <w:jc w:val="center"/>
        <w:rPr>
          <w:rFonts w:ascii="Times New Roman" w:hAnsi="Times New Roman" w:eastAsia="方正仿宋_GBK"/>
          <w:b/>
          <w:kern w:val="2"/>
          <w:sz w:val="32"/>
        </w:rPr>
      </w:pPr>
      <w:r>
        <w:rPr>
          <w:rFonts w:hint="eastAsia" w:ascii="Times New Roman" w:hAnsi="Times New Roman" w:eastAsia="方正仿宋_GBK"/>
          <w:b/>
          <w:kern w:val="2"/>
          <w:sz w:val="32"/>
        </w:rPr>
        <w:t>大足区生态环境准入清单</w:t>
      </w:r>
    </w:p>
    <w:tbl>
      <w:tblPr>
        <w:tblStyle w:val="7"/>
        <w:tblpPr w:leftFromText="180" w:rightFromText="180" w:vertAnchor="text" w:horzAnchor="page" w:tblpX="544" w:tblpY="90"/>
        <w:tblOverlap w:val="never"/>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5"/>
        <w:gridCol w:w="1871"/>
        <w:gridCol w:w="1697"/>
        <w:gridCol w:w="3279"/>
        <w:gridCol w:w="1769"/>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812"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b/>
                <w:color w:val="auto"/>
                <w:sz w:val="21"/>
                <w:szCs w:val="21"/>
              </w:rPr>
            </w:pPr>
            <w:r>
              <w:rPr>
                <w:rFonts w:hint="eastAsia" w:ascii="仿宋" w:hAnsi="仿宋" w:cs="仿宋"/>
                <w:b/>
                <w:color w:val="auto"/>
                <w:sz w:val="21"/>
                <w:szCs w:val="21"/>
              </w:rPr>
              <w:t>环境管控</w:t>
            </w:r>
          </w:p>
          <w:p>
            <w:pPr>
              <w:pStyle w:val="9"/>
              <w:spacing w:line="280" w:lineRule="exact"/>
              <w:rPr>
                <w:rFonts w:ascii="仿宋" w:hAnsi="仿宋" w:cs="仿宋"/>
                <w:b/>
                <w:color w:val="auto"/>
                <w:sz w:val="21"/>
                <w:szCs w:val="21"/>
              </w:rPr>
            </w:pPr>
            <w:r>
              <w:rPr>
                <w:rFonts w:hint="eastAsia" w:ascii="仿宋" w:hAnsi="仿宋" w:cs="仿宋"/>
                <w:b/>
                <w:color w:val="auto"/>
                <w:sz w:val="21"/>
                <w:szCs w:val="21"/>
              </w:rPr>
              <w:t>单元名称</w:t>
            </w:r>
          </w:p>
        </w:tc>
        <w:tc>
          <w:tcPr>
            <w:tcW w:w="64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b/>
                <w:color w:val="auto"/>
                <w:sz w:val="21"/>
                <w:szCs w:val="21"/>
              </w:rPr>
            </w:pPr>
            <w:r>
              <w:rPr>
                <w:rFonts w:hint="eastAsia" w:ascii="仿宋" w:hAnsi="仿宋" w:cs="仿宋"/>
                <w:b/>
                <w:color w:val="auto"/>
                <w:sz w:val="21"/>
                <w:szCs w:val="21"/>
              </w:rPr>
              <w:t>环境管控</w:t>
            </w:r>
          </w:p>
          <w:p>
            <w:pPr>
              <w:pStyle w:val="9"/>
              <w:spacing w:line="280" w:lineRule="exact"/>
              <w:rPr>
                <w:rFonts w:ascii="仿宋" w:hAnsi="仿宋" w:cs="仿宋"/>
                <w:b/>
                <w:color w:val="auto"/>
                <w:sz w:val="21"/>
                <w:szCs w:val="21"/>
              </w:rPr>
            </w:pPr>
            <w:r>
              <w:rPr>
                <w:rFonts w:hint="eastAsia" w:ascii="仿宋" w:hAnsi="仿宋" w:cs="仿宋"/>
                <w:b/>
                <w:color w:val="auto"/>
                <w:sz w:val="21"/>
                <w:szCs w:val="21"/>
              </w:rPr>
              <w:t>单元分类</w:t>
            </w:r>
          </w:p>
        </w:tc>
        <w:tc>
          <w:tcPr>
            <w:tcW w:w="58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b/>
                <w:color w:val="auto"/>
                <w:sz w:val="21"/>
                <w:szCs w:val="21"/>
              </w:rPr>
            </w:pPr>
            <w:r>
              <w:rPr>
                <w:rFonts w:ascii="仿宋" w:hAnsi="仿宋" w:cs="仿宋"/>
                <w:b/>
                <w:color w:val="auto"/>
                <w:sz w:val="21"/>
                <w:szCs w:val="21"/>
              </w:rPr>
              <w:t>环境管控</w:t>
            </w:r>
          </w:p>
          <w:p>
            <w:pPr>
              <w:pStyle w:val="9"/>
              <w:spacing w:line="280" w:lineRule="exact"/>
              <w:rPr>
                <w:rFonts w:ascii="仿宋" w:hAnsi="仿宋" w:cs="仿宋"/>
                <w:b/>
                <w:color w:val="auto"/>
                <w:sz w:val="21"/>
                <w:szCs w:val="21"/>
              </w:rPr>
            </w:pPr>
            <w:r>
              <w:rPr>
                <w:rFonts w:ascii="仿宋" w:hAnsi="仿宋" w:cs="仿宋"/>
                <w:b/>
                <w:color w:val="auto"/>
                <w:sz w:val="21"/>
                <w:szCs w:val="21"/>
              </w:rPr>
              <w:t>单元</w:t>
            </w:r>
            <w:r>
              <w:rPr>
                <w:rFonts w:hint="eastAsia" w:ascii="仿宋" w:hAnsi="仿宋" w:cs="仿宋"/>
                <w:b/>
                <w:color w:val="auto"/>
                <w:sz w:val="21"/>
                <w:szCs w:val="21"/>
              </w:rPr>
              <w:t>要素分区组成</w:t>
            </w:r>
          </w:p>
        </w:tc>
        <w:tc>
          <w:tcPr>
            <w:tcW w:w="113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b/>
                <w:color w:val="auto"/>
                <w:sz w:val="21"/>
                <w:szCs w:val="21"/>
              </w:rPr>
            </w:pPr>
            <w:r>
              <w:rPr>
                <w:rFonts w:ascii="仿宋" w:hAnsi="仿宋" w:cs="仿宋"/>
                <w:b/>
                <w:color w:val="auto"/>
                <w:sz w:val="21"/>
                <w:szCs w:val="21"/>
              </w:rPr>
              <w:t>执行</w:t>
            </w:r>
            <w:r>
              <w:rPr>
                <w:rFonts w:hint="eastAsia" w:ascii="仿宋" w:hAnsi="仿宋" w:cs="仿宋"/>
                <w:b/>
                <w:color w:val="auto"/>
                <w:sz w:val="21"/>
                <w:szCs w:val="21"/>
              </w:rPr>
              <w:t>的</w:t>
            </w:r>
            <w:r>
              <w:rPr>
                <w:rFonts w:ascii="仿宋" w:hAnsi="仿宋" w:cs="仿宋"/>
                <w:b/>
                <w:color w:val="auto"/>
                <w:sz w:val="21"/>
                <w:szCs w:val="21"/>
              </w:rPr>
              <w:t>市级总体管控要求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b/>
                <w:color w:val="auto"/>
                <w:sz w:val="21"/>
                <w:szCs w:val="21"/>
              </w:rPr>
            </w:pPr>
            <w:r>
              <w:rPr>
                <w:rFonts w:hint="eastAsia" w:ascii="仿宋" w:hAnsi="仿宋" w:cs="仿宋"/>
                <w:b/>
                <w:color w:val="auto"/>
                <w:sz w:val="21"/>
                <w:szCs w:val="21"/>
              </w:rPr>
              <w:t>管控</w:t>
            </w:r>
          </w:p>
          <w:p>
            <w:pPr>
              <w:pStyle w:val="9"/>
              <w:spacing w:line="280" w:lineRule="exact"/>
              <w:rPr>
                <w:rFonts w:ascii="仿宋" w:hAnsi="仿宋" w:cs="仿宋"/>
                <w:b/>
                <w:color w:val="auto"/>
                <w:sz w:val="21"/>
                <w:szCs w:val="21"/>
              </w:rPr>
            </w:pPr>
            <w:r>
              <w:rPr>
                <w:rFonts w:hint="eastAsia" w:ascii="仿宋" w:hAnsi="仿宋" w:cs="仿宋"/>
                <w:b/>
                <w:color w:val="auto"/>
                <w:sz w:val="21"/>
                <w:szCs w:val="21"/>
              </w:rPr>
              <w:t>类别</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b/>
                <w:color w:val="auto"/>
                <w:sz w:val="21"/>
                <w:szCs w:val="21"/>
              </w:rPr>
            </w:pPr>
            <w:r>
              <w:rPr>
                <w:rFonts w:hint="eastAsia" w:ascii="仿宋" w:hAnsi="仿宋" w:cs="仿宋"/>
                <w:b/>
                <w:color w:val="auto"/>
                <w:sz w:val="21"/>
                <w:szCs w:val="21"/>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8" w:hRule="atLeast"/>
        </w:trPr>
        <w:tc>
          <w:tcPr>
            <w:tcW w:w="812"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重庆市大足区玉滩水库水源地</w:t>
            </w:r>
          </w:p>
        </w:tc>
        <w:tc>
          <w:tcPr>
            <w:tcW w:w="64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优先保护单元1</w:t>
            </w:r>
          </w:p>
        </w:tc>
        <w:tc>
          <w:tcPr>
            <w:tcW w:w="58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城市饮用水源保护区</w:t>
            </w:r>
          </w:p>
        </w:tc>
        <w:tc>
          <w:tcPr>
            <w:tcW w:w="1130" w:type="pct"/>
            <w:tcBorders>
              <w:top w:val="single" w:color="auto" w:sz="4" w:space="0"/>
              <w:left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饮用水源地执行全市集中式饮用水水源地保护区总体管控要求。</w:t>
            </w:r>
          </w:p>
        </w:tc>
        <w:tc>
          <w:tcPr>
            <w:tcW w:w="610" w:type="pct"/>
            <w:tcBorders>
              <w:top w:val="single" w:color="auto" w:sz="4" w:space="0"/>
              <w:left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w:t>
            </w:r>
            <w:r>
              <w:rPr>
                <w:rFonts w:ascii="仿宋" w:hAnsi="仿宋" w:cs="仿宋"/>
                <w:color w:val="auto"/>
                <w:sz w:val="21"/>
                <w:szCs w:val="21"/>
              </w:rPr>
              <w:t>.</w:t>
            </w:r>
            <w:r>
              <w:rPr>
                <w:rFonts w:hint="eastAsia" w:ascii="仿宋" w:hAnsi="仿宋" w:cs="仿宋"/>
                <w:color w:val="auto"/>
                <w:sz w:val="21"/>
                <w:szCs w:val="21"/>
              </w:rPr>
              <w:t>玉滩水库上游区域严格产业准入，饮用水源取水口上游2</w:t>
            </w:r>
            <w:r>
              <w:rPr>
                <w:rFonts w:ascii="仿宋" w:hAnsi="仿宋" w:cs="仿宋"/>
                <w:color w:val="auto"/>
                <w:sz w:val="21"/>
                <w:szCs w:val="21"/>
              </w:rPr>
              <w:t>0</w:t>
            </w:r>
            <w:r>
              <w:rPr>
                <w:rFonts w:hint="eastAsia" w:ascii="仿宋" w:hAnsi="仿宋" w:cs="仿宋"/>
                <w:color w:val="auto"/>
                <w:sz w:val="21"/>
                <w:szCs w:val="21"/>
              </w:rPr>
              <w:t>公里内</w:t>
            </w:r>
            <w:r>
              <w:rPr>
                <w:rFonts w:hint="eastAsia" w:ascii="仿宋" w:hAnsi="仿宋" w:cs="仿宋"/>
                <w:color w:val="auto"/>
                <w:sz w:val="21"/>
                <w:szCs w:val="21"/>
                <w:lang w:bidi="en-US"/>
              </w:rPr>
              <w:t>严禁引入排放重金属（铅、汞、砷、铬、镉）、剧毒物质和持久性有机污染物的工业项目。</w:t>
            </w:r>
          </w:p>
          <w:p>
            <w:pPr>
              <w:pStyle w:val="9"/>
              <w:spacing w:line="280" w:lineRule="exact"/>
              <w:rPr>
                <w:rFonts w:ascii="仿宋" w:hAnsi="仿宋" w:cs="仿宋"/>
                <w:color w:val="auto"/>
                <w:sz w:val="21"/>
                <w:szCs w:val="21"/>
              </w:rPr>
            </w:pPr>
            <w:r>
              <w:rPr>
                <w:rFonts w:hint="eastAsia" w:ascii="仿宋" w:hAnsi="仿宋" w:cs="仿宋"/>
                <w:color w:val="auto"/>
                <w:sz w:val="21"/>
                <w:szCs w:val="21"/>
              </w:rPr>
              <w:t>2</w:t>
            </w:r>
            <w:r>
              <w:rPr>
                <w:rFonts w:ascii="仿宋" w:hAnsi="仿宋" w:cs="仿宋"/>
                <w:color w:val="auto"/>
                <w:sz w:val="21"/>
                <w:szCs w:val="21"/>
              </w:rPr>
              <w:t>.</w:t>
            </w:r>
            <w:r>
              <w:rPr>
                <w:rFonts w:hint="eastAsia" w:ascii="仿宋" w:hAnsi="仿宋" w:cs="仿宋"/>
                <w:color w:val="auto"/>
                <w:sz w:val="21"/>
                <w:szCs w:val="21"/>
              </w:rPr>
              <w:t>尽快开展玉滩水库内源污染治理、开展入库口水生生态修复；玉滩水库水质达标前，玉滩水库上游区域</w:t>
            </w:r>
            <w:r>
              <w:rPr>
                <w:rFonts w:hint="eastAsia" w:ascii="仿宋" w:hAnsi="仿宋" w:cs="仿宋"/>
                <w:color w:val="auto"/>
                <w:sz w:val="21"/>
                <w:szCs w:val="21"/>
                <w:lang w:bidi="en-US"/>
              </w:rPr>
              <w:t>严格限制新增超标水污染</w:t>
            </w:r>
            <w:r>
              <w:rPr>
                <w:rFonts w:hint="eastAsia" w:ascii="仿宋" w:hAnsi="仿宋" w:cs="仿宋"/>
                <w:color w:val="auto"/>
                <w:sz w:val="21"/>
                <w:szCs w:val="21"/>
              </w:rPr>
              <w:t>因子</w:t>
            </w:r>
            <w:r>
              <w:rPr>
                <w:rFonts w:hint="eastAsia" w:ascii="仿宋" w:hAnsi="仿宋" w:cs="仿宋"/>
                <w:color w:val="auto"/>
                <w:sz w:val="21"/>
                <w:szCs w:val="21"/>
                <w:lang w:bidi="en-US"/>
              </w:rPr>
              <w:t>的工业项目</w:t>
            </w: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trPr>
        <w:tc>
          <w:tcPr>
            <w:tcW w:w="812"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重庆市大足区宝顶镇化龙水库大足区自来水公司水源地</w:t>
            </w:r>
          </w:p>
        </w:tc>
        <w:tc>
          <w:tcPr>
            <w:tcW w:w="64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优先保护单元2</w:t>
            </w:r>
          </w:p>
        </w:tc>
        <w:tc>
          <w:tcPr>
            <w:tcW w:w="58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城市饮用水源保护区</w:t>
            </w:r>
          </w:p>
        </w:tc>
        <w:tc>
          <w:tcPr>
            <w:tcW w:w="113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饮用水源地执行全市集中式饮用水水源地保护区总体管控要求。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重庆市大足区中敖镇上游水库大足区自来水公司水源地</w:t>
            </w:r>
          </w:p>
        </w:tc>
        <w:tc>
          <w:tcPr>
            <w:tcW w:w="64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优先保护单元3</w:t>
            </w:r>
          </w:p>
        </w:tc>
        <w:tc>
          <w:tcPr>
            <w:tcW w:w="58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城市饮用水源保护区</w:t>
            </w:r>
          </w:p>
          <w:p>
            <w:pPr>
              <w:pStyle w:val="9"/>
              <w:spacing w:line="280" w:lineRule="exact"/>
              <w:rPr>
                <w:rFonts w:ascii="仿宋" w:hAnsi="仿宋" w:cs="仿宋"/>
                <w:color w:val="auto"/>
                <w:sz w:val="21"/>
                <w:szCs w:val="21"/>
              </w:rPr>
            </w:pPr>
          </w:p>
        </w:tc>
        <w:tc>
          <w:tcPr>
            <w:tcW w:w="113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饮用水源地执行全市集中式饮用水水源地保护区总体管控要求。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重庆市大足区龙岗街道濑溪河渝大水务公司西门水厂水源地</w:t>
            </w:r>
          </w:p>
        </w:tc>
        <w:tc>
          <w:tcPr>
            <w:tcW w:w="64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优先保护单元4</w:t>
            </w:r>
          </w:p>
        </w:tc>
        <w:tc>
          <w:tcPr>
            <w:tcW w:w="58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城市饮用水源保护区</w:t>
            </w:r>
          </w:p>
        </w:tc>
        <w:tc>
          <w:tcPr>
            <w:tcW w:w="113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饮用水源地执行全市集中式饮用水水源地保护区总体管控要求。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双桥经开区通桥街道龙水湖水库双桥经开区水务公司水源地</w:t>
            </w:r>
          </w:p>
        </w:tc>
        <w:tc>
          <w:tcPr>
            <w:tcW w:w="64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优先保护单元5</w:t>
            </w:r>
          </w:p>
        </w:tc>
        <w:tc>
          <w:tcPr>
            <w:tcW w:w="58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镇级饮用水源保护区</w:t>
            </w:r>
          </w:p>
        </w:tc>
        <w:tc>
          <w:tcPr>
            <w:tcW w:w="113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饮用水源地执行全市集中式饮用水水源地保护区总体管控要求。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大足区西山桫椤县级自然保护区</w:t>
            </w:r>
          </w:p>
        </w:tc>
        <w:tc>
          <w:tcPr>
            <w:tcW w:w="64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优先保护单元6</w:t>
            </w:r>
          </w:p>
        </w:tc>
        <w:tc>
          <w:tcPr>
            <w:tcW w:w="58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自然保护区</w:t>
            </w:r>
          </w:p>
        </w:tc>
        <w:tc>
          <w:tcPr>
            <w:tcW w:w="113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自然保护区执行全市自然保护区总体管控要求。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巩固矿山关闭成果，对矿山迹地采取生态修复治理措施，确保与周边景观和谐统一。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5" w:hRule="atLeast"/>
        </w:trPr>
        <w:tc>
          <w:tcPr>
            <w:tcW w:w="812"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重庆玉龙山国家森林公园</w:t>
            </w:r>
          </w:p>
        </w:tc>
        <w:tc>
          <w:tcPr>
            <w:tcW w:w="64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优先保护单元7</w:t>
            </w:r>
          </w:p>
        </w:tc>
        <w:tc>
          <w:tcPr>
            <w:tcW w:w="58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森林公园</w:t>
            </w:r>
          </w:p>
        </w:tc>
        <w:tc>
          <w:tcPr>
            <w:tcW w:w="113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森林公园执行全市森林公园总体管控要求。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现存矿山应逐步退出玉龙山森林公园，对于造成破坏的自然景观采取生态修复治理措施。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重庆市白云寨市级森林公园</w:t>
            </w:r>
          </w:p>
        </w:tc>
        <w:tc>
          <w:tcPr>
            <w:tcW w:w="64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优先保护单元8</w:t>
            </w:r>
          </w:p>
        </w:tc>
        <w:tc>
          <w:tcPr>
            <w:tcW w:w="58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森林公园</w:t>
            </w:r>
          </w:p>
        </w:tc>
        <w:tc>
          <w:tcPr>
            <w:tcW w:w="113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森林公园执行全市森林公园总体管控要求。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重庆市宝林寺市级森林公园</w:t>
            </w:r>
          </w:p>
        </w:tc>
        <w:tc>
          <w:tcPr>
            <w:tcW w:w="64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优先保护单元9</w:t>
            </w:r>
          </w:p>
        </w:tc>
        <w:tc>
          <w:tcPr>
            <w:tcW w:w="58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森林公园</w:t>
            </w:r>
          </w:p>
        </w:tc>
        <w:tc>
          <w:tcPr>
            <w:tcW w:w="113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森林公园执行全市森林公园总体管控要求。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重庆大足龙水湖湿地公园</w:t>
            </w:r>
          </w:p>
        </w:tc>
        <w:tc>
          <w:tcPr>
            <w:tcW w:w="64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优先保护单元10</w:t>
            </w:r>
          </w:p>
        </w:tc>
        <w:tc>
          <w:tcPr>
            <w:tcW w:w="58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湿地公园</w:t>
            </w:r>
          </w:p>
        </w:tc>
        <w:tc>
          <w:tcPr>
            <w:tcW w:w="113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湿地公园执行全市湿地公园管理要求。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大足区水土保持功能区</w:t>
            </w:r>
          </w:p>
        </w:tc>
        <w:tc>
          <w:tcPr>
            <w:tcW w:w="64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优先保护单元11</w:t>
            </w:r>
          </w:p>
        </w:tc>
        <w:tc>
          <w:tcPr>
            <w:tcW w:w="58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水土保持功能区</w:t>
            </w:r>
          </w:p>
        </w:tc>
        <w:tc>
          <w:tcPr>
            <w:tcW w:w="113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大足区一般生态空间-水土保持</w:t>
            </w:r>
          </w:p>
        </w:tc>
        <w:tc>
          <w:tcPr>
            <w:tcW w:w="64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优先保护单元12</w:t>
            </w:r>
          </w:p>
        </w:tc>
        <w:tc>
          <w:tcPr>
            <w:tcW w:w="58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水土保持功能区</w:t>
            </w:r>
          </w:p>
        </w:tc>
        <w:tc>
          <w:tcPr>
            <w:tcW w:w="113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5" w:hRule="atLeast"/>
        </w:trPr>
        <w:tc>
          <w:tcPr>
            <w:tcW w:w="812" w:type="pct"/>
            <w:vMerge w:val="restar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大足区重点管控单元-濑溪河玉滩水库</w:t>
            </w:r>
          </w:p>
        </w:tc>
        <w:tc>
          <w:tcPr>
            <w:tcW w:w="645" w:type="pct"/>
            <w:vMerge w:val="restar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重点管控单元1</w:t>
            </w:r>
          </w:p>
          <w:p>
            <w:pPr>
              <w:pStyle w:val="9"/>
              <w:spacing w:line="280" w:lineRule="exact"/>
              <w:rPr>
                <w:rFonts w:ascii="仿宋" w:hAnsi="仿宋" w:cs="仿宋"/>
                <w:color w:val="auto"/>
                <w:sz w:val="21"/>
                <w:szCs w:val="21"/>
              </w:rPr>
            </w:pPr>
          </w:p>
        </w:tc>
        <w:tc>
          <w:tcPr>
            <w:tcW w:w="585" w:type="pct"/>
            <w:vMerge w:val="restar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濑溪河玉滩水库水环境工业—城镇生活污染重点管控区；大气环境高排放重点管控区-龙水工业园区；智凤街道、龙岗街道、龙水镇为大气环境受体敏感重点管控区。</w:t>
            </w:r>
          </w:p>
        </w:tc>
        <w:tc>
          <w:tcPr>
            <w:tcW w:w="1130" w:type="pct"/>
            <w:vMerge w:val="restart"/>
            <w:tcBorders>
              <w:top w:val="single" w:color="auto" w:sz="4" w:space="0"/>
              <w:left w:val="single" w:color="auto" w:sz="4" w:space="0"/>
              <w:right w:val="single" w:color="auto" w:sz="4" w:space="0"/>
            </w:tcBorders>
            <w:vAlign w:val="center"/>
          </w:tcPr>
          <w:p>
            <w:pPr>
              <w:pStyle w:val="9"/>
              <w:snapToGrid w:val="0"/>
              <w:spacing w:line="280" w:lineRule="exact"/>
              <w:rPr>
                <w:rFonts w:ascii="仿宋" w:hAnsi="仿宋" w:cs="仿宋"/>
                <w:color w:val="auto"/>
                <w:sz w:val="21"/>
                <w:szCs w:val="21"/>
              </w:rPr>
            </w:pPr>
            <w:r>
              <w:rPr>
                <w:rFonts w:hint="eastAsia" w:ascii="仿宋" w:hAnsi="仿宋" w:cs="仿宋"/>
                <w:color w:val="auto"/>
                <w:sz w:val="21"/>
                <w:szCs w:val="21"/>
              </w:rPr>
              <w:t>执行大气环境受体敏感区、高排放区类别相应市级、主城西片区总体管控要求。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40" w:lineRule="exact"/>
              <w:rPr>
                <w:rFonts w:ascii="仿宋" w:hAnsi="仿宋" w:cs="仿宋"/>
                <w:color w:val="auto"/>
                <w:sz w:val="21"/>
                <w:szCs w:val="21"/>
              </w:rPr>
            </w:pPr>
            <w:r>
              <w:rPr>
                <w:rFonts w:hint="eastAsia" w:ascii="仿宋" w:hAnsi="仿宋" w:cs="仿宋"/>
                <w:color w:val="auto"/>
                <w:sz w:val="21"/>
                <w:szCs w:val="21"/>
              </w:rPr>
              <w:t>1.有序推进工业污染治理。按照“取缔一批、规范一批、入园一批”的思路，积极稳妥推进龙水镇（工业园区或工业集聚区除外）涉水“散乱污”工业企业整治。加快建成龙水镇小微企业园，引导园区外企业逐步进入</w:t>
            </w:r>
            <w:r>
              <w:rPr>
                <w:rFonts w:hint="eastAsia" w:ascii="仿宋" w:hAnsi="仿宋" w:cs="仿宋"/>
                <w:color w:val="auto"/>
                <w:sz w:val="21"/>
                <w:szCs w:val="21"/>
                <w:lang w:bidi="en-US"/>
              </w:rPr>
              <w:t>大足高新区（龙水组团）</w:t>
            </w:r>
            <w:r>
              <w:rPr>
                <w:rFonts w:hint="eastAsia" w:ascii="仿宋" w:hAnsi="仿宋" w:cs="仿宋"/>
                <w:color w:val="auto"/>
                <w:sz w:val="21"/>
                <w:szCs w:val="21"/>
              </w:rPr>
              <w:t>和龙水镇小微企业园。</w:t>
            </w:r>
          </w:p>
          <w:p>
            <w:pPr>
              <w:pStyle w:val="9"/>
              <w:spacing w:line="240" w:lineRule="exact"/>
              <w:rPr>
                <w:rFonts w:ascii="仿宋" w:hAnsi="仿宋" w:cs="仿宋"/>
                <w:color w:val="auto"/>
                <w:sz w:val="21"/>
                <w:szCs w:val="21"/>
              </w:rPr>
            </w:pPr>
            <w:r>
              <w:rPr>
                <w:rFonts w:hint="eastAsia" w:ascii="仿宋" w:hAnsi="仿宋" w:cs="仿宋"/>
                <w:color w:val="auto"/>
                <w:sz w:val="21"/>
                <w:szCs w:val="21"/>
              </w:rPr>
              <w:t>2.</w:t>
            </w:r>
            <w:r>
              <w:rPr>
                <w:rFonts w:hint="eastAsia" w:ascii="仿宋" w:hAnsi="仿宋" w:cs="仿宋"/>
                <w:color w:val="auto"/>
                <w:sz w:val="21"/>
                <w:szCs w:val="21"/>
                <w:lang w:bidi="en-US"/>
              </w:rPr>
              <w:t>大足高新区（龙水组团）、龙水镇小微企业园应禁止引入排放含重金属（铅、汞、砷、铬、镉）、剧毒物质的工业项目；</w:t>
            </w:r>
            <w:r>
              <w:rPr>
                <w:rFonts w:hint="eastAsia" w:ascii="仿宋" w:hAnsi="仿宋" w:cs="仿宋"/>
                <w:color w:val="auto"/>
                <w:sz w:val="21"/>
                <w:szCs w:val="21"/>
              </w:rPr>
              <w:t>玉滩水库水质达标前，</w:t>
            </w:r>
            <w:r>
              <w:rPr>
                <w:rFonts w:hint="eastAsia" w:ascii="仿宋" w:hAnsi="仿宋" w:cs="仿宋"/>
                <w:color w:val="auto"/>
                <w:sz w:val="21"/>
                <w:szCs w:val="21"/>
                <w:lang w:bidi="en-US"/>
              </w:rPr>
              <w:t>严格限制新增超标水污染</w:t>
            </w:r>
            <w:r>
              <w:rPr>
                <w:rFonts w:hint="eastAsia" w:ascii="仿宋" w:hAnsi="仿宋" w:cs="仿宋"/>
                <w:color w:val="auto"/>
                <w:sz w:val="21"/>
                <w:szCs w:val="21"/>
              </w:rPr>
              <w:t>因子</w:t>
            </w:r>
            <w:r>
              <w:rPr>
                <w:rFonts w:hint="eastAsia" w:ascii="仿宋" w:hAnsi="仿宋" w:cs="仿宋"/>
                <w:color w:val="auto"/>
                <w:sz w:val="21"/>
                <w:szCs w:val="21"/>
                <w:lang w:bidi="en-US"/>
              </w:rPr>
              <w:t>的工业项目。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5"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污染物排放管控</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1.大足高新区（龙水组团）外未完善环保设施的企业应限期整治，并建设完善的污染治理设施，要求达标排放。</w:t>
            </w:r>
          </w:p>
          <w:p>
            <w:pPr>
              <w:pStyle w:val="9"/>
              <w:spacing w:line="280" w:lineRule="exact"/>
              <w:rPr>
                <w:rFonts w:ascii="仿宋" w:hAnsi="仿宋" w:cs="仿宋"/>
                <w:color w:val="auto"/>
                <w:sz w:val="21"/>
                <w:szCs w:val="21"/>
              </w:rPr>
            </w:pPr>
            <w:r>
              <w:rPr>
                <w:rFonts w:ascii="仿宋" w:hAnsi="仿宋" w:cs="仿宋"/>
                <w:color w:val="auto"/>
                <w:sz w:val="21"/>
                <w:szCs w:val="21"/>
              </w:rPr>
              <w:t>2</w:t>
            </w:r>
            <w:r>
              <w:rPr>
                <w:rFonts w:hint="eastAsia" w:ascii="仿宋" w:hAnsi="仿宋" w:cs="仿宋"/>
                <w:color w:val="auto"/>
                <w:sz w:val="21"/>
                <w:szCs w:val="21"/>
              </w:rPr>
              <w:t>.实施龙水镇污水厂提标改造工程，排水达《城镇污水处理厂污染物排放标准》</w:t>
            </w:r>
            <w:r>
              <w:rPr>
                <w:rFonts w:ascii="仿宋" w:hAnsi="仿宋" w:cs="仿宋"/>
                <w:color w:val="auto"/>
                <w:sz w:val="21"/>
                <w:szCs w:val="21"/>
              </w:rPr>
              <w:t>GB18918-2002</w:t>
            </w:r>
            <w:r>
              <w:rPr>
                <w:rFonts w:hint="eastAsia" w:ascii="仿宋" w:hAnsi="仿宋" w:cs="仿宋"/>
                <w:color w:val="auto"/>
                <w:sz w:val="21"/>
                <w:szCs w:val="21"/>
              </w:rPr>
              <w:t>表</w:t>
            </w:r>
            <w:r>
              <w:rPr>
                <w:rFonts w:ascii="仿宋" w:hAnsi="仿宋" w:cs="仿宋"/>
                <w:color w:val="auto"/>
                <w:sz w:val="21"/>
                <w:szCs w:val="21"/>
              </w:rPr>
              <w:t>1</w:t>
            </w:r>
            <w:r>
              <w:rPr>
                <w:rFonts w:hint="eastAsia" w:ascii="仿宋" w:hAnsi="仿宋" w:cs="仿宋"/>
                <w:color w:val="auto"/>
                <w:sz w:val="21"/>
                <w:szCs w:val="21"/>
              </w:rPr>
              <w:t>一级</w:t>
            </w:r>
            <w:r>
              <w:rPr>
                <w:rFonts w:ascii="仿宋" w:hAnsi="仿宋" w:cs="仿宋"/>
                <w:color w:val="auto"/>
                <w:sz w:val="21"/>
                <w:szCs w:val="21"/>
              </w:rPr>
              <w:t>A</w:t>
            </w:r>
            <w:r>
              <w:rPr>
                <w:rFonts w:hint="eastAsia" w:ascii="仿宋" w:hAnsi="仿宋" w:cs="仿宋"/>
                <w:color w:val="auto"/>
                <w:sz w:val="21"/>
                <w:szCs w:val="21"/>
              </w:rPr>
              <w:t>标准；加快实施三驱、高升、季家等3座污水处理厂扩容改造，加快实施大足老城区污水合流制管网改造和将进一步完善各镇街污水管网建设，逐年提高生活污水集中收集率。</w:t>
            </w:r>
          </w:p>
          <w:p>
            <w:pPr>
              <w:pStyle w:val="9"/>
              <w:spacing w:line="280" w:lineRule="exact"/>
              <w:rPr>
                <w:rFonts w:ascii="仿宋" w:hAnsi="仿宋" w:cs="仿宋"/>
                <w:color w:val="auto"/>
                <w:sz w:val="21"/>
                <w:szCs w:val="21"/>
              </w:rPr>
            </w:pPr>
            <w:r>
              <w:rPr>
                <w:rFonts w:ascii="仿宋" w:hAnsi="仿宋" w:cs="仿宋"/>
                <w:color w:val="auto"/>
                <w:sz w:val="21"/>
                <w:szCs w:val="21"/>
              </w:rPr>
              <w:t>3</w:t>
            </w:r>
            <w:r>
              <w:rPr>
                <w:rFonts w:hint="eastAsia" w:ascii="仿宋" w:hAnsi="仿宋" w:cs="仿宋"/>
                <w:color w:val="auto"/>
                <w:sz w:val="21"/>
                <w:szCs w:val="21"/>
              </w:rPr>
              <w:t>.加强涉磷企业的清洁化改造，鼓励使用含磷原料替代工艺；</w:t>
            </w:r>
          </w:p>
          <w:p>
            <w:pPr>
              <w:pStyle w:val="9"/>
              <w:spacing w:line="280" w:lineRule="exact"/>
              <w:rPr>
                <w:rFonts w:ascii="仿宋" w:hAnsi="仿宋" w:cs="仿宋"/>
                <w:color w:val="auto"/>
                <w:sz w:val="21"/>
                <w:szCs w:val="21"/>
              </w:rPr>
            </w:pPr>
            <w:r>
              <w:rPr>
                <w:rFonts w:ascii="仿宋" w:hAnsi="仿宋" w:cs="仿宋"/>
                <w:color w:val="auto"/>
                <w:sz w:val="21"/>
                <w:szCs w:val="21"/>
              </w:rPr>
              <w:t>4.</w:t>
            </w:r>
            <w:r>
              <w:rPr>
                <w:rFonts w:hint="eastAsia" w:ascii="仿宋" w:hAnsi="仿宋" w:cs="仿宋"/>
                <w:color w:val="auto"/>
                <w:sz w:val="21"/>
                <w:szCs w:val="21"/>
              </w:rPr>
              <w:t>加强农业面源的污染治理，建立长效管理机制。推广使用农家肥、配方肥和生物农药，减少农药、化肥用量。合理使用含磷肥料。</w:t>
            </w:r>
          </w:p>
          <w:p>
            <w:pPr>
              <w:pStyle w:val="9"/>
              <w:spacing w:line="280" w:lineRule="exact"/>
              <w:rPr>
                <w:rFonts w:ascii="仿宋" w:hAnsi="仿宋" w:cs="仿宋"/>
                <w:color w:val="auto"/>
                <w:sz w:val="21"/>
                <w:szCs w:val="21"/>
              </w:rPr>
            </w:pPr>
            <w:r>
              <w:rPr>
                <w:rFonts w:ascii="仿宋" w:hAnsi="仿宋" w:cs="仿宋"/>
                <w:color w:val="auto"/>
                <w:sz w:val="21"/>
                <w:szCs w:val="21"/>
              </w:rPr>
              <w:t>5</w:t>
            </w:r>
            <w:r>
              <w:rPr>
                <w:rFonts w:hint="eastAsia" w:ascii="仿宋" w:hAnsi="仿宋" w:cs="仿宋"/>
                <w:color w:val="auto"/>
                <w:sz w:val="21"/>
                <w:szCs w:val="21"/>
              </w:rPr>
              <w:t>.全面执行施工工地扬尘控制规范；严格执行控制城市道路扬尘六项要求。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环境风险防控</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1.持续推进重庆大足红蝶锶业有限公司(龙水工厂)等企业搬迁后遗留土壤环境风险评估工作</w:t>
            </w:r>
            <w:r>
              <w:rPr>
                <w:rFonts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资源开发效率要求</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1.在高污染燃料禁燃区内，禁止销售、燃用高污染燃料。</w:t>
            </w:r>
          </w:p>
          <w:p>
            <w:pPr>
              <w:pStyle w:val="9"/>
              <w:spacing w:line="280" w:lineRule="exact"/>
              <w:rPr>
                <w:rFonts w:ascii="仿宋" w:hAnsi="仿宋" w:cs="仿宋"/>
                <w:color w:val="auto"/>
                <w:sz w:val="21"/>
                <w:szCs w:val="21"/>
              </w:rPr>
            </w:pPr>
            <w:r>
              <w:rPr>
                <w:rFonts w:ascii="仿宋" w:hAnsi="仿宋" w:cs="仿宋"/>
                <w:color w:val="auto"/>
                <w:sz w:val="21"/>
                <w:szCs w:val="21"/>
              </w:rPr>
              <w:t>2</w:t>
            </w:r>
            <w:r>
              <w:rPr>
                <w:rFonts w:hint="eastAsia" w:ascii="仿宋" w:hAnsi="仿宋" w:cs="仿宋"/>
                <w:color w:val="auto"/>
                <w:sz w:val="21"/>
                <w:szCs w:val="21"/>
              </w:rPr>
              <w:t>.推进渝西水资源配置工程建设，改善区域内资源性、工程性缺水问题。大力实施中水回用，节约有限水资源。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restar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大足区重点管控单元-太平河漫水桥</w:t>
            </w:r>
          </w:p>
        </w:tc>
        <w:tc>
          <w:tcPr>
            <w:tcW w:w="645" w:type="pct"/>
            <w:vMerge w:val="restar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重点管控单元2</w:t>
            </w:r>
          </w:p>
        </w:tc>
        <w:tc>
          <w:tcPr>
            <w:tcW w:w="585" w:type="pct"/>
            <w:vMerge w:val="restar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太平河水环境工业—城镇生活污染重点管控区；</w:t>
            </w:r>
          </w:p>
          <w:p>
            <w:pPr>
              <w:pStyle w:val="9"/>
              <w:spacing w:line="280" w:lineRule="exact"/>
              <w:rPr>
                <w:rFonts w:ascii="仿宋" w:hAnsi="仿宋" w:cs="仿宋"/>
                <w:color w:val="auto"/>
                <w:sz w:val="21"/>
                <w:szCs w:val="21"/>
              </w:rPr>
            </w:pPr>
            <w:r>
              <w:rPr>
                <w:rFonts w:hint="eastAsia" w:ascii="仿宋" w:hAnsi="仿宋" w:cs="仿宋"/>
                <w:color w:val="auto"/>
                <w:sz w:val="21"/>
                <w:szCs w:val="21"/>
              </w:rPr>
              <w:t>双桥工业园、邮亭工业园为大气环境高排放重点管控区；</w:t>
            </w:r>
          </w:p>
          <w:p>
            <w:pPr>
              <w:pStyle w:val="9"/>
              <w:spacing w:line="280" w:lineRule="exact"/>
              <w:rPr>
                <w:rFonts w:ascii="仿宋" w:hAnsi="仿宋" w:cs="仿宋"/>
                <w:color w:val="auto"/>
                <w:sz w:val="21"/>
                <w:szCs w:val="21"/>
              </w:rPr>
            </w:pPr>
            <w:r>
              <w:rPr>
                <w:rFonts w:hint="eastAsia" w:ascii="仿宋" w:hAnsi="仿宋" w:cs="仿宋"/>
                <w:color w:val="auto"/>
                <w:sz w:val="21"/>
                <w:szCs w:val="21"/>
              </w:rPr>
              <w:t>龙滩子街道、通桥街道为大气环境受体敏感重点管控区。</w:t>
            </w:r>
          </w:p>
        </w:tc>
        <w:tc>
          <w:tcPr>
            <w:tcW w:w="1130" w:type="pct"/>
            <w:vMerge w:val="restart"/>
            <w:tcBorders>
              <w:top w:val="single" w:color="auto" w:sz="4" w:space="0"/>
              <w:left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执行大气环境受体敏感区、高排放区类别相应市级、主城西片区总体管控要求。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40" w:lineRule="exact"/>
              <w:rPr>
                <w:rFonts w:ascii="仿宋" w:hAnsi="仿宋" w:cs="仿宋"/>
                <w:color w:val="auto"/>
                <w:sz w:val="21"/>
                <w:szCs w:val="21"/>
              </w:rPr>
            </w:pPr>
            <w:r>
              <w:rPr>
                <w:rFonts w:hint="eastAsia" w:ascii="仿宋" w:hAnsi="仿宋" w:cs="仿宋"/>
                <w:color w:val="auto"/>
                <w:sz w:val="21"/>
                <w:szCs w:val="21"/>
              </w:rPr>
              <w:t>1.双桥工业园区工业用地与居住用地之间设置绿化隔离带；艾诺斯电池等现有企业应严格管控环境防护距离。</w:t>
            </w:r>
          </w:p>
          <w:p>
            <w:pPr>
              <w:pStyle w:val="9"/>
              <w:spacing w:line="240" w:lineRule="exact"/>
              <w:rPr>
                <w:color w:val="auto"/>
              </w:rPr>
            </w:pPr>
            <w:r>
              <w:rPr>
                <w:rFonts w:hint="eastAsia" w:ascii="仿宋" w:hAnsi="仿宋" w:cs="仿宋"/>
                <w:color w:val="auto"/>
                <w:sz w:val="21"/>
                <w:szCs w:val="21"/>
              </w:rPr>
              <w:t>2</w:t>
            </w:r>
            <w:r>
              <w:rPr>
                <w:rFonts w:ascii="仿宋" w:hAnsi="仿宋" w:cs="仿宋"/>
                <w:color w:val="auto"/>
                <w:sz w:val="21"/>
                <w:szCs w:val="21"/>
              </w:rPr>
              <w:t>.</w:t>
            </w:r>
            <w:r>
              <w:rPr>
                <w:rFonts w:hint="eastAsia" w:ascii="仿宋" w:hAnsi="仿宋" w:cs="仿宋"/>
                <w:color w:val="auto"/>
                <w:sz w:val="21"/>
                <w:szCs w:val="21"/>
              </w:rPr>
              <w:t>邮亭工业园A区</w:t>
            </w:r>
            <w:r>
              <w:rPr>
                <w:rFonts w:hint="eastAsia" w:cs="仿宋"/>
                <w:bCs/>
                <w:color w:val="auto"/>
                <w:sz w:val="22"/>
                <w:szCs w:val="22"/>
                <w:lang w:bidi="ar"/>
              </w:rPr>
              <w:t>再生铅</w:t>
            </w:r>
            <w:r>
              <w:rPr>
                <w:rFonts w:hint="eastAsia" w:cs="仿宋"/>
                <w:bCs/>
                <w:color w:val="auto"/>
                <w:kern w:val="2"/>
                <w:sz w:val="22"/>
                <w:szCs w:val="22"/>
                <w:lang w:bidi="ar"/>
              </w:rPr>
              <w:t>企业</w:t>
            </w:r>
            <w:r>
              <w:rPr>
                <w:rFonts w:hint="eastAsia" w:ascii="仿宋" w:hAnsi="仿宋" w:cs="仿宋"/>
                <w:color w:val="auto"/>
                <w:sz w:val="21"/>
                <w:szCs w:val="21"/>
              </w:rPr>
              <w:t>与环境敏感点应设置不小于1公里的环境防护距离；智伦电镀园区等企业严格管控环境防护距离。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污染物排放管控</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40" w:lineRule="exact"/>
              <w:rPr>
                <w:rFonts w:ascii="仿宋" w:hAnsi="仿宋" w:cs="仿宋"/>
                <w:color w:val="auto"/>
                <w:sz w:val="21"/>
                <w:szCs w:val="21"/>
              </w:rPr>
            </w:pPr>
            <w:r>
              <w:rPr>
                <w:rFonts w:hint="eastAsia" w:ascii="仿宋" w:hAnsi="仿宋" w:cs="仿宋"/>
                <w:color w:val="auto"/>
                <w:sz w:val="21"/>
                <w:szCs w:val="21"/>
              </w:rPr>
              <w:t>1.在太平河流域水质达标前，新增总磷污染物的工业项目，须在区域内实行等量削减。</w:t>
            </w:r>
          </w:p>
          <w:p>
            <w:pPr>
              <w:pStyle w:val="9"/>
              <w:spacing w:line="240" w:lineRule="exact"/>
              <w:rPr>
                <w:rFonts w:ascii="仿宋" w:hAnsi="仿宋" w:cs="仿宋"/>
                <w:color w:val="auto"/>
                <w:sz w:val="21"/>
                <w:szCs w:val="21"/>
              </w:rPr>
            </w:pPr>
            <w:r>
              <w:rPr>
                <w:rFonts w:hint="eastAsia" w:ascii="仿宋" w:hAnsi="仿宋" w:cs="仿宋"/>
                <w:color w:val="auto"/>
                <w:sz w:val="21"/>
                <w:szCs w:val="21"/>
              </w:rPr>
              <w:t>2.太平河流域内新建城镇污水处理设施要执行一级A排放标准。包括邮亭镇污水处理厂在内的现有集中式污水处理设施应逐步进行提标改造，排水执行一级A排放标准。</w:t>
            </w:r>
          </w:p>
          <w:p>
            <w:pPr>
              <w:pStyle w:val="9"/>
              <w:spacing w:line="240" w:lineRule="exact"/>
              <w:rPr>
                <w:rFonts w:ascii="仿宋" w:hAnsi="仿宋" w:cs="仿宋"/>
                <w:color w:val="auto"/>
                <w:sz w:val="21"/>
                <w:szCs w:val="21"/>
              </w:rPr>
            </w:pPr>
            <w:r>
              <w:rPr>
                <w:rFonts w:hint="eastAsia" w:ascii="仿宋" w:hAnsi="仿宋" w:cs="仿宋"/>
                <w:color w:val="auto"/>
                <w:sz w:val="21"/>
                <w:szCs w:val="21"/>
              </w:rPr>
              <w:t>3.加强对废气尤其是有毒及恶臭气体的收集和处理率。新建、改建、扩建涉VOCs排放的项目，要加强源头控制，使用低（无）VOCs含量的原辅料，加强废气收集，安装高效治理设施。鼓励</w:t>
            </w:r>
            <w:r>
              <w:rPr>
                <w:rFonts w:ascii="仿宋" w:hAnsi="仿宋" w:cs="仿宋"/>
                <w:color w:val="auto"/>
                <w:sz w:val="21"/>
                <w:szCs w:val="21"/>
              </w:rPr>
              <w:t>推广使用符合环保要求的高固体分、水性涂料、粉末涂料、紫外光固化涂料</w:t>
            </w: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环境风险防控</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40" w:lineRule="exact"/>
              <w:rPr>
                <w:rFonts w:ascii="仿宋" w:hAnsi="仿宋" w:cs="仿宋"/>
                <w:color w:val="auto"/>
                <w:sz w:val="21"/>
                <w:szCs w:val="21"/>
              </w:rPr>
            </w:pPr>
            <w:r>
              <w:rPr>
                <w:rFonts w:ascii="仿宋" w:hAnsi="仿宋" w:cs="仿宋"/>
                <w:color w:val="auto"/>
                <w:sz w:val="21"/>
                <w:szCs w:val="21"/>
              </w:rPr>
              <w:t>1.</w:t>
            </w:r>
            <w:r>
              <w:rPr>
                <w:rFonts w:hint="eastAsia" w:ascii="仿宋" w:hAnsi="仿宋" w:cs="仿宋"/>
                <w:color w:val="auto"/>
                <w:sz w:val="21"/>
                <w:szCs w:val="21"/>
              </w:rPr>
              <w:t xml:space="preserve"> 区域内重金属污染防控地块3块：</w:t>
            </w:r>
            <w:r>
              <w:rPr>
                <w:rFonts w:hint="eastAsia" w:ascii="仿宋" w:hAnsi="仿宋" w:cs="宋体"/>
                <w:color w:val="auto"/>
                <w:sz w:val="21"/>
                <w:szCs w:val="21"/>
              </w:rPr>
              <w:t>艾诺斯（重庆）华达电源系统有限公司</w:t>
            </w:r>
            <w:r>
              <w:rPr>
                <w:rFonts w:hint="eastAsia" w:ascii="仿宋" w:hAnsi="仿宋" w:eastAsia="等线" w:cs="宋体"/>
                <w:color w:val="auto"/>
                <w:sz w:val="21"/>
                <w:szCs w:val="21"/>
              </w:rPr>
              <w:t>、</w:t>
            </w:r>
            <w:r>
              <w:rPr>
                <w:rFonts w:hint="eastAsia" w:ascii="仿宋" w:hAnsi="仿宋" w:cs="宋体"/>
                <w:color w:val="auto"/>
                <w:sz w:val="21"/>
                <w:szCs w:val="21"/>
              </w:rPr>
              <w:t>重庆德能再生资源股份有限公司</w:t>
            </w:r>
            <w:r>
              <w:rPr>
                <w:rFonts w:hint="eastAsia" w:ascii="仿宋" w:hAnsi="仿宋" w:eastAsia="等线" w:cs="宋体"/>
                <w:color w:val="auto"/>
                <w:sz w:val="21"/>
                <w:szCs w:val="21"/>
              </w:rPr>
              <w:t>、</w:t>
            </w:r>
            <w:r>
              <w:rPr>
                <w:rFonts w:hint="eastAsia" w:ascii="仿宋" w:hAnsi="仿宋" w:cs="宋体"/>
                <w:color w:val="auto"/>
                <w:sz w:val="21"/>
                <w:szCs w:val="21"/>
              </w:rPr>
              <w:t>重庆智伦电镀有限公司，企业应严控重金属污染物排放，严格按排污自行监测规范要求，开展土壤环境现状监测，严格管控土壤环境风险。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资源开发效率要求</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ascii="仿宋" w:hAnsi="仿宋" w:cs="仿宋"/>
                <w:color w:val="auto"/>
                <w:sz w:val="21"/>
                <w:szCs w:val="21"/>
              </w:rPr>
              <w:t>1</w:t>
            </w:r>
            <w:r>
              <w:rPr>
                <w:rFonts w:hint="eastAsia" w:ascii="仿宋" w:hAnsi="仿宋" w:cs="仿宋"/>
                <w:color w:val="auto"/>
                <w:sz w:val="21"/>
                <w:szCs w:val="21"/>
              </w:rPr>
              <w:t>.龙滩子、双路、通桥街道辖区禁止新建使用煤、重油等为高污染燃料的工业项目。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trPr>
        <w:tc>
          <w:tcPr>
            <w:tcW w:w="812" w:type="pct"/>
            <w:vMerge w:val="restart"/>
            <w:tcBorders>
              <w:top w:val="single" w:color="auto" w:sz="4" w:space="0"/>
              <w:left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大足区重点管控单元-淮远河玉峡渡口</w:t>
            </w:r>
          </w:p>
        </w:tc>
        <w:tc>
          <w:tcPr>
            <w:tcW w:w="645" w:type="pct"/>
            <w:vMerge w:val="restart"/>
            <w:tcBorders>
              <w:top w:val="single" w:color="auto" w:sz="4" w:space="0"/>
              <w:left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重点管控单元3</w:t>
            </w:r>
          </w:p>
          <w:p>
            <w:pPr>
              <w:pStyle w:val="9"/>
              <w:spacing w:line="280" w:lineRule="exact"/>
              <w:rPr>
                <w:rFonts w:ascii="仿宋" w:hAnsi="仿宋" w:cs="仿宋"/>
                <w:color w:val="auto"/>
                <w:sz w:val="21"/>
                <w:szCs w:val="21"/>
              </w:rPr>
            </w:pPr>
          </w:p>
        </w:tc>
        <w:tc>
          <w:tcPr>
            <w:tcW w:w="585" w:type="pct"/>
            <w:vMerge w:val="restart"/>
            <w:tcBorders>
              <w:top w:val="single" w:color="auto" w:sz="4" w:space="0"/>
              <w:left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水环境工业—城镇生活污染重点管控区；</w:t>
            </w:r>
          </w:p>
          <w:p>
            <w:pPr>
              <w:pStyle w:val="9"/>
              <w:spacing w:line="280" w:lineRule="exact"/>
              <w:rPr>
                <w:rFonts w:ascii="仿宋" w:hAnsi="仿宋" w:cs="仿宋"/>
                <w:color w:val="auto"/>
                <w:sz w:val="21"/>
                <w:szCs w:val="21"/>
              </w:rPr>
            </w:pPr>
            <w:r>
              <w:rPr>
                <w:rFonts w:hint="eastAsia" w:ascii="仿宋" w:hAnsi="仿宋" w:cs="仿宋"/>
                <w:color w:val="auto"/>
                <w:sz w:val="21"/>
                <w:szCs w:val="21"/>
              </w:rPr>
              <w:t>大足高新区大气环境高排放重点管控区。</w:t>
            </w:r>
          </w:p>
        </w:tc>
        <w:tc>
          <w:tcPr>
            <w:tcW w:w="1130" w:type="pct"/>
            <w:vMerge w:val="restart"/>
            <w:tcBorders>
              <w:top w:val="single" w:color="auto" w:sz="4" w:space="0"/>
              <w:left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执行高排放区类别相应市级、主城西片区总体管控要求。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1.引入的锶盐精细化工项目应科学论证，合理确定环境防护距离。</w:t>
            </w:r>
          </w:p>
          <w:p>
            <w:pPr>
              <w:pStyle w:val="9"/>
              <w:spacing w:line="280" w:lineRule="exact"/>
              <w:rPr>
                <w:rFonts w:ascii="仿宋" w:hAnsi="仿宋" w:cs="仿宋"/>
                <w:color w:val="auto"/>
                <w:sz w:val="21"/>
                <w:szCs w:val="21"/>
              </w:rPr>
            </w:pPr>
            <w:r>
              <w:rPr>
                <w:rFonts w:ascii="仿宋" w:hAnsi="仿宋" w:cs="仿宋"/>
                <w:color w:val="auto"/>
                <w:sz w:val="21"/>
                <w:szCs w:val="21"/>
              </w:rPr>
              <w:t>2.</w:t>
            </w:r>
            <w:r>
              <w:rPr>
                <w:rFonts w:hint="eastAsia" w:ascii="仿宋" w:hAnsi="仿宋" w:cs="仿宋"/>
                <w:color w:val="auto"/>
                <w:sz w:val="21"/>
                <w:szCs w:val="21"/>
              </w:rPr>
              <w:t>工业用地与规划居住用地、科研教育用地之间应设置合理的环境防护距离。临近科研教育用地、居住区、学校等地块不应布置涉及大气及噪声污染较重的项目。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trPr>
        <w:tc>
          <w:tcPr>
            <w:tcW w:w="812" w:type="pct"/>
            <w:vMerge w:val="continue"/>
            <w:tcBorders>
              <w:left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left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left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污染物排放管控</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1.加快万古城镇污水处理厂扩容提质改造及其配套设施建设工程，完善各城镇污水管网建设工程，逐年提高污水收集率。完善畜禽养殖场雨污分流、粪便污水治理及资源化利用设施，加强农村散排生活垃圾治理。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1" w:hRule="atLeast"/>
        </w:trPr>
        <w:tc>
          <w:tcPr>
            <w:tcW w:w="812" w:type="pct"/>
            <w:vMerge w:val="continue"/>
            <w:tcBorders>
              <w:left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left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left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环境风险防控</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ascii="仿宋" w:hAnsi="仿宋" w:cs="仿宋"/>
                <w:color w:val="auto"/>
                <w:sz w:val="21"/>
                <w:szCs w:val="21"/>
              </w:rPr>
              <w:t>1.</w:t>
            </w:r>
            <w:r>
              <w:rPr>
                <w:rFonts w:hint="eastAsia" w:ascii="仿宋" w:hAnsi="仿宋" w:cs="仿宋"/>
                <w:color w:val="auto"/>
                <w:sz w:val="21"/>
                <w:szCs w:val="21"/>
              </w:rPr>
              <w:t>园区按要求开展突发环境事件风险评估。制定重庆市环境风险防范协调联动工作机制，实现园区环境风险防控规范化建设，严格管控入驻企业的环境风险。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资源开发效率要求</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1.新建项目优先采用天然气、电、液化气等清洁能源; 禁止新建</w:t>
            </w:r>
            <w:r>
              <w:rPr>
                <w:rFonts w:ascii="仿宋" w:hAnsi="仿宋" w:cs="仿宋"/>
                <w:color w:val="auto"/>
                <w:sz w:val="21"/>
                <w:szCs w:val="21"/>
              </w:rPr>
              <w:t>20</w:t>
            </w:r>
            <w:r>
              <w:rPr>
                <w:rFonts w:hint="eastAsia" w:ascii="仿宋" w:hAnsi="仿宋" w:cs="仿宋"/>
                <w:color w:val="auto"/>
                <w:sz w:val="21"/>
                <w:szCs w:val="21"/>
              </w:rPr>
              <w:t>蒸吨</w:t>
            </w:r>
            <w:r>
              <w:rPr>
                <w:rFonts w:ascii="仿宋" w:hAnsi="仿宋" w:cs="仿宋"/>
                <w:color w:val="auto"/>
                <w:sz w:val="21"/>
                <w:szCs w:val="21"/>
              </w:rPr>
              <w:t>/</w:t>
            </w:r>
            <w:r>
              <w:rPr>
                <w:rFonts w:hint="eastAsia" w:ascii="仿宋" w:hAnsi="仿宋" w:cs="仿宋"/>
                <w:color w:val="auto"/>
                <w:sz w:val="21"/>
                <w:szCs w:val="21"/>
              </w:rPr>
              <w:t>小时及以下的燃煤锅炉，要求使用低硫、低灰分及洁净煤燃烧技术。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cs="仿宋"/>
              </w:rPr>
            </w:pPr>
            <w:r>
              <w:rPr>
                <w:rFonts w:hint="eastAsia" w:ascii="仿宋" w:hAnsi="仿宋" w:cs="仿宋"/>
              </w:rPr>
              <w:t>大足区城镇开发边界</w:t>
            </w:r>
          </w:p>
        </w:tc>
        <w:tc>
          <w:tcPr>
            <w:tcW w:w="645" w:type="pct"/>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cs="仿宋"/>
              </w:rPr>
            </w:pPr>
            <w:r>
              <w:rPr>
                <w:rFonts w:hint="eastAsia" w:ascii="仿宋" w:hAnsi="仿宋" w:cs="仿宋"/>
              </w:rPr>
              <w:t>重点管控单元4</w:t>
            </w:r>
          </w:p>
        </w:tc>
        <w:tc>
          <w:tcPr>
            <w:tcW w:w="585" w:type="pct"/>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cs="仿宋"/>
              </w:rPr>
            </w:pPr>
            <w:r>
              <w:rPr>
                <w:rFonts w:hint="eastAsia" w:ascii="仿宋" w:hAnsi="仿宋" w:cs="仿宋"/>
              </w:rPr>
              <w:t>城镇开发边界</w:t>
            </w:r>
            <w:r>
              <w:rPr>
                <w:bCs/>
              </w:rPr>
              <w:t>/大气受体敏感重点管控区</w:t>
            </w:r>
          </w:p>
        </w:tc>
        <w:tc>
          <w:tcPr>
            <w:tcW w:w="1130" w:type="pct"/>
            <w:vMerge w:val="restart"/>
            <w:tcBorders>
              <w:top w:val="single" w:color="auto" w:sz="4" w:space="0"/>
              <w:left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执行受体敏感区类别相应市级、主城西片区总体管控要求。</w:t>
            </w: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ascii="仿宋" w:hAnsi="仿宋" w:cs="仿宋"/>
                <w:color w:val="auto"/>
                <w:sz w:val="21"/>
                <w:szCs w:val="21"/>
              </w:rPr>
              <w:t>1.</w:t>
            </w:r>
            <w:r>
              <w:rPr>
                <w:rFonts w:hint="eastAsia" w:ascii="仿宋" w:hAnsi="仿宋" w:cs="仿宋"/>
                <w:color w:val="auto"/>
                <w:sz w:val="21"/>
                <w:szCs w:val="21"/>
              </w:rPr>
              <w:t>除技术升级改造外，禁止新建、扩建工业项目，现有工业项目应逐步迁入工业园区或工业集聚区。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left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left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left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污染物排放管控</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1.全面执行施工工地扬尘控制规范，落实六项强制规定。严格落实“定车辆、定线路、定渣场”，控制建筑渣土消纳场扬尘。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left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left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left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环境风险防控</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资源开发效率要求</w:t>
            </w:r>
          </w:p>
        </w:tc>
        <w:tc>
          <w:tcPr>
            <w:tcW w:w="1215" w:type="pct"/>
            <w:tcBorders>
              <w:top w:val="single" w:color="auto" w:sz="4" w:space="0"/>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bookmarkStart w:id="0" w:name="_Hlk24113154"/>
            <w:r>
              <w:rPr>
                <w:rFonts w:hint="eastAsia" w:ascii="仿宋" w:hAnsi="仿宋" w:cs="仿宋"/>
                <w:color w:val="auto"/>
                <w:sz w:val="21"/>
                <w:szCs w:val="21"/>
              </w:rPr>
              <w:t>大足区一般管控单元-窟窿河宝兴</w:t>
            </w:r>
          </w:p>
        </w:tc>
        <w:tc>
          <w:tcPr>
            <w:tcW w:w="64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一般管控单元1</w:t>
            </w:r>
          </w:p>
        </w:tc>
        <w:tc>
          <w:tcPr>
            <w:tcW w:w="58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水环境一般管控区</w:t>
            </w:r>
          </w:p>
          <w:p>
            <w:pPr>
              <w:pStyle w:val="9"/>
              <w:spacing w:line="280" w:lineRule="exact"/>
              <w:rPr>
                <w:rFonts w:ascii="仿宋" w:hAnsi="仿宋" w:cs="仿宋"/>
                <w:color w:val="auto"/>
                <w:sz w:val="21"/>
                <w:szCs w:val="21"/>
              </w:rPr>
            </w:pPr>
            <w:r>
              <w:rPr>
                <w:rFonts w:hint="eastAsia" w:ascii="仿宋" w:hAnsi="仿宋" w:cs="仿宋"/>
                <w:color w:val="auto"/>
                <w:sz w:val="21"/>
                <w:szCs w:val="21"/>
              </w:rPr>
              <w:t>、大气环境一般管控区</w:t>
            </w:r>
          </w:p>
        </w:tc>
        <w:tc>
          <w:tcPr>
            <w:tcW w:w="1130" w:type="pct"/>
            <w:vMerge w:val="restart"/>
            <w:tcBorders>
              <w:top w:val="single" w:color="auto" w:sz="4" w:space="0"/>
              <w:left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1.按照“畜禽养殖”三区要求，有计划搬迁或者关闭禁养区内畜禽养殖场。</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污染物排放管控</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1.推进污水次级管网建设。对流域内三驱、季家等9个镇污水二三级管网实施延伸和改造。</w:t>
            </w:r>
          </w:p>
          <w:p>
            <w:pPr>
              <w:pStyle w:val="9"/>
              <w:spacing w:line="280" w:lineRule="exact"/>
              <w:rPr>
                <w:rFonts w:ascii="仿宋" w:hAnsi="仿宋" w:cs="仿宋"/>
                <w:color w:val="auto"/>
                <w:sz w:val="21"/>
                <w:szCs w:val="21"/>
              </w:rPr>
            </w:pPr>
            <w:r>
              <w:rPr>
                <w:rFonts w:hint="eastAsia" w:ascii="仿宋" w:hAnsi="仿宋" w:cs="仿宋"/>
                <w:color w:val="auto"/>
                <w:sz w:val="21"/>
                <w:szCs w:val="21"/>
              </w:rPr>
              <w:t>2.加强农业面源污染治理。严禁过度养殖、肥水养殖。</w:t>
            </w:r>
          </w:p>
          <w:p>
            <w:pPr>
              <w:pStyle w:val="9"/>
              <w:spacing w:line="280" w:lineRule="exact"/>
              <w:rPr>
                <w:rFonts w:ascii="仿宋" w:hAnsi="仿宋" w:cs="仿宋"/>
                <w:color w:val="auto"/>
                <w:sz w:val="21"/>
                <w:szCs w:val="21"/>
              </w:rPr>
            </w:pPr>
            <w:r>
              <w:rPr>
                <w:rFonts w:hint="eastAsia" w:ascii="仿宋" w:hAnsi="仿宋" w:cs="仿宋"/>
                <w:color w:val="auto"/>
                <w:sz w:val="21"/>
                <w:szCs w:val="21"/>
              </w:rPr>
              <w:t>3</w:t>
            </w:r>
            <w:r>
              <w:rPr>
                <w:rFonts w:ascii="仿宋" w:hAnsi="仿宋" w:cs="仿宋"/>
                <w:color w:val="auto"/>
                <w:sz w:val="21"/>
                <w:szCs w:val="21"/>
              </w:rPr>
              <w:t>.</w:t>
            </w:r>
            <w:r>
              <w:rPr>
                <w:rFonts w:hint="eastAsia" w:ascii="仿宋" w:hAnsi="仿宋" w:cs="仿宋"/>
                <w:color w:val="auto"/>
                <w:sz w:val="21"/>
                <w:szCs w:val="21"/>
                <w:lang w:bidi="en-US"/>
              </w:rPr>
              <w:t>在玉滩水库水质未达标前，严格限制新增超标水污染</w:t>
            </w:r>
            <w:r>
              <w:rPr>
                <w:rFonts w:hint="eastAsia" w:ascii="仿宋" w:hAnsi="仿宋" w:cs="仿宋"/>
                <w:color w:val="auto"/>
                <w:sz w:val="21"/>
                <w:szCs w:val="21"/>
              </w:rPr>
              <w:t>因子</w:t>
            </w:r>
            <w:r>
              <w:rPr>
                <w:rFonts w:hint="eastAsia" w:ascii="仿宋" w:hAnsi="仿宋" w:cs="仿宋"/>
                <w:color w:val="auto"/>
                <w:sz w:val="21"/>
                <w:szCs w:val="21"/>
                <w:lang w:bidi="en-US"/>
              </w:rPr>
              <w:t>的工业项目。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环境风险防控</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资源开发效率要求</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大足区一般管控单元-濑溪河化龙水库</w:t>
            </w:r>
          </w:p>
        </w:tc>
        <w:tc>
          <w:tcPr>
            <w:tcW w:w="64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一般管控单元2</w:t>
            </w:r>
          </w:p>
        </w:tc>
        <w:tc>
          <w:tcPr>
            <w:tcW w:w="58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水环境一般管控区、除宝顶镇为高污染燃料禁燃区内、其余为大气环境一般管控区</w:t>
            </w:r>
          </w:p>
        </w:tc>
        <w:tc>
          <w:tcPr>
            <w:tcW w:w="1130" w:type="pct"/>
            <w:vMerge w:val="restart"/>
            <w:tcBorders>
              <w:top w:val="single" w:color="auto" w:sz="4" w:space="0"/>
              <w:left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1.按照“畜禽养殖”三区要求，有计划搬迁或者关闭禁养区内畜禽养殖场。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污染物排放管控</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1.加快推进建制镇合流制排水系统的雨污分流改造雨污管网，难以改造的，应采取截流、调蓄和治理等措施。</w:t>
            </w:r>
          </w:p>
          <w:p>
            <w:pPr>
              <w:pStyle w:val="9"/>
              <w:spacing w:line="280" w:lineRule="exact"/>
              <w:rPr>
                <w:rFonts w:ascii="仿宋" w:hAnsi="仿宋" w:cs="仿宋"/>
                <w:color w:val="auto"/>
                <w:sz w:val="21"/>
                <w:szCs w:val="21"/>
              </w:rPr>
            </w:pPr>
            <w:r>
              <w:rPr>
                <w:rFonts w:hint="eastAsia" w:ascii="仿宋" w:hAnsi="仿宋" w:cs="仿宋"/>
                <w:color w:val="auto"/>
                <w:sz w:val="21"/>
                <w:szCs w:val="21"/>
              </w:rPr>
              <w:t>2.加强农业面源污染治理。严禁过度养殖、肥水养殖。</w:t>
            </w:r>
          </w:p>
          <w:p>
            <w:pPr>
              <w:pStyle w:val="9"/>
              <w:spacing w:line="280" w:lineRule="exact"/>
              <w:rPr>
                <w:rFonts w:ascii="仿宋" w:hAnsi="仿宋" w:cs="仿宋"/>
                <w:color w:val="auto"/>
                <w:sz w:val="21"/>
                <w:szCs w:val="21"/>
              </w:rPr>
            </w:pPr>
            <w:r>
              <w:rPr>
                <w:rFonts w:hint="eastAsia" w:ascii="仿宋" w:hAnsi="仿宋" w:cs="仿宋"/>
                <w:color w:val="auto"/>
                <w:sz w:val="21"/>
                <w:szCs w:val="21"/>
              </w:rPr>
              <w:t>3.在玉滩水库水质未达标前，严格限制新增超标水污染因子的工业项目。</w:t>
            </w:r>
          </w:p>
          <w:p>
            <w:pPr>
              <w:pStyle w:val="9"/>
              <w:spacing w:line="280" w:lineRule="exact"/>
              <w:rPr>
                <w:rFonts w:ascii="仿宋" w:hAnsi="仿宋" w:cs="仿宋"/>
                <w:color w:val="auto"/>
                <w:sz w:val="21"/>
                <w:szCs w:val="21"/>
              </w:rPr>
            </w:pPr>
            <w:r>
              <w:rPr>
                <w:rFonts w:hint="eastAsia" w:ascii="仿宋" w:hAnsi="仿宋" w:cs="仿宋"/>
                <w:color w:val="auto"/>
                <w:sz w:val="21"/>
                <w:szCs w:val="21"/>
              </w:rPr>
              <w:t>4.宝顶镇严格实行高污染燃料禁燃区相关管控要求。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环境风险防控</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资源开发效率要求</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大足区一般管控单元-濑溪河上游水库</w:t>
            </w:r>
          </w:p>
        </w:tc>
        <w:tc>
          <w:tcPr>
            <w:tcW w:w="64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一般管控单元3</w:t>
            </w:r>
          </w:p>
        </w:tc>
        <w:tc>
          <w:tcPr>
            <w:tcW w:w="58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水环境一般管控区</w:t>
            </w:r>
          </w:p>
          <w:p>
            <w:pPr>
              <w:pStyle w:val="9"/>
              <w:spacing w:line="280" w:lineRule="exact"/>
              <w:rPr>
                <w:rFonts w:ascii="仿宋" w:hAnsi="仿宋" w:cs="仿宋"/>
                <w:color w:val="auto"/>
                <w:sz w:val="21"/>
                <w:szCs w:val="21"/>
              </w:rPr>
            </w:pPr>
            <w:r>
              <w:rPr>
                <w:rFonts w:hint="eastAsia" w:ascii="仿宋" w:hAnsi="仿宋" w:cs="仿宋"/>
                <w:color w:val="auto"/>
                <w:sz w:val="21"/>
                <w:szCs w:val="21"/>
              </w:rPr>
              <w:t>、大气环境一般管控区</w:t>
            </w:r>
          </w:p>
        </w:tc>
        <w:tc>
          <w:tcPr>
            <w:tcW w:w="1130" w:type="pct"/>
            <w:vMerge w:val="restart"/>
            <w:tcBorders>
              <w:top w:val="single" w:color="auto" w:sz="4" w:space="0"/>
              <w:left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1.按照“畜禽养殖”三区要求，有计划搬迁或者关闭禁养区内畜禽养殖场。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污染物排放管控</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1.加强农业面源污染治理。严禁过度养殖、肥水养殖。</w:t>
            </w:r>
          </w:p>
          <w:p>
            <w:pPr>
              <w:pStyle w:val="9"/>
              <w:spacing w:line="280" w:lineRule="exact"/>
              <w:rPr>
                <w:rFonts w:ascii="仿宋" w:hAnsi="仿宋" w:cs="仿宋"/>
                <w:color w:val="auto"/>
                <w:sz w:val="21"/>
                <w:szCs w:val="21"/>
              </w:rPr>
            </w:pPr>
            <w:r>
              <w:rPr>
                <w:rFonts w:hint="eastAsia" w:ascii="仿宋" w:hAnsi="仿宋" w:cs="仿宋"/>
                <w:color w:val="auto"/>
                <w:sz w:val="21"/>
                <w:szCs w:val="21"/>
              </w:rPr>
              <w:t>2.加快推进建制镇合流制排水系统的雨污分流改造雨污管网，难以改造的，应采取截流、调蓄和治理等措施。</w:t>
            </w:r>
          </w:p>
          <w:p>
            <w:pPr>
              <w:pStyle w:val="9"/>
              <w:spacing w:line="280" w:lineRule="exact"/>
              <w:rPr>
                <w:rFonts w:ascii="仿宋" w:hAnsi="仿宋" w:cs="仿宋"/>
                <w:color w:val="auto"/>
                <w:sz w:val="21"/>
                <w:szCs w:val="21"/>
              </w:rPr>
            </w:pPr>
            <w:r>
              <w:rPr>
                <w:rFonts w:hint="eastAsia" w:ascii="仿宋" w:hAnsi="仿宋" w:cs="仿宋"/>
                <w:color w:val="auto"/>
                <w:sz w:val="21"/>
                <w:szCs w:val="21"/>
              </w:rPr>
              <w:t>3.在玉滩水库水质未达标前，</w:t>
            </w:r>
            <w:r>
              <w:rPr>
                <w:rFonts w:hint="eastAsia" w:ascii="仿宋" w:hAnsi="仿宋" w:cs="仿宋"/>
                <w:color w:val="auto"/>
                <w:sz w:val="21"/>
                <w:szCs w:val="21"/>
                <w:lang w:bidi="en-US"/>
              </w:rPr>
              <w:t>严格限制新增超标水污染</w:t>
            </w:r>
            <w:r>
              <w:rPr>
                <w:rFonts w:hint="eastAsia" w:ascii="仿宋" w:hAnsi="仿宋" w:cs="仿宋"/>
                <w:color w:val="auto"/>
                <w:sz w:val="21"/>
                <w:szCs w:val="21"/>
              </w:rPr>
              <w:t>因子</w:t>
            </w:r>
            <w:r>
              <w:rPr>
                <w:rFonts w:hint="eastAsia" w:ascii="仿宋" w:hAnsi="仿宋" w:cs="仿宋"/>
                <w:color w:val="auto"/>
                <w:sz w:val="21"/>
                <w:szCs w:val="21"/>
                <w:lang w:bidi="en-US"/>
              </w:rPr>
              <w:t>的工业项目</w:t>
            </w: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40" w:lineRule="exact"/>
              <w:rPr>
                <w:rFonts w:ascii="仿宋" w:hAnsi="仿宋" w:cs="仿宋"/>
                <w:color w:val="auto"/>
                <w:sz w:val="21"/>
                <w:szCs w:val="21"/>
              </w:rPr>
            </w:pPr>
            <w:r>
              <w:rPr>
                <w:rFonts w:hint="eastAsia" w:ascii="仿宋" w:hAnsi="仿宋" w:cs="仿宋"/>
                <w:color w:val="auto"/>
                <w:sz w:val="21"/>
                <w:szCs w:val="21"/>
              </w:rPr>
              <w:t>环境风险防控</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40" w:lineRule="exact"/>
              <w:rPr>
                <w:rFonts w:ascii="仿宋" w:hAnsi="仿宋" w:cs="仿宋"/>
                <w:color w:val="auto"/>
                <w:sz w:val="21"/>
                <w:szCs w:val="21"/>
              </w:rPr>
            </w:pPr>
            <w:r>
              <w:rPr>
                <w:rFonts w:hint="eastAsia" w:ascii="仿宋" w:hAnsi="仿宋" w:cs="仿宋"/>
                <w:color w:val="auto"/>
                <w:sz w:val="21"/>
                <w:szCs w:val="21"/>
              </w:rPr>
              <w:t>资源开发效率要求</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大足区一般管控单元-珠溪河界牌</w:t>
            </w:r>
          </w:p>
        </w:tc>
        <w:tc>
          <w:tcPr>
            <w:tcW w:w="64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一般管控单元4</w:t>
            </w:r>
          </w:p>
        </w:tc>
        <w:tc>
          <w:tcPr>
            <w:tcW w:w="58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水环境一般管控区、除珠溪镇为大气环境弱扩散重点管控区外、其余为大气环境一般管控区</w:t>
            </w:r>
          </w:p>
        </w:tc>
        <w:tc>
          <w:tcPr>
            <w:tcW w:w="1130" w:type="pct"/>
            <w:vMerge w:val="restart"/>
            <w:tcBorders>
              <w:top w:val="single" w:color="auto" w:sz="4" w:space="0"/>
              <w:left w:val="single" w:color="auto" w:sz="4" w:space="0"/>
              <w:right w:val="single" w:color="auto" w:sz="4" w:space="0"/>
            </w:tcBorders>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空间布局约束</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40" w:lineRule="exact"/>
              <w:rPr>
                <w:rFonts w:ascii="仿宋" w:hAnsi="仿宋" w:cs="仿宋"/>
                <w:color w:val="auto"/>
                <w:sz w:val="21"/>
                <w:szCs w:val="21"/>
              </w:rPr>
            </w:pPr>
            <w:r>
              <w:rPr>
                <w:rFonts w:hint="eastAsia" w:ascii="仿宋" w:hAnsi="仿宋" w:cs="仿宋"/>
                <w:color w:val="auto"/>
                <w:sz w:val="21"/>
                <w:szCs w:val="21"/>
              </w:rPr>
              <w:t>1.按照“畜禽养殖”三区要求，有计划搬迁或者关闭禁养区内畜禽养殖场。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污染物排放管控</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40" w:lineRule="exact"/>
              <w:rPr>
                <w:rFonts w:ascii="仿宋" w:hAnsi="仿宋" w:cs="仿宋"/>
                <w:color w:val="auto"/>
                <w:sz w:val="21"/>
                <w:szCs w:val="21"/>
              </w:rPr>
            </w:pPr>
            <w:r>
              <w:rPr>
                <w:rFonts w:hint="eastAsia" w:ascii="仿宋" w:hAnsi="仿宋" w:cs="仿宋"/>
                <w:color w:val="auto"/>
                <w:sz w:val="21"/>
                <w:szCs w:val="21"/>
              </w:rPr>
              <w:t>1.加强农业面源污染治理。严禁过度养殖、肥水养殖。</w:t>
            </w:r>
          </w:p>
          <w:p>
            <w:pPr>
              <w:pStyle w:val="9"/>
              <w:spacing w:line="240" w:lineRule="exact"/>
              <w:rPr>
                <w:rFonts w:ascii="仿宋" w:hAnsi="仿宋" w:cs="仿宋"/>
                <w:color w:val="auto"/>
                <w:sz w:val="21"/>
                <w:szCs w:val="21"/>
              </w:rPr>
            </w:pPr>
            <w:r>
              <w:rPr>
                <w:rFonts w:hint="eastAsia" w:ascii="仿宋" w:hAnsi="仿宋" w:cs="仿宋"/>
                <w:color w:val="auto"/>
                <w:sz w:val="21"/>
                <w:szCs w:val="21"/>
              </w:rPr>
              <w:t>2.加快推进建制镇合流制排水系统的雨污分流改造雨污管网，难以改造的，应采取截流、调蓄和治理等措施。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环境风险防控</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cs="仿宋"/>
              </w:rPr>
            </w:pPr>
          </w:p>
        </w:tc>
        <w:tc>
          <w:tcPr>
            <w:tcW w:w="1130" w:type="pct"/>
            <w:vMerge w:val="continue"/>
            <w:tcBorders>
              <w:left w:val="single" w:color="auto" w:sz="4" w:space="0"/>
              <w:bottom w:val="single" w:color="auto" w:sz="4" w:space="0"/>
              <w:right w:val="single" w:color="auto" w:sz="4" w:space="0"/>
            </w:tcBorders>
            <w:vAlign w:val="center"/>
          </w:tcPr>
          <w:p>
            <w:pPr>
              <w:pStyle w:val="9"/>
              <w:spacing w:line="280" w:lineRule="exact"/>
              <w:rPr>
                <w:rFonts w:ascii="仿宋" w:hAnsi="仿宋" w:cs="仿宋"/>
                <w:color w:val="auto"/>
                <w:sz w:val="21"/>
                <w:szCs w:val="21"/>
              </w:rPr>
            </w:pPr>
          </w:p>
        </w:tc>
        <w:tc>
          <w:tcPr>
            <w:tcW w:w="6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资源开发效率要求</w:t>
            </w:r>
          </w:p>
        </w:tc>
        <w:tc>
          <w:tcPr>
            <w:tcW w:w="121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
              <w:spacing w:line="280" w:lineRule="exact"/>
              <w:rPr>
                <w:rFonts w:ascii="仿宋" w:hAnsi="仿宋" w:cs="仿宋"/>
                <w:color w:val="auto"/>
                <w:sz w:val="21"/>
                <w:szCs w:val="21"/>
              </w:rPr>
            </w:pPr>
            <w:r>
              <w:rPr>
                <w:rFonts w:hint="eastAsia" w:ascii="仿宋" w:hAnsi="仿宋" w:cs="仿宋"/>
                <w:color w:val="auto"/>
                <w:sz w:val="21"/>
                <w:szCs w:val="21"/>
              </w:rPr>
              <w:t>\</w:t>
            </w:r>
          </w:p>
        </w:tc>
      </w:tr>
    </w:tbl>
    <w:p>
      <w:pPr>
        <w:pStyle w:val="6"/>
        <w:widowControl/>
        <w:adjustRightInd w:val="0"/>
        <w:snapToGrid w:val="0"/>
        <w:spacing w:line="400" w:lineRule="exact"/>
        <w:rPr>
          <w:rFonts w:cs="仿宋"/>
          <w:bCs/>
          <w:kern w:val="2"/>
          <w:sz w:val="22"/>
          <w:szCs w:val="2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WRhZjkyNDA4YmRhYTViN2E5YjAyM2Y5NDRlZTMifQ=="/>
  </w:docVars>
  <w:rsids>
    <w:rsidRoot w:val="7E8F1DC6"/>
    <w:rsid w:val="00395DD3"/>
    <w:rsid w:val="005F36A7"/>
    <w:rsid w:val="3ACD5C8A"/>
    <w:rsid w:val="561A7AC3"/>
    <w:rsid w:val="7E8F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jc w:val="center"/>
    </w:pPr>
    <w:rPr>
      <w:b/>
      <w:color w:val="FF0000"/>
      <w:sz w:val="44"/>
    </w:rPr>
  </w:style>
  <w:style w:type="paragraph" w:styleId="3">
    <w:name w:val="Body Text Indent"/>
    <w:qFormat/>
    <w:uiPriority w:val="0"/>
    <w:pPr>
      <w:widowControl w:val="0"/>
      <w:spacing w:line="560" w:lineRule="exact"/>
      <w:ind w:firstLine="645"/>
      <w:jc w:val="both"/>
    </w:pPr>
    <w:rPr>
      <w:rFonts w:ascii="仿宋_GB2312" w:hAnsi="方正仿宋_GBK" w:eastAsia="仿宋_GB2312" w:cs="Times New Roman"/>
      <w:color w:val="000000"/>
      <w:sz w:val="32"/>
      <w:szCs w:val="32"/>
      <w:lang w:val="en-US" w:eastAsia="zh-CN" w:bidi="ar-SA"/>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jc w:val="left"/>
    </w:pPr>
    <w:rPr>
      <w:kern w:val="0"/>
      <w:sz w:val="24"/>
    </w:rPr>
  </w:style>
  <w:style w:type="paragraph" w:customStyle="1" w:styleId="9">
    <w:name w:val="表格"/>
    <w:basedOn w:val="1"/>
    <w:next w:val="1"/>
    <w:qFormat/>
    <w:uiPriority w:val="0"/>
    <w:pPr>
      <w:adjustRightInd w:val="0"/>
      <w:jc w:val="center"/>
      <w:textAlignment w:val="baseline"/>
    </w:pPr>
    <w:rPr>
      <w:color w:val="000000"/>
      <w:spacing w:val="10"/>
      <w:kern w:val="0"/>
      <w:sz w:val="28"/>
      <w:szCs w:val="20"/>
    </w:rPr>
  </w:style>
  <w:style w:type="character" w:customStyle="1" w:styleId="10">
    <w:name w:val="页眉 Char"/>
    <w:basedOn w:val="8"/>
    <w:link w:val="5"/>
    <w:autoRedefine/>
    <w:qFormat/>
    <w:uiPriority w:val="0"/>
    <w:rPr>
      <w:rFonts w:ascii="Calibri" w:hAnsi="Calibri"/>
      <w:kern w:val="2"/>
      <w:sz w:val="18"/>
      <w:szCs w:val="18"/>
    </w:rPr>
  </w:style>
  <w:style w:type="character" w:customStyle="1" w:styleId="11">
    <w:name w:val="页脚 Char"/>
    <w:basedOn w:val="8"/>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16</Pages>
  <Words>6433</Words>
  <Characters>495</Characters>
  <Lines>4</Lines>
  <Paragraphs>13</Paragraphs>
  <TotalTime>0</TotalTime>
  <ScaleCrop>false</ScaleCrop>
  <LinksUpToDate>false</LinksUpToDate>
  <CharactersWithSpaces>6915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2020-09-10T02:34:00Z</dcterms:created>
  <dc:creator>Administrator</dc:creator>
  <cp:lastModifiedBy>Lucy</cp:lastModifiedBy>
  <cp:lastPrinted>2020-09-10T02:18:00Z</cp:lastPrinted>
  <dcterms:modified xsi:type="dcterms:W3CDTF">2023-12-26T09:00:49Z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20C9C78DBF0348CB9FEF10D6D1F998A8_12</vt:lpwstr>
  </property>
</Properties>
</file>