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80256">
      <w:pPr>
        <w:spacing w:line="600" w:lineRule="exact"/>
        <w:jc w:val="center"/>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重庆市大足区生态环境局</w:t>
      </w:r>
    </w:p>
    <w:p w14:paraId="60C700F6">
      <w:pPr>
        <w:spacing w:line="600" w:lineRule="exact"/>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lang w:val="en-US" w:eastAsia="zh-CN"/>
        </w:rPr>
        <w:t>2021年度整体支出</w:t>
      </w:r>
      <w:r>
        <w:rPr>
          <w:rFonts w:hint="eastAsia" w:ascii="方正小标宋_GBK" w:hAnsi="宋体" w:eastAsia="方正小标宋_GBK" w:cs="宋体"/>
          <w:sz w:val="44"/>
          <w:szCs w:val="44"/>
        </w:rPr>
        <w:t>绩效自评报告</w:t>
      </w:r>
    </w:p>
    <w:p w14:paraId="34D026E0">
      <w:pPr>
        <w:spacing w:line="600" w:lineRule="exact"/>
        <w:jc w:val="center"/>
        <w:rPr>
          <w:rFonts w:ascii="仿宋_GB2312"/>
          <w:szCs w:val="32"/>
        </w:rPr>
      </w:pPr>
    </w:p>
    <w:p w14:paraId="5279CD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一、</w:t>
      </w:r>
      <w:r>
        <w:rPr>
          <w:rFonts w:hint="eastAsia" w:ascii="方正黑体_GBK" w:hAnsi="黑体" w:eastAsia="方正黑体_GBK" w:cs="黑体"/>
          <w:bCs/>
          <w:szCs w:val="32"/>
          <w:lang w:val="en-US" w:eastAsia="zh-CN"/>
        </w:rPr>
        <w:t>基本情况</w:t>
      </w:r>
    </w:p>
    <w:p w14:paraId="1A833D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一</w:t>
      </w: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部门基本情况。</w:t>
      </w:r>
    </w:p>
    <w:p w14:paraId="23E1DBF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32"/>
          <w:highlight w:val="none"/>
          <w:lang w:val="en-US" w:eastAsia="zh-CN"/>
        </w:rPr>
        <w:t>1.</w:t>
      </w:r>
      <w:r>
        <w:rPr>
          <w:rFonts w:hint="eastAsia" w:ascii="方正仿宋_GBK" w:hAnsi="方正仿宋_GBK" w:eastAsia="方正仿宋_GBK" w:cs="方正仿宋_GBK"/>
          <w:sz w:val="32"/>
          <w:highlight w:val="none"/>
        </w:rPr>
        <w:t>职能职责。</w:t>
      </w:r>
    </w:p>
    <w:p w14:paraId="0BAFAB62">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0" w:firstLineChars="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重庆市大足区生态环境局的主要职责是：</w:t>
      </w:r>
    </w:p>
    <w:p w14:paraId="2B570C79">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负责贯彻执行国家生态环境基本制度。</w:t>
      </w:r>
    </w:p>
    <w:p w14:paraId="5A5280FB">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负责重大生态环境问题的统筹协调和监督管理。</w:t>
      </w:r>
    </w:p>
    <w:p w14:paraId="3BE5A95E">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负责监督管理减排目标的落实。</w:t>
      </w:r>
    </w:p>
    <w:p w14:paraId="34C1C9CD">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负责提出生态环境领域固定资产投资规模和方向、财政性资金安排的意见，配合有关部门做好组织实施和监督工作。</w:t>
      </w:r>
    </w:p>
    <w:p w14:paraId="6A2F4CF9">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负责环境污染防治的监督管理。</w:t>
      </w:r>
    </w:p>
    <w:p w14:paraId="585B4925">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指导协调和监督生态保护修复工作。</w:t>
      </w:r>
    </w:p>
    <w:p w14:paraId="6BD5D00B">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负责核与辐射安全的监督管理。</w:t>
      </w:r>
    </w:p>
    <w:p w14:paraId="060FB904">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负责生态环境准入的监督管理。</w:t>
      </w:r>
    </w:p>
    <w:p w14:paraId="432F7399">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负责生态环境监测工作。</w:t>
      </w:r>
    </w:p>
    <w:p w14:paraId="05651496">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负责应对气候变化工作。贯彻执行应对气候变化及温室气体减排重大战略、规划和政策。</w:t>
      </w:r>
    </w:p>
    <w:p w14:paraId="459A8B61">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对接中央生态环境保护督察和市级生态环境保护督察有关工作。</w:t>
      </w:r>
    </w:p>
    <w:p w14:paraId="19B75528">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负责生态环境监督执法。</w:t>
      </w:r>
    </w:p>
    <w:p w14:paraId="45F4D5CB">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负责开展生态环境科技工作。</w:t>
      </w:r>
    </w:p>
    <w:p w14:paraId="04E12E89">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组织开展生态环境宣传教育工作。</w:t>
      </w:r>
    </w:p>
    <w:p w14:paraId="47068940">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承担重庆市大足区生态环境委员会的日常工作。</w:t>
      </w:r>
    </w:p>
    <w:p w14:paraId="6DE1DC99">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负责机关和直属单位党建工作。</w:t>
      </w:r>
    </w:p>
    <w:p w14:paraId="5FAF246D">
      <w:pPr>
        <w:keepNext w:val="0"/>
        <w:keepLines w:val="0"/>
        <w:pageBreakBefore w:val="0"/>
        <w:widowControl w:val="0"/>
        <w:numPr>
          <w:ilvl w:val="0"/>
          <w:numId w:val="1"/>
        </w:numPr>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完成区委、区政府交办的其他任务。</w:t>
      </w:r>
    </w:p>
    <w:p w14:paraId="0DEA08F8">
      <w:pPr>
        <w:keepNext w:val="0"/>
        <w:keepLines w:val="0"/>
        <w:pageBreakBefore w:val="0"/>
        <w:widowControl w:val="0"/>
        <w:numPr>
          <w:ilvl w:val="0"/>
          <w:numId w:val="1"/>
        </w:numPr>
        <w:suppressLineNumbers w:val="0"/>
        <w:tabs>
          <w:tab w:val="left" w:pos="-300"/>
        </w:tabs>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职能转变。重庆市大足区生态环境局要统一行使生态和城乡各类污染排放监管与行政执法职责，切实履行监管责任，全面落实水、大气、土壤污染防治行动计划。构建政府为主导、企业为主体、社会组织和公众共同参与的生态环境治理体系，实行最严格的生态环境保护制度，严守生态保护红线和环境质量底线，坚决打好污染防治攻坚战，保障生态安全，建设山清水秀美丽之地。</w:t>
      </w:r>
    </w:p>
    <w:p w14:paraId="572DE066">
      <w:pPr>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360" w:lineRule="auto"/>
        <w:ind w:left="0" w:leftChars="0" w:right="0" w:rightChars="0" w:firstLine="632" w:firstLineChars="200"/>
        <w:jc w:val="both"/>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重庆市大足区生态环境保护综合行政执法支队的主要职责是：承担全区生态环境保护综合行政执法的组织协调。组织开展有关专项执法，配合落实交叉执法、异地执法、跨区域执法。参与拟订生态环境保护综合行政执法管理制度、执法标准规范并执行；承担污染防治执法事项和违法案件的依法调查处理。依法开展水生态环境保护、饮用水水源地、地下水、入河排污口，大气环境保护，土壤生态环境保护，固体废物、化学品、重金属，农业面源，工业噪声等方面的污染防治执法和监督检查；承担生态保护执法事项和违法案件的依法调查处理。承担自然保护地内进行非法开矿、修路、筑坝、建设等造成生态破坏的生态保护执法和监督检查。依法开展因开发土地、矿藏等造成生态破坏的行政执法和监督检查；承担核与辐射安全执法事项和违法案件的依法调查处理，依法组织开展核与辐射安全监督检查；承担应对生态环境突发事件的具体工作；承担生态环境有关信访、投诉举报受理日常工作；完成区生态环境局交办的其他任务。</w:t>
      </w:r>
    </w:p>
    <w:p w14:paraId="52222C72">
      <w:pPr>
        <w:keepNext w:val="0"/>
        <w:keepLines w:val="0"/>
        <w:pageBreakBefore w:val="0"/>
        <w:widowControl w:val="0"/>
        <w:suppressLineNumbers w:val="0"/>
        <w:kinsoku/>
        <w:wordWrap/>
        <w:overflowPunct/>
        <w:topLinePunct w:val="0"/>
        <w:autoSpaceDE w:val="0"/>
        <w:autoSpaceDN/>
        <w:bidi w:val="0"/>
        <w:adjustRightInd w:val="0"/>
        <w:snapToGrid w:val="0"/>
        <w:spacing w:after="0" w:afterLines="0" w:afterAutospacing="0" w:line="360" w:lineRule="auto"/>
        <w:ind w:left="0" w:leftChars="0" w:right="0" w:rightChars="0" w:firstLine="626" w:firstLineChars="198"/>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重庆市大足区生态环境监测站的主要职责是：承担生态环境质量监测、污染源监督性监测和突发环境污染事件应急监测工作；为生态环境保护综合执法提供监测数据；承担生态环境监测网运行，收集、管理生态环境监测数据；承担生态环境监测的技术培训；承担各类水（含大气降水和废水）、环境空气和废气、生物、噪声和振动、土壤、辐射的监测任务；承担主管部门委托的其他生态环境监测技术支持工作</w:t>
      </w:r>
      <w:r>
        <w:rPr>
          <w:rFonts w:hint="eastAsia" w:ascii="方正仿宋_GBK" w:hAnsi="方正仿宋_GBK" w:eastAsia="方正仿宋_GBK" w:cs="方正仿宋_GBK"/>
          <w:sz w:val="32"/>
          <w:szCs w:val="32"/>
          <w:highlight w:val="none"/>
        </w:rPr>
        <w:t>。</w:t>
      </w:r>
    </w:p>
    <w:p w14:paraId="2F58B6D3">
      <w:pPr>
        <w:keepNext w:val="0"/>
        <w:keepLines w:val="0"/>
        <w:pageBreakBefore w:val="0"/>
        <w:widowControl/>
        <w:suppressLineNumbers w:val="0"/>
        <w:kinsoku/>
        <w:wordWrap/>
        <w:overflowPunct/>
        <w:topLinePunct w:val="0"/>
        <w:autoSpaceDE w:val="0"/>
        <w:autoSpaceDN/>
        <w:bidi w:val="0"/>
        <w:adjustRightInd w:val="0"/>
        <w:snapToGrid w:val="0"/>
        <w:spacing w:line="360" w:lineRule="auto"/>
        <w:ind w:left="0" w:right="0" w:rightChars="0" w:firstLine="632"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单位构成。</w:t>
      </w:r>
      <w:r>
        <w:rPr>
          <w:rFonts w:hint="eastAsia" w:ascii="方正仿宋_GBK" w:hAnsi="方正仿宋_GBK" w:eastAsia="方正仿宋_GBK" w:cs="方正仿宋_GBK"/>
          <w:color w:val="000000"/>
          <w:kern w:val="0"/>
          <w:sz w:val="32"/>
          <w:szCs w:val="32"/>
          <w:highlight w:val="none"/>
        </w:rPr>
        <w:t>重庆市大足区生态环境局机关设1</w:t>
      </w:r>
      <w:r>
        <w:rPr>
          <w:rFonts w:hint="eastAsia" w:ascii="方正仿宋_GBK" w:hAnsi="方正仿宋_GBK" w:cs="方正仿宋_GBK"/>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rPr>
        <w:t>个职能部门，分别是办公室、水生态环境科、</w:t>
      </w:r>
      <w:r>
        <w:rPr>
          <w:rFonts w:hint="eastAsia" w:ascii="方正仿宋_GBK" w:hAnsi="方正仿宋_GBK" w:eastAsia="方正仿宋_GBK" w:cs="方正仿宋_GBK"/>
          <w:kern w:val="0"/>
          <w:sz w:val="32"/>
          <w:szCs w:val="32"/>
          <w:highlight w:val="none"/>
        </w:rPr>
        <w:t>大气环境科、土壤生态环境科、</w:t>
      </w:r>
      <w:r>
        <w:rPr>
          <w:rFonts w:hint="eastAsia" w:ascii="方正仿宋_GBK" w:hAnsi="方正仿宋_GBK" w:cs="方正仿宋_GBK"/>
          <w:kern w:val="0"/>
          <w:sz w:val="32"/>
          <w:szCs w:val="32"/>
          <w:highlight w:val="none"/>
          <w:lang w:val="en-US" w:eastAsia="zh-CN"/>
        </w:rPr>
        <w:t>环督办、项目办、</w:t>
      </w:r>
      <w:r>
        <w:rPr>
          <w:rFonts w:hint="eastAsia" w:ascii="方正仿宋_GBK" w:hAnsi="方正仿宋_GBK" w:eastAsia="方正仿宋_GBK" w:cs="方正仿宋_GBK"/>
          <w:color w:val="000000"/>
          <w:kern w:val="0"/>
          <w:sz w:val="32"/>
          <w:szCs w:val="32"/>
          <w:highlight w:val="none"/>
        </w:rPr>
        <w:t>行政审批科、自然生态科、财务审计科、</w:t>
      </w:r>
      <w:r>
        <w:rPr>
          <w:rFonts w:hint="eastAsia" w:ascii="方正仿宋_GBK" w:hAnsi="方正仿宋_GBK" w:eastAsia="方正仿宋_GBK" w:cs="方正仿宋_GBK"/>
          <w:kern w:val="0"/>
          <w:sz w:val="32"/>
          <w:szCs w:val="32"/>
          <w:highlight w:val="none"/>
        </w:rPr>
        <w:t>固废与核辐射科、宣教信息科、</w:t>
      </w:r>
      <w:r>
        <w:rPr>
          <w:rFonts w:hint="eastAsia" w:ascii="方正仿宋_GBK" w:hAnsi="方正仿宋_GBK" w:eastAsia="方正仿宋_GBK" w:cs="方正仿宋_GBK"/>
          <w:color w:val="000000"/>
          <w:kern w:val="0"/>
          <w:sz w:val="32"/>
          <w:szCs w:val="32"/>
          <w:highlight w:val="none"/>
        </w:rPr>
        <w:t>综合科。下设重庆市大足区</w:t>
      </w:r>
      <w:r>
        <w:rPr>
          <w:rFonts w:hint="eastAsia" w:ascii="方正仿宋_GBK" w:hAnsi="方正仿宋_GBK" w:eastAsia="方正仿宋_GBK" w:cs="方正仿宋_GBK"/>
          <w:kern w:val="0"/>
          <w:sz w:val="32"/>
          <w:szCs w:val="32"/>
          <w:highlight w:val="none"/>
        </w:rPr>
        <w:t>生态环境保护综合行政执法支队</w:t>
      </w:r>
      <w:r>
        <w:rPr>
          <w:rFonts w:hint="eastAsia" w:ascii="方正仿宋_GBK" w:hAnsi="方正仿宋_GBK" w:eastAsia="方正仿宋_GBK" w:cs="方正仿宋_GBK"/>
          <w:color w:val="000000"/>
          <w:kern w:val="0"/>
          <w:sz w:val="32"/>
          <w:szCs w:val="32"/>
          <w:highlight w:val="none"/>
        </w:rPr>
        <w:t>、重庆市大足区生态环境监测站两个下属单位未独立核算。20</w:t>
      </w:r>
      <w:r>
        <w:rPr>
          <w:rFonts w:hint="eastAsia" w:ascii="方正仿宋_GBK" w:hAnsi="方正仿宋_GBK" w:eastAsia="方正仿宋_GBK" w:cs="方正仿宋_GBK"/>
          <w:color w:val="000000"/>
          <w:kern w:val="0"/>
          <w:sz w:val="32"/>
          <w:szCs w:val="32"/>
          <w:highlight w:val="none"/>
          <w:lang w:val="en-US" w:eastAsia="zh-CN"/>
        </w:rPr>
        <w:t>2</w:t>
      </w:r>
      <w:r>
        <w:rPr>
          <w:rFonts w:hint="eastAsia" w:ascii="方正仿宋_GBK" w:hAnsi="方正仿宋_GBK" w:cs="方正仿宋_GBK"/>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rPr>
        <w:t>年12月底重庆市大足区生态环境局实际在编在岗人数为8</w:t>
      </w:r>
      <w:r>
        <w:rPr>
          <w:rFonts w:hint="eastAsia" w:ascii="方正仿宋_GBK" w:hAnsi="方正仿宋_GBK" w:cs="方正仿宋_GBK"/>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rPr>
        <w:t>人【行政机关人员1</w:t>
      </w:r>
      <w:r>
        <w:rPr>
          <w:rFonts w:hint="eastAsia" w:ascii="方正仿宋_GBK" w:hAnsi="方正仿宋_GBK" w:cs="方正仿宋_GBK"/>
          <w:color w:val="000000"/>
          <w:kern w:val="0"/>
          <w:sz w:val="32"/>
          <w:szCs w:val="32"/>
          <w:highlight w:val="none"/>
          <w:lang w:val="en-US" w:eastAsia="zh-CN"/>
        </w:rPr>
        <w:t>7</w:t>
      </w:r>
      <w:r>
        <w:rPr>
          <w:rFonts w:hint="eastAsia" w:ascii="方正仿宋_GBK" w:hAnsi="方正仿宋_GBK" w:eastAsia="方正仿宋_GBK" w:cs="方正仿宋_GBK"/>
          <w:color w:val="000000"/>
          <w:kern w:val="0"/>
          <w:sz w:val="32"/>
          <w:szCs w:val="32"/>
          <w:highlight w:val="none"/>
        </w:rPr>
        <w:t>人；参公人员</w:t>
      </w:r>
      <w:r>
        <w:rPr>
          <w:rFonts w:hint="eastAsia" w:ascii="方正仿宋_GBK" w:hAnsi="方正仿宋_GBK" w:cs="方正仿宋_GBK"/>
          <w:color w:val="000000"/>
          <w:kern w:val="0"/>
          <w:sz w:val="32"/>
          <w:szCs w:val="32"/>
          <w:highlight w:val="none"/>
          <w:lang w:val="en-US" w:eastAsia="zh-CN"/>
        </w:rPr>
        <w:t>40</w:t>
      </w:r>
      <w:r>
        <w:rPr>
          <w:rFonts w:hint="eastAsia" w:ascii="方正仿宋_GBK" w:hAnsi="方正仿宋_GBK" w:eastAsia="方正仿宋_GBK" w:cs="方正仿宋_GBK"/>
          <w:color w:val="000000"/>
          <w:kern w:val="0"/>
          <w:sz w:val="32"/>
          <w:szCs w:val="32"/>
          <w:highlight w:val="none"/>
        </w:rPr>
        <w:t>人；事业人员</w:t>
      </w:r>
      <w:r>
        <w:rPr>
          <w:rFonts w:hint="eastAsia" w:ascii="方正仿宋_GBK" w:hAnsi="方正仿宋_GBK" w:cs="方正仿宋_GBK"/>
          <w:color w:val="000000"/>
          <w:kern w:val="0"/>
          <w:sz w:val="32"/>
          <w:szCs w:val="32"/>
          <w:highlight w:val="none"/>
          <w:lang w:val="en-US" w:eastAsia="zh-CN"/>
        </w:rPr>
        <w:t>27</w:t>
      </w:r>
      <w:r>
        <w:rPr>
          <w:rFonts w:hint="eastAsia" w:ascii="方正仿宋_GBK" w:hAnsi="方正仿宋_GBK" w:eastAsia="方正仿宋_GBK" w:cs="方正仿宋_GBK"/>
          <w:color w:val="000000"/>
          <w:kern w:val="0"/>
          <w:sz w:val="32"/>
          <w:szCs w:val="32"/>
          <w:highlight w:val="none"/>
        </w:rPr>
        <w:t>人】。</w:t>
      </w:r>
    </w:p>
    <w:p w14:paraId="1D33D51E">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二</w:t>
      </w: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预算及支出情况</w:t>
      </w:r>
      <w:r>
        <w:rPr>
          <w:rFonts w:hint="eastAsia" w:ascii="方正楷体_GBK" w:hAnsi="楷体_GB2312" w:eastAsia="方正楷体_GBK" w:cs="楷体_GB2312"/>
          <w:bCs/>
          <w:szCs w:val="32"/>
        </w:rPr>
        <w:t>。</w:t>
      </w:r>
    </w:p>
    <w:p w14:paraId="5DA19ACD">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rPr>
          <w:rFonts w:hint="eastAsia"/>
        </w:rPr>
      </w:pPr>
      <w:r>
        <w:rPr>
          <w:rFonts w:hint="eastAsia" w:ascii="方正仿宋_GBK"/>
          <w:szCs w:val="32"/>
        </w:rPr>
        <w:t>1.</w:t>
      </w:r>
      <w:r>
        <w:rPr>
          <w:rFonts w:hint="eastAsia" w:ascii="方正仿宋_GBK"/>
          <w:szCs w:val="32"/>
          <w:lang w:val="en-US" w:eastAsia="zh-CN"/>
        </w:rPr>
        <w:t>整体支出规模</w:t>
      </w:r>
      <w:r>
        <w:rPr>
          <w:rFonts w:hint="eastAsia" w:ascii="方正仿宋_GBK"/>
          <w:szCs w:val="32"/>
        </w:rPr>
        <w:t>。</w:t>
      </w:r>
      <w:r>
        <w:rPr>
          <w:rFonts w:hint="eastAsia"/>
        </w:rPr>
        <w:t>202</w:t>
      </w:r>
      <w:r>
        <w:rPr>
          <w:rFonts w:hint="eastAsia"/>
          <w:lang w:val="en-US" w:eastAsia="zh-CN"/>
        </w:rPr>
        <w:t>1</w:t>
      </w:r>
      <w:r>
        <w:rPr>
          <w:rFonts w:hint="eastAsia"/>
        </w:rPr>
        <w:t>年度共支出财政拨款</w:t>
      </w:r>
      <w:r>
        <w:rPr>
          <w:rFonts w:hint="eastAsia" w:cs="宋体"/>
          <w:kern w:val="2"/>
          <w:sz w:val="32"/>
          <w:szCs w:val="32"/>
          <w:vertAlign w:val="baseline"/>
          <w:lang w:val="en-US" w:eastAsia="zh-CN" w:bidi="ar"/>
        </w:rPr>
        <w:t>14384.31</w:t>
      </w:r>
      <w:r>
        <w:rPr>
          <w:rFonts w:hint="eastAsia"/>
        </w:rPr>
        <w:t>万元，其中：基本支出</w:t>
      </w:r>
      <w:r>
        <w:rPr>
          <w:rFonts w:hint="eastAsia"/>
          <w:lang w:val="en-US" w:eastAsia="zh-CN"/>
        </w:rPr>
        <w:t>2054.84</w:t>
      </w:r>
      <w:r>
        <w:rPr>
          <w:rFonts w:hint="eastAsia"/>
        </w:rPr>
        <w:t>万元，占</w:t>
      </w:r>
      <w:r>
        <w:rPr>
          <w:rFonts w:hint="eastAsia"/>
          <w:lang w:val="en-US" w:eastAsia="zh-CN"/>
        </w:rPr>
        <w:t>14.29</w:t>
      </w:r>
      <w:r>
        <w:rPr>
          <w:rFonts w:hint="eastAsia"/>
        </w:rPr>
        <w:t>%；项目支出</w:t>
      </w:r>
      <w:r>
        <w:rPr>
          <w:rFonts w:hint="eastAsia"/>
          <w:lang w:val="en-US" w:eastAsia="zh-CN"/>
        </w:rPr>
        <w:t>12329.47</w:t>
      </w:r>
      <w:r>
        <w:rPr>
          <w:rFonts w:hint="eastAsia"/>
        </w:rPr>
        <w:t>万元，占</w:t>
      </w:r>
      <w:r>
        <w:rPr>
          <w:rFonts w:hint="eastAsia"/>
          <w:lang w:val="en-US" w:eastAsia="zh-CN"/>
        </w:rPr>
        <w:t>85.71</w:t>
      </w:r>
      <w:r>
        <w:rPr>
          <w:rFonts w:hint="eastAsia"/>
        </w:rPr>
        <w:t xml:space="preserve">%。 </w:t>
      </w:r>
    </w:p>
    <w:p w14:paraId="645499B9">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rPr>
          <w:rFonts w:hint="eastAsia"/>
        </w:rPr>
      </w:pPr>
      <w:r>
        <w:rPr>
          <w:rFonts w:hint="eastAsia"/>
        </w:rPr>
        <w:t xml:space="preserve"> 2.三公经费支出。202</w:t>
      </w:r>
      <w:r>
        <w:rPr>
          <w:rFonts w:hint="eastAsia"/>
          <w:lang w:val="en-US" w:eastAsia="zh-CN"/>
        </w:rPr>
        <w:t>1</w:t>
      </w:r>
      <w:r>
        <w:rPr>
          <w:rFonts w:hint="eastAsia"/>
        </w:rPr>
        <w:t>年度</w:t>
      </w:r>
      <w:r>
        <w:rPr>
          <w:rFonts w:hint="eastAsia"/>
          <w:lang w:eastAsia="zh-CN"/>
        </w:rPr>
        <w:t>“三公”经费</w:t>
      </w:r>
      <w:r>
        <w:rPr>
          <w:rFonts w:hint="eastAsia"/>
        </w:rPr>
        <w:t>支出</w:t>
      </w:r>
      <w:r>
        <w:rPr>
          <w:rFonts w:hint="eastAsia"/>
          <w:lang w:val="en-US" w:eastAsia="zh-CN"/>
        </w:rPr>
        <w:t>26.30</w:t>
      </w:r>
      <w:r>
        <w:rPr>
          <w:rFonts w:hint="eastAsia"/>
        </w:rPr>
        <w:t>万元，其中：因公出国（境）费0.00万元；公务用车购置费0.00万元；公务用车运行维护费</w:t>
      </w:r>
      <w:r>
        <w:rPr>
          <w:rFonts w:hint="eastAsia"/>
          <w:lang w:val="en-US" w:eastAsia="zh-CN"/>
        </w:rPr>
        <w:t>21.67</w:t>
      </w:r>
      <w:r>
        <w:rPr>
          <w:rFonts w:hint="eastAsia"/>
        </w:rPr>
        <w:t>万元；公务接待费</w:t>
      </w:r>
      <w:r>
        <w:rPr>
          <w:rFonts w:hint="eastAsia"/>
          <w:lang w:val="en-US" w:eastAsia="zh-CN"/>
        </w:rPr>
        <w:t>4.63</w:t>
      </w:r>
      <w:r>
        <w:rPr>
          <w:rFonts w:hint="eastAsia"/>
        </w:rPr>
        <w:t>万元。</w:t>
      </w:r>
    </w:p>
    <w:p w14:paraId="2633A885">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rPr>
          <w:rFonts w:hint="eastAsia"/>
        </w:rPr>
      </w:pPr>
      <w:r>
        <w:rPr>
          <w:rFonts w:hint="eastAsia"/>
        </w:rPr>
        <w:t xml:space="preserve"> 3.结转结余情况。202</w:t>
      </w:r>
      <w:r>
        <w:rPr>
          <w:rFonts w:hint="eastAsia"/>
          <w:lang w:val="en-US" w:eastAsia="zh-CN"/>
        </w:rPr>
        <w:t>1</w:t>
      </w:r>
      <w:r>
        <w:rPr>
          <w:rFonts w:hint="eastAsia"/>
        </w:rPr>
        <w:t>年度结转结余</w:t>
      </w:r>
      <w:r>
        <w:rPr>
          <w:rFonts w:hint="eastAsia" w:ascii="方正仿宋_GBK"/>
          <w:szCs w:val="32"/>
          <w:lang w:val="en-US" w:eastAsia="zh-CN"/>
        </w:rPr>
        <w:t>0万元</w:t>
      </w:r>
      <w:r>
        <w:rPr>
          <w:rFonts w:hint="eastAsia"/>
        </w:rPr>
        <w:t>，预算执行率为100%。</w:t>
      </w:r>
      <w:bookmarkStart w:id="0" w:name="_GoBack"/>
      <w:bookmarkEnd w:id="0"/>
    </w:p>
    <w:p w14:paraId="2A79CA4F">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二、</w:t>
      </w:r>
      <w:r>
        <w:rPr>
          <w:rFonts w:hint="eastAsia" w:ascii="方正黑体_GBK" w:hAnsi="黑体" w:eastAsia="方正黑体_GBK" w:cs="黑体"/>
          <w:bCs/>
          <w:szCs w:val="32"/>
          <w:lang w:val="en-US" w:eastAsia="zh-CN"/>
        </w:rPr>
        <w:t>绩效评价基本情况</w:t>
      </w:r>
    </w:p>
    <w:p w14:paraId="0F6C5547">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rPr>
        <w:t>（</w:t>
      </w:r>
      <w:r>
        <w:rPr>
          <w:rFonts w:hint="eastAsia" w:ascii="方正楷体_GBK" w:hAnsi="楷体_GB2312" w:eastAsia="方正楷体_GBK" w:cs="楷体_GB2312"/>
          <w:bCs/>
          <w:szCs w:val="32"/>
          <w:lang w:val="en-US" w:eastAsia="zh-CN"/>
        </w:rPr>
        <w:t>一</w:t>
      </w:r>
      <w:r>
        <w:rPr>
          <w:rFonts w:hint="eastAsia" w:ascii="方正楷体_GBK" w:hAnsi="楷体_GB2312" w:eastAsia="方正楷体_GBK" w:cs="楷体_GB2312"/>
          <w:bCs/>
          <w:szCs w:val="32"/>
        </w:rPr>
        <w:t>）绩效</w:t>
      </w:r>
      <w:r>
        <w:rPr>
          <w:rFonts w:hint="eastAsia" w:ascii="方正楷体_GBK" w:hAnsi="楷体_GB2312" w:eastAsia="方正楷体_GBK" w:cs="楷体_GB2312"/>
          <w:bCs/>
          <w:szCs w:val="32"/>
          <w:lang w:val="en-US" w:eastAsia="zh-CN"/>
        </w:rPr>
        <w:t>评价目的</w:t>
      </w:r>
    </w:p>
    <w:p w14:paraId="1913DD45">
      <w:pPr>
        <w:pStyle w:val="2"/>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rPr>
          <w:rFonts w:hint="eastAsia"/>
          <w:lang w:val="en-US" w:eastAsia="zh-CN"/>
        </w:rPr>
      </w:pPr>
      <w:r>
        <w:rPr>
          <w:rFonts w:hint="eastAsia"/>
          <w:lang w:val="en-US" w:eastAsia="zh-CN"/>
        </w:rPr>
        <w:t>通过开展部门整体支出绩效自评工作，树立绩效意识、成本意识和责任意识，完善部门预算编制、执行、监督体系，了解资金使用情况、日常管理情况、绩效目标完成情况、资金使用是否达到预期目标、资金管理是否规范、资金使用是否有效，检验资金支出效率和效果，分析存在问题和原因，及时总结经验，完善管理，提高财政预算资金使用效益，促进部门更好地履职尽责。</w:t>
      </w:r>
    </w:p>
    <w:p w14:paraId="0C2751F4">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（二）评价指标体系</w:t>
      </w:r>
    </w:p>
    <w:p w14:paraId="3718A259">
      <w:pPr>
        <w:keepNext w:val="0"/>
        <w:keepLines w:val="0"/>
        <w:pageBreakBefore w:val="0"/>
        <w:kinsoku/>
        <w:wordWrap/>
        <w:overflowPunct/>
        <w:topLinePunct w:val="0"/>
        <w:autoSpaceDN/>
        <w:bidi w:val="0"/>
        <w:adjustRightInd w:val="0"/>
        <w:snapToGrid w:val="0"/>
        <w:spacing w:line="360" w:lineRule="auto"/>
        <w:ind w:firstLine="632" w:firstLineChars="200"/>
        <w:jc w:val="both"/>
        <w:textAlignment w:val="auto"/>
        <w:rPr>
          <w:rFonts w:hint="eastAsia" w:ascii="方正仿宋_GBK"/>
          <w:szCs w:val="32"/>
          <w:lang w:val="en-US" w:eastAsia="zh-CN"/>
        </w:rPr>
      </w:pPr>
      <w:r>
        <w:rPr>
          <w:rFonts w:hint="eastAsia" w:ascii="方正仿宋_GBK"/>
          <w:szCs w:val="32"/>
          <w:lang w:val="en-US" w:eastAsia="zh-CN"/>
        </w:rPr>
        <w:t xml:space="preserve"> 整个指标体系共设置了4个一级指标，分别为投入、过程、产出、效益，分值分别为：5分、45分、20分、30分，并将4个一级指标分解为9个二级指标，分别为预算配置、预算执行、预算管理、资产管理、职责履行、社会效益、生态效益、可持续影响、服务对象满意度，再次将9个二级指标细化分解为18个三级指标。本次评价采用百分制，各级指标依据其指标权重确定分值，评价人员根据评价情况对各级指标进行评分。根据最终得分情况将评价结果分为四个等级：优（ 90分≤得分≤100分）；良（80分≤得分＜90分）；中（60分≤得分＜80分）；差（0分≤得分＜60分）。</w:t>
      </w:r>
    </w:p>
    <w:p w14:paraId="12B1B3E6">
      <w:pPr>
        <w:keepNext w:val="0"/>
        <w:keepLines w:val="0"/>
        <w:pageBreakBefore w:val="0"/>
        <w:numPr>
          <w:ilvl w:val="0"/>
          <w:numId w:val="2"/>
        </w:numPr>
        <w:kinsoku/>
        <w:wordWrap/>
        <w:overflowPunct/>
        <w:topLinePunct w:val="0"/>
        <w:autoSpaceDN/>
        <w:bidi w:val="0"/>
        <w:adjustRightInd w:val="0"/>
        <w:snapToGrid w:val="0"/>
        <w:spacing w:line="360" w:lineRule="auto"/>
        <w:ind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绩效评价工作过程</w:t>
      </w:r>
    </w:p>
    <w:p w14:paraId="7473FA9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仿宋_GBK"/>
          <w:szCs w:val="32"/>
          <w:lang w:val="en-US" w:eastAsia="zh-CN"/>
        </w:rPr>
      </w:pPr>
      <w:r>
        <w:rPr>
          <w:rFonts w:hint="eastAsia" w:ascii="方正仿宋_GBK"/>
          <w:szCs w:val="32"/>
          <w:lang w:val="en-US" w:eastAsia="zh-CN"/>
        </w:rPr>
        <w:t xml:space="preserve">前期准备  确定绩效评价组成员，拟定评价计划，明确评价组织实施方式，确定评价目的、内容、任务、依据、评价时间及要求等。  </w:t>
      </w:r>
    </w:p>
    <w:p w14:paraId="57A43682">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仿宋_GBK"/>
          <w:szCs w:val="32"/>
          <w:lang w:val="en-US" w:eastAsia="zh-CN"/>
        </w:rPr>
      </w:pPr>
      <w:r>
        <w:rPr>
          <w:rFonts w:hint="eastAsia" w:ascii="方正仿宋_GBK"/>
          <w:szCs w:val="32"/>
          <w:lang w:val="en-US" w:eastAsia="zh-CN"/>
        </w:rPr>
        <w:t xml:space="preserve">组织实施  在前期调研的基础上，完成了绩效评价方案，明确了评价的目的、方法、评价的原则、指标体系、评价标准等。评价组按照工作方案，对确认后的数据、资料、图册、文件进行分析综合，撰写绩效评价报告。 </w:t>
      </w:r>
    </w:p>
    <w:p w14:paraId="68CD965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仿宋_GBK"/>
          <w:szCs w:val="32"/>
          <w:lang w:val="en-US" w:eastAsia="zh-CN"/>
        </w:rPr>
      </w:pPr>
      <w:r>
        <w:rPr>
          <w:rFonts w:hint="eastAsia" w:ascii="方正仿宋_GBK"/>
          <w:szCs w:val="32"/>
          <w:lang w:val="en-US" w:eastAsia="zh-CN"/>
        </w:rPr>
        <w:t>分析评价  本部门2021年度整体收支有效保障了部门基本运转，顺利推动了各项民政工作有序开展，提高了资金管理水平和使用效益，圆满完成了2021年度的各项目标任务。</w:t>
      </w:r>
    </w:p>
    <w:p w14:paraId="0B4ACD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lang w:val="en-US" w:eastAsia="zh-CN"/>
        </w:rPr>
        <w:t>三</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绩效评价情况及结论</w:t>
      </w:r>
    </w:p>
    <w:p w14:paraId="233EE7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（一）投入评价情况</w:t>
      </w:r>
    </w:p>
    <w:p w14:paraId="3649C1A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hint="eastAsia"/>
          <w:lang w:val="en-US" w:eastAsia="zh-CN"/>
        </w:rPr>
      </w:pPr>
      <w:r>
        <w:rPr>
          <w:rFonts w:hint="eastAsia"/>
          <w:lang w:val="en-US" w:eastAsia="zh-CN"/>
        </w:rPr>
        <w:t xml:space="preserve">1.财政供养人员控制率≤100%。2021年度人员编制数为105人，在编人数84人，全年在职人员在编率不超过100%。  </w:t>
      </w:r>
    </w:p>
    <w:p w14:paraId="211F6ED0">
      <w:pPr>
        <w:pStyle w:val="2"/>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jc w:val="both"/>
        <w:textAlignment w:val="auto"/>
        <w:rPr>
          <w:rFonts w:hint="eastAsia"/>
          <w:lang w:val="en-US" w:eastAsia="zh-CN"/>
        </w:rPr>
      </w:pPr>
      <w:r>
        <w:rPr>
          <w:rFonts w:hint="eastAsia"/>
          <w:lang w:val="en-US" w:eastAsia="zh-CN"/>
        </w:rPr>
        <w:t xml:space="preserve">2.“三公”经费变动率≥0。2021年度“三公”经费财政拨款支出数26.30万元，比上年度“三公”经费财政拨款支出数减少12.80万元，“三公”经费变动率≥0。  </w:t>
      </w:r>
    </w:p>
    <w:p w14:paraId="461CC6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（二）过程评价情况</w:t>
      </w:r>
    </w:p>
    <w:p w14:paraId="00B8B8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lang w:val="en-US" w:eastAsia="zh-CN"/>
        </w:rPr>
      </w:pPr>
      <w:r>
        <w:rPr>
          <w:rFonts w:hint="eastAsia" w:ascii="方正楷体_GBK" w:hAnsi="楷体_GB2312" w:eastAsia="方正楷体_GBK" w:cs="楷体_GB2312"/>
          <w:bCs/>
          <w:szCs w:val="32"/>
          <w:lang w:val="en-US" w:eastAsia="zh-CN"/>
        </w:rPr>
        <w:t>1.</w:t>
      </w:r>
      <w:r>
        <w:rPr>
          <w:rFonts w:hint="eastAsia"/>
          <w:lang w:val="en-US" w:eastAsia="zh-CN"/>
        </w:rPr>
        <w:t xml:space="preserve">预算执行情况  </w:t>
      </w:r>
    </w:p>
    <w:p w14:paraId="28B9253C">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32" w:firstLineChars="200"/>
        <w:jc w:val="both"/>
        <w:textAlignment w:val="auto"/>
        <w:rPr>
          <w:rFonts w:hint="eastAsia"/>
          <w:lang w:val="en-US" w:eastAsia="zh-CN"/>
        </w:rPr>
      </w:pPr>
      <w:r>
        <w:rPr>
          <w:rFonts w:hint="eastAsia"/>
          <w:lang w:val="en-US" w:eastAsia="zh-CN"/>
        </w:rPr>
        <w:t xml:space="preserve">预算完成率100%。  </w:t>
      </w:r>
    </w:p>
    <w:p w14:paraId="21BFDE54">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预算调整率22.12%，全年预算调整数为</w:t>
      </w:r>
      <w:r>
        <w:rPr>
          <w:rFonts w:hint="eastAsia" w:ascii="方正仿宋_GBK"/>
          <w:szCs w:val="32"/>
          <w:lang w:val="en-US" w:eastAsia="zh-CN"/>
        </w:rPr>
        <w:t>3182.33万元</w:t>
      </w:r>
      <w:r>
        <w:rPr>
          <w:rFonts w:hint="eastAsia"/>
          <w:lang w:val="en-US" w:eastAsia="zh-CN"/>
        </w:rPr>
        <w:t xml:space="preserve">。 </w:t>
      </w:r>
    </w:p>
    <w:p w14:paraId="02D0AFA1">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 xml:space="preserve">公用经费控制率≤100%，全年实际支出公用经费424.51万元，预算安排公用经费491.67万元。  </w:t>
      </w:r>
    </w:p>
    <w:p w14:paraId="35F1E56E">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 xml:space="preserve">“三公”经费控制率≤100%，全年“三公”经费实际支出26.30万元，“三公”经费预算安排数41.98万元。  </w:t>
      </w:r>
    </w:p>
    <w:p w14:paraId="128F470D">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政府采购执行率71.84%，全年实际政府采购金额3484.22万元，政府采购预算数为4850万元。</w:t>
      </w:r>
    </w:p>
    <w:p w14:paraId="3B0BEFE3">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632" w:firstLineChars="200"/>
        <w:jc w:val="both"/>
        <w:textAlignment w:val="auto"/>
        <w:rPr>
          <w:rFonts w:hint="eastAsia"/>
          <w:lang w:val="en-US" w:eastAsia="zh-CN"/>
        </w:rPr>
      </w:pPr>
      <w:r>
        <w:rPr>
          <w:rFonts w:hint="eastAsia"/>
          <w:lang w:val="en-US" w:eastAsia="zh-CN"/>
        </w:rPr>
        <w:t xml:space="preserve">2.预算管理情况  </w:t>
      </w:r>
    </w:p>
    <w:p w14:paraId="42B4AC3E">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 xml:space="preserve">管理制度健全性方面。建立健全了内部财务制度，内部控制制度等管理制度，相关管理制度合法、合规、完整理，并得到有效执行。  </w:t>
      </w:r>
    </w:p>
    <w:p w14:paraId="11FBEDF0">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 xml:space="preserve">资金使用合规性方面。部门使用预算资金符合符合国家财经法规和财务管理制度规定以及区财政局资金管理办法的规定；资金的拨付有完整的审批过程和手续；预算调整履行了规定程序；符合部门预算批复的用途；资金使用无截留、挤占、挪用、虚列支出等情况。 </w:t>
      </w:r>
    </w:p>
    <w:p w14:paraId="62CD2F24">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预决算信息公开性方面。按照政府信息公开有关规定公开了相关预决算信息，基础数据信息和会计信息资料完整、准确，按照财政预决算领域政务公开标准公开了预决算信息，一是收支总体情况表；二是财政拨款收支情况表；三是一般公共预算支出情况表公开到功能分类项级科目。一般公共预算基本支出表公开到经济分类款级科目。四是一般公共预算“三公”经费支出表按“因公出国（境）费”“公务用车购置及运行费”“公务接待费”公开，其中，“公务用车购置及运行费”细化到了“公务用车购置费”“公务用车运行费”两个项目，并对增减变化情况进行说明。五是本部门职责、机构设置情况、预算收支增减变化、机关运行经费安排以及政府采购（主要包括部门政府采购预算总金额和货物、工程、服务采购的预算金额）等情况的说明，并对专业性较强的名词进行解释。公开国有资产占用、预算绩效情况等。按规定时限公开预决算信息，在区财政局批复后20日内，在本部门户网站上进行了公开，并永久保留。</w:t>
      </w:r>
    </w:p>
    <w:p w14:paraId="65D1FA0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rPr>
          <w:rFonts w:hint="eastAsia"/>
          <w:lang w:val="en-US" w:eastAsia="zh-CN"/>
        </w:rPr>
      </w:pPr>
      <w:r>
        <w:rPr>
          <w:rFonts w:hint="eastAsia"/>
          <w:lang w:val="en-US" w:eastAsia="zh-CN"/>
        </w:rPr>
        <w:t xml:space="preserve">3.资产管理情况  </w:t>
      </w:r>
    </w:p>
    <w:p w14:paraId="7B0FF73B">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资产管理安全方面。资产保存完整，资产账务管理合规，账实相符；资产配置合理、处置规范；资产有偿使用及处置收入及时足额上缴。</w:t>
      </w:r>
    </w:p>
    <w:p w14:paraId="411CF644">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固定资产利用率100%。2021年末实际在用固定资产总额为4818.74万元（原值），所有固定资产总额4917.83万元（原值），根据评价指标体系评分标准计算，固定资产利用率为97.98%。</w:t>
      </w:r>
    </w:p>
    <w:p w14:paraId="2866C8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（三）产出评价情况</w:t>
      </w:r>
    </w:p>
    <w:p w14:paraId="5B4A888F">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1.生态环境公众满意度。处理投诉中群众满意度95%。</w:t>
      </w:r>
    </w:p>
    <w:p w14:paraId="77A6464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default"/>
          <w:lang w:val="en-US" w:eastAsia="zh-CN"/>
        </w:rPr>
      </w:pPr>
      <w:r>
        <w:rPr>
          <w:rFonts w:hint="eastAsia"/>
          <w:lang w:val="en-US" w:eastAsia="zh-CN"/>
        </w:rPr>
        <w:t>2.完成年度重点工作。改善生态环境；改善水质，保障农村饮水安全；改善居民环境，提高服务社会发展能力。</w:t>
      </w:r>
    </w:p>
    <w:p w14:paraId="7429024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32" w:firstLineChars="200"/>
        <w:jc w:val="both"/>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效益评价情况</w:t>
      </w:r>
    </w:p>
    <w:p w14:paraId="1119DA75">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社会效益方面。持续改善水质指标，有效改善空气质量。</w:t>
      </w:r>
    </w:p>
    <w:p w14:paraId="77BE0ECD">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生态效益方面。提高实验室分析能力；提高大足区环境风险防范与控制水平。</w:t>
      </w:r>
    </w:p>
    <w:p w14:paraId="6D4AB433">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可持续影响力方面。提高群众环境保护意识；</w:t>
      </w:r>
      <w:r>
        <w:rPr>
          <w:rFonts w:hint="eastAsia" w:ascii="方正仿宋_GBK" w:hAnsi="方正仿宋_GBK" w:eastAsia="方正仿宋_GBK" w:cs="方正仿宋_GBK"/>
          <w:kern w:val="0"/>
          <w:sz w:val="32"/>
          <w:szCs w:val="32"/>
        </w:rPr>
        <w:t>改善生态环境、促进美丽乡村建设</w:t>
      </w:r>
      <w:r>
        <w:rPr>
          <w:rFonts w:hint="eastAsia" w:ascii="方正仿宋_GBK" w:hAnsi="方正仿宋_GBK" w:eastAsia="方正仿宋_GBK" w:cs="方正仿宋_GBK"/>
          <w:kern w:val="0"/>
          <w:sz w:val="32"/>
          <w:szCs w:val="32"/>
          <w:lang w:eastAsia="zh-CN"/>
        </w:rPr>
        <w:t>。</w:t>
      </w:r>
    </w:p>
    <w:p w14:paraId="3585BA66">
      <w:pPr>
        <w:pStyle w:val="2"/>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right="0" w:rightChars="0" w:firstLine="632" w:firstLineChars="200"/>
        <w:jc w:val="both"/>
        <w:textAlignment w:val="auto"/>
        <w:rPr>
          <w:rFonts w:hint="eastAsia"/>
          <w:lang w:val="en-US" w:eastAsia="zh-CN"/>
        </w:rPr>
      </w:pPr>
      <w:r>
        <w:rPr>
          <w:rFonts w:hint="eastAsia"/>
          <w:lang w:val="en-US" w:eastAsia="zh-CN"/>
        </w:rPr>
        <w:t>服务对象满意度方面。群众投诉事项处理满意率：企业、老百姓对</w:t>
      </w:r>
      <w:r>
        <w:rPr>
          <w:rFonts w:hint="eastAsia" w:ascii="方正仿宋_GBK"/>
          <w:szCs w:val="32"/>
        </w:rPr>
        <w:t>处理投诉中</w:t>
      </w:r>
      <w:r>
        <w:rPr>
          <w:rFonts w:hint="eastAsia"/>
          <w:lang w:val="en-US" w:eastAsia="zh-CN"/>
        </w:rPr>
        <w:t>满意率95%。</w:t>
      </w:r>
    </w:p>
    <w:p w14:paraId="7D731C6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ascii="方正黑体_GBK" w:hAnsi="黑体" w:eastAsia="方正黑体_GBK" w:cs="黑体"/>
          <w:bCs/>
          <w:szCs w:val="32"/>
        </w:rPr>
      </w:pPr>
      <w:r>
        <w:rPr>
          <w:rFonts w:hint="eastAsia" w:ascii="方正黑体_GBK" w:hAnsi="黑体" w:eastAsia="方正黑体_GBK" w:cs="黑体"/>
          <w:bCs/>
          <w:szCs w:val="32"/>
          <w:lang w:val="en-US" w:eastAsia="zh-CN"/>
        </w:rPr>
        <w:t>四</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存在的问题</w:t>
      </w:r>
      <w:r>
        <w:rPr>
          <w:rFonts w:hint="eastAsia" w:ascii="方正黑体_GBK" w:hAnsi="黑体" w:eastAsia="方正黑体_GBK" w:cs="黑体"/>
          <w:bCs/>
          <w:szCs w:val="32"/>
        </w:rPr>
        <w:t>和下一步改进措施</w:t>
      </w:r>
    </w:p>
    <w:p w14:paraId="0EEF3C9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（一）存在的问题  </w:t>
      </w:r>
    </w:p>
    <w:p w14:paraId="574216D5">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jc w:val="both"/>
        <w:textAlignment w:val="auto"/>
        <w:rPr>
          <w:rFonts w:hint="eastAsia"/>
          <w:lang w:val="en-US" w:eastAsia="zh-CN"/>
        </w:rPr>
      </w:pPr>
      <w:r>
        <w:rPr>
          <w:rFonts w:hint="eastAsia"/>
          <w:lang w:val="en-US" w:eastAsia="zh-CN"/>
        </w:rPr>
        <w:t xml:space="preserve">1.预算调整率较高，项目推进力度有待进一步加强。 </w:t>
      </w:r>
    </w:p>
    <w:p w14:paraId="3A7461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hint="eastAsia"/>
          <w:lang w:val="en-US" w:eastAsia="zh-CN"/>
        </w:rPr>
      </w:pPr>
      <w:r>
        <w:rPr>
          <w:rFonts w:hint="eastAsia"/>
          <w:lang w:val="en-US" w:eastAsia="zh-CN"/>
        </w:rPr>
        <w:t xml:space="preserve">2.政府采购年初预算与实际执行偏差大，政府采购预算编制准确性有待提高。  </w:t>
      </w:r>
    </w:p>
    <w:p w14:paraId="61716D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hint="default"/>
          <w:lang w:val="en-US" w:eastAsia="zh-CN"/>
        </w:rPr>
      </w:pPr>
      <w:r>
        <w:rPr>
          <w:rFonts w:hint="eastAsia"/>
          <w:lang w:val="en-US" w:eastAsia="zh-CN"/>
        </w:rPr>
        <w:t>3.内部控制制度执行力不够，项目管理制度等需完善。</w:t>
      </w:r>
    </w:p>
    <w:p w14:paraId="2201F9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（二）下一步改进措施 </w:t>
      </w:r>
    </w:p>
    <w:p w14:paraId="33BEFEEE">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jc w:val="both"/>
        <w:textAlignment w:val="auto"/>
        <w:rPr>
          <w:rFonts w:hint="eastAsia"/>
          <w:lang w:val="en-US" w:eastAsia="zh-CN"/>
        </w:rPr>
      </w:pPr>
      <w:r>
        <w:rPr>
          <w:rFonts w:hint="eastAsia"/>
          <w:lang w:val="en-US" w:eastAsia="zh-CN"/>
        </w:rPr>
        <w:t xml:space="preserve">1.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 </w:t>
      </w:r>
    </w:p>
    <w:p w14:paraId="2C96E7FE">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jc w:val="both"/>
        <w:textAlignment w:val="auto"/>
        <w:rPr>
          <w:rFonts w:hint="eastAsia"/>
          <w:lang w:val="en-US" w:eastAsia="zh-CN"/>
        </w:rPr>
      </w:pPr>
      <w:r>
        <w:rPr>
          <w:rFonts w:hint="eastAsia"/>
          <w:lang w:val="en-US" w:eastAsia="zh-CN"/>
        </w:rPr>
        <w:t xml:space="preserve">2.科学合理编制政府采购预算，强化政府采购预算执行，确保政府采购预算切合单位实际。 </w:t>
      </w:r>
    </w:p>
    <w:p w14:paraId="4DD201C8">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jc w:val="both"/>
        <w:textAlignment w:val="auto"/>
        <w:rPr>
          <w:rFonts w:hint="eastAsia" w:ascii="方正黑体_GBK" w:hAnsi="黑体" w:eastAsia="方正黑体_GBK" w:cs="黑体"/>
          <w:bCs/>
          <w:szCs w:val="32"/>
        </w:rPr>
      </w:pPr>
      <w:r>
        <w:rPr>
          <w:rFonts w:hint="eastAsia"/>
          <w:lang w:val="en-US" w:eastAsia="zh-CN"/>
        </w:rPr>
        <w:t>3.根据年初的绩效考核指标及预算绩效目标，扎实推进相关工作，确保预算绩效目标按时、优质完成。</w:t>
      </w:r>
    </w:p>
    <w:p w14:paraId="742BD6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2" w:firstLineChars="200"/>
        <w:jc w:val="both"/>
        <w:textAlignment w:val="auto"/>
      </w:pPr>
    </w:p>
    <w:p w14:paraId="58F59ECD">
      <w:pPr>
        <w:pStyle w:val="2"/>
        <w:keepNext w:val="0"/>
        <w:keepLines w:val="0"/>
        <w:pageBreakBefore w:val="0"/>
        <w:kinsoku/>
        <w:wordWrap/>
        <w:overflowPunct/>
        <w:topLinePunct w:val="0"/>
        <w:autoSpaceDN/>
        <w:bidi w:val="0"/>
        <w:adjustRightInd w:val="0"/>
        <w:snapToGrid w:val="0"/>
        <w:spacing w:line="360" w:lineRule="auto"/>
        <w:jc w:val="both"/>
        <w:textAlignment w:val="auto"/>
      </w:pPr>
    </w:p>
    <w:p w14:paraId="19B4FC9D">
      <w:pPr>
        <w:pStyle w:val="2"/>
        <w:keepNext w:val="0"/>
        <w:keepLines w:val="0"/>
        <w:pageBreakBefore w:val="0"/>
        <w:kinsoku/>
        <w:wordWrap/>
        <w:overflowPunct/>
        <w:topLinePunct w:val="0"/>
        <w:autoSpaceDN/>
        <w:bidi w:val="0"/>
        <w:adjustRightInd w:val="0"/>
        <w:snapToGrid w:val="0"/>
        <w:spacing w:line="360" w:lineRule="auto"/>
        <w:jc w:val="both"/>
        <w:textAlignment w:val="auto"/>
      </w:pPr>
    </w:p>
    <w:p w14:paraId="65651283">
      <w:pPr>
        <w:pStyle w:val="2"/>
        <w:keepNext w:val="0"/>
        <w:keepLines w:val="0"/>
        <w:pageBreakBefore w:val="0"/>
        <w:kinsoku/>
        <w:wordWrap/>
        <w:overflowPunct/>
        <w:topLinePunct w:val="0"/>
        <w:autoSpaceDN/>
        <w:bidi w:val="0"/>
        <w:adjustRightInd w:val="0"/>
        <w:snapToGrid w:val="0"/>
        <w:spacing w:line="360" w:lineRule="auto"/>
        <w:jc w:val="both"/>
        <w:textAlignment w:val="auto"/>
      </w:pPr>
    </w:p>
    <w:p w14:paraId="428AA3A3">
      <w:pPr>
        <w:pStyle w:val="2"/>
        <w:keepNext w:val="0"/>
        <w:keepLines w:val="0"/>
        <w:pageBreakBefore w:val="0"/>
        <w:kinsoku/>
        <w:wordWrap/>
        <w:overflowPunct/>
        <w:topLinePunct w:val="0"/>
        <w:autoSpaceDN/>
        <w:bidi w:val="0"/>
        <w:adjustRightInd w:val="0"/>
        <w:snapToGrid w:val="0"/>
        <w:spacing w:line="360" w:lineRule="auto"/>
        <w:jc w:val="both"/>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2E1E">
    <w:pPr>
      <w:pStyle w:val="3"/>
      <w:jc w:val="right"/>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7"/>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7793">
    <w:pPr>
      <w:pStyle w:val="3"/>
      <w:ind w:right="360"/>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7"/>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6BC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A19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BB6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C979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2F4BB"/>
    <w:multiLevelType w:val="singleLevel"/>
    <w:tmpl w:val="9812F4BB"/>
    <w:lvl w:ilvl="0" w:tentative="0">
      <w:start w:val="1"/>
      <w:numFmt w:val="decimalEnclosedCircleChinese"/>
      <w:suff w:val="nothing"/>
      <w:lvlText w:val="%1　"/>
      <w:lvlJc w:val="left"/>
      <w:pPr>
        <w:ind w:left="0" w:firstLine="400"/>
      </w:pPr>
      <w:rPr>
        <w:rFonts w:hint="eastAsia"/>
      </w:rPr>
    </w:lvl>
  </w:abstractNum>
  <w:abstractNum w:abstractNumId="1">
    <w:nsid w:val="C39CACDB"/>
    <w:multiLevelType w:val="singleLevel"/>
    <w:tmpl w:val="C39CACDB"/>
    <w:lvl w:ilvl="0" w:tentative="0">
      <w:start w:val="1"/>
      <w:numFmt w:val="decimal"/>
      <w:lvlText w:val="%1."/>
      <w:lvlJc w:val="left"/>
      <w:pPr>
        <w:tabs>
          <w:tab w:val="left" w:pos="312"/>
        </w:tabs>
      </w:pPr>
    </w:lvl>
  </w:abstractNum>
  <w:abstractNum w:abstractNumId="2">
    <w:nsid w:val="D094CF94"/>
    <w:multiLevelType w:val="singleLevel"/>
    <w:tmpl w:val="D094CF94"/>
    <w:lvl w:ilvl="0" w:tentative="0">
      <w:start w:val="1"/>
      <w:numFmt w:val="decimal"/>
      <w:suff w:val="nothing"/>
      <w:lvlText w:val="（%1）"/>
      <w:lvlJc w:val="left"/>
    </w:lvl>
  </w:abstractNum>
  <w:abstractNum w:abstractNumId="3">
    <w:nsid w:val="F374D5E2"/>
    <w:multiLevelType w:val="singleLevel"/>
    <w:tmpl w:val="F374D5E2"/>
    <w:lvl w:ilvl="0" w:tentative="0">
      <w:start w:val="1"/>
      <w:numFmt w:val="decimal"/>
      <w:suff w:val="nothing"/>
      <w:lvlText w:val="（%1）"/>
      <w:lvlJc w:val="left"/>
    </w:lvl>
  </w:abstractNum>
  <w:abstractNum w:abstractNumId="4">
    <w:nsid w:val="35A24BE5"/>
    <w:multiLevelType w:val="singleLevel"/>
    <w:tmpl w:val="35A24BE5"/>
    <w:lvl w:ilvl="0" w:tentative="0">
      <w:start w:val="1"/>
      <w:numFmt w:val="decimal"/>
      <w:lvlText w:val="%1."/>
      <w:lvlJc w:val="left"/>
      <w:pPr>
        <w:tabs>
          <w:tab w:val="left" w:pos="312"/>
        </w:tabs>
        <w:ind w:left="945" w:leftChars="0" w:firstLine="0" w:firstLineChars="0"/>
      </w:pPr>
    </w:lvl>
  </w:abstractNum>
  <w:abstractNum w:abstractNumId="5">
    <w:nsid w:val="46DB2322"/>
    <w:multiLevelType w:val="singleLevel"/>
    <w:tmpl w:val="46DB2322"/>
    <w:lvl w:ilvl="0" w:tentative="0">
      <w:start w:val="3"/>
      <w:numFmt w:val="chineseCounting"/>
      <w:suff w:val="nothing"/>
      <w:lvlText w:val="（%1）"/>
      <w:lvlJc w:val="left"/>
      <w:rPr>
        <w:rFonts w:hint="eastAsia"/>
      </w:rPr>
    </w:lvl>
  </w:abstractNum>
  <w:abstractNum w:abstractNumId="6">
    <w:nsid w:val="5FE50CC9"/>
    <w:multiLevelType w:val="singleLevel"/>
    <w:tmpl w:val="5FE50CC9"/>
    <w:lvl w:ilvl="0" w:tentative="0">
      <w:start w:val="1"/>
      <w:numFmt w:val="decimal"/>
      <w:suff w:val="nothing"/>
      <w:lvlText w:val="（%1）"/>
      <w:lvlJc w:val="left"/>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61CD4"/>
    <w:rsid w:val="00AE65ED"/>
    <w:rsid w:val="0268700E"/>
    <w:rsid w:val="02E64D83"/>
    <w:rsid w:val="04C60615"/>
    <w:rsid w:val="05544226"/>
    <w:rsid w:val="05715BF9"/>
    <w:rsid w:val="06E048F9"/>
    <w:rsid w:val="07454686"/>
    <w:rsid w:val="07D072DD"/>
    <w:rsid w:val="07F76F51"/>
    <w:rsid w:val="0A203DC5"/>
    <w:rsid w:val="0A5F2EAC"/>
    <w:rsid w:val="0A7160C3"/>
    <w:rsid w:val="0A8A723D"/>
    <w:rsid w:val="0A974C64"/>
    <w:rsid w:val="0B7D76B7"/>
    <w:rsid w:val="0C25297A"/>
    <w:rsid w:val="0C266475"/>
    <w:rsid w:val="0C363581"/>
    <w:rsid w:val="0C4A1EDF"/>
    <w:rsid w:val="0D726E64"/>
    <w:rsid w:val="0E5E1AF9"/>
    <w:rsid w:val="0E692304"/>
    <w:rsid w:val="0ED14DFD"/>
    <w:rsid w:val="0EE57B33"/>
    <w:rsid w:val="0F7F4B27"/>
    <w:rsid w:val="10962D4E"/>
    <w:rsid w:val="10BB77B2"/>
    <w:rsid w:val="126A5AD2"/>
    <w:rsid w:val="15B31B0D"/>
    <w:rsid w:val="16022A3B"/>
    <w:rsid w:val="167B10CC"/>
    <w:rsid w:val="16A9081A"/>
    <w:rsid w:val="16C6401F"/>
    <w:rsid w:val="18FC46BB"/>
    <w:rsid w:val="195D7D05"/>
    <w:rsid w:val="19FE6FD8"/>
    <w:rsid w:val="1A3C3C92"/>
    <w:rsid w:val="1A63625D"/>
    <w:rsid w:val="1AB04949"/>
    <w:rsid w:val="1AC0719A"/>
    <w:rsid w:val="1AE0551E"/>
    <w:rsid w:val="1B2D30F7"/>
    <w:rsid w:val="1BA47E5E"/>
    <w:rsid w:val="1BAF356B"/>
    <w:rsid w:val="1C3D6AE4"/>
    <w:rsid w:val="1C9459DF"/>
    <w:rsid w:val="1C996CBF"/>
    <w:rsid w:val="1D1A49B2"/>
    <w:rsid w:val="1D2519F1"/>
    <w:rsid w:val="1D643F0B"/>
    <w:rsid w:val="1D9C280F"/>
    <w:rsid w:val="1E195BB5"/>
    <w:rsid w:val="1E5D4FA6"/>
    <w:rsid w:val="1F907506"/>
    <w:rsid w:val="20166F9C"/>
    <w:rsid w:val="20321AF5"/>
    <w:rsid w:val="2084546E"/>
    <w:rsid w:val="21FE09C6"/>
    <w:rsid w:val="22611966"/>
    <w:rsid w:val="22C35E78"/>
    <w:rsid w:val="23197D2C"/>
    <w:rsid w:val="23490CEA"/>
    <w:rsid w:val="24973257"/>
    <w:rsid w:val="24A50922"/>
    <w:rsid w:val="24C47121"/>
    <w:rsid w:val="257A4550"/>
    <w:rsid w:val="257D4C7B"/>
    <w:rsid w:val="25EE6D80"/>
    <w:rsid w:val="26214F98"/>
    <w:rsid w:val="264E54BC"/>
    <w:rsid w:val="268E7F6C"/>
    <w:rsid w:val="27882E26"/>
    <w:rsid w:val="292767C8"/>
    <w:rsid w:val="2BA02D2A"/>
    <w:rsid w:val="2C6F65A3"/>
    <w:rsid w:val="2D3C5344"/>
    <w:rsid w:val="2DFA32D2"/>
    <w:rsid w:val="2E5D2CD1"/>
    <w:rsid w:val="2E7F0644"/>
    <w:rsid w:val="2F0A59BC"/>
    <w:rsid w:val="2F775215"/>
    <w:rsid w:val="2FDB38B1"/>
    <w:rsid w:val="3013209C"/>
    <w:rsid w:val="316E0CFC"/>
    <w:rsid w:val="33964353"/>
    <w:rsid w:val="34731D75"/>
    <w:rsid w:val="348B4480"/>
    <w:rsid w:val="35830711"/>
    <w:rsid w:val="35C85B98"/>
    <w:rsid w:val="360733EB"/>
    <w:rsid w:val="37D267AC"/>
    <w:rsid w:val="38C32E2C"/>
    <w:rsid w:val="3A0C19B6"/>
    <w:rsid w:val="3B6E5087"/>
    <w:rsid w:val="3CCF112E"/>
    <w:rsid w:val="3CDF6C4A"/>
    <w:rsid w:val="3CEB2D8B"/>
    <w:rsid w:val="3DF83021"/>
    <w:rsid w:val="3DFE4778"/>
    <w:rsid w:val="3E6D6B56"/>
    <w:rsid w:val="3EBA200D"/>
    <w:rsid w:val="3F785DDA"/>
    <w:rsid w:val="3FEE07F8"/>
    <w:rsid w:val="40430962"/>
    <w:rsid w:val="40552625"/>
    <w:rsid w:val="408D35F7"/>
    <w:rsid w:val="4090365D"/>
    <w:rsid w:val="42D426D5"/>
    <w:rsid w:val="42E35790"/>
    <w:rsid w:val="42F0576E"/>
    <w:rsid w:val="434F39F0"/>
    <w:rsid w:val="44362AA2"/>
    <w:rsid w:val="445544C2"/>
    <w:rsid w:val="454D7AF5"/>
    <w:rsid w:val="45B271AB"/>
    <w:rsid w:val="46D94331"/>
    <w:rsid w:val="47066CFD"/>
    <w:rsid w:val="47415404"/>
    <w:rsid w:val="47461C72"/>
    <w:rsid w:val="478D69B8"/>
    <w:rsid w:val="4894464C"/>
    <w:rsid w:val="48A60AB7"/>
    <w:rsid w:val="48FE744D"/>
    <w:rsid w:val="4A4634BB"/>
    <w:rsid w:val="4A640364"/>
    <w:rsid w:val="4A7A3238"/>
    <w:rsid w:val="4BEC4D7D"/>
    <w:rsid w:val="4C046125"/>
    <w:rsid w:val="4CBA4493"/>
    <w:rsid w:val="4D78123D"/>
    <w:rsid w:val="4DC6051C"/>
    <w:rsid w:val="4E0830BF"/>
    <w:rsid w:val="4E7A6223"/>
    <w:rsid w:val="4E99077C"/>
    <w:rsid w:val="4F5A5B76"/>
    <w:rsid w:val="4F761CD4"/>
    <w:rsid w:val="4FCC3826"/>
    <w:rsid w:val="4FE0345D"/>
    <w:rsid w:val="50051470"/>
    <w:rsid w:val="515D3A2F"/>
    <w:rsid w:val="51760AB3"/>
    <w:rsid w:val="52163E2F"/>
    <w:rsid w:val="522C07F0"/>
    <w:rsid w:val="5264494A"/>
    <w:rsid w:val="529D2A43"/>
    <w:rsid w:val="53B95ADE"/>
    <w:rsid w:val="54280325"/>
    <w:rsid w:val="55144405"/>
    <w:rsid w:val="56095551"/>
    <w:rsid w:val="5613290E"/>
    <w:rsid w:val="57AE4104"/>
    <w:rsid w:val="58061E6E"/>
    <w:rsid w:val="581E03ED"/>
    <w:rsid w:val="582D0C0D"/>
    <w:rsid w:val="5B47061E"/>
    <w:rsid w:val="5BB6733D"/>
    <w:rsid w:val="5D3C0E89"/>
    <w:rsid w:val="5D4F34AE"/>
    <w:rsid w:val="5D5A07A1"/>
    <w:rsid w:val="5EB6656E"/>
    <w:rsid w:val="5F0375D1"/>
    <w:rsid w:val="5F2E07B9"/>
    <w:rsid w:val="5F426392"/>
    <w:rsid w:val="5F7A0AF7"/>
    <w:rsid w:val="5F8623A3"/>
    <w:rsid w:val="5FB562E0"/>
    <w:rsid w:val="5FD8069F"/>
    <w:rsid w:val="5FF359D8"/>
    <w:rsid w:val="606B295B"/>
    <w:rsid w:val="61220526"/>
    <w:rsid w:val="63A971F3"/>
    <w:rsid w:val="63F253ED"/>
    <w:rsid w:val="64567F6C"/>
    <w:rsid w:val="646D67E9"/>
    <w:rsid w:val="64F1387D"/>
    <w:rsid w:val="655C0289"/>
    <w:rsid w:val="659D21F5"/>
    <w:rsid w:val="66746F37"/>
    <w:rsid w:val="679B608F"/>
    <w:rsid w:val="68477EB1"/>
    <w:rsid w:val="69140A20"/>
    <w:rsid w:val="69274FEC"/>
    <w:rsid w:val="6A18448F"/>
    <w:rsid w:val="6ACE326F"/>
    <w:rsid w:val="6B3D24B0"/>
    <w:rsid w:val="6B6A06CF"/>
    <w:rsid w:val="6BB833B1"/>
    <w:rsid w:val="6E2F1A66"/>
    <w:rsid w:val="6EB10340"/>
    <w:rsid w:val="6EC66318"/>
    <w:rsid w:val="6F4453E8"/>
    <w:rsid w:val="6FE06956"/>
    <w:rsid w:val="702D332D"/>
    <w:rsid w:val="725B2CAB"/>
    <w:rsid w:val="726327E9"/>
    <w:rsid w:val="7268419D"/>
    <w:rsid w:val="72D5770F"/>
    <w:rsid w:val="73227DB5"/>
    <w:rsid w:val="742D64E1"/>
    <w:rsid w:val="74762EC5"/>
    <w:rsid w:val="74871C17"/>
    <w:rsid w:val="74A975CB"/>
    <w:rsid w:val="74EB00C5"/>
    <w:rsid w:val="756C0A41"/>
    <w:rsid w:val="75994786"/>
    <w:rsid w:val="75A76FC6"/>
    <w:rsid w:val="762A6B70"/>
    <w:rsid w:val="76374DC5"/>
    <w:rsid w:val="77201881"/>
    <w:rsid w:val="773C6561"/>
    <w:rsid w:val="779C3A1A"/>
    <w:rsid w:val="77FC6ADD"/>
    <w:rsid w:val="7A65181B"/>
    <w:rsid w:val="7A807945"/>
    <w:rsid w:val="7B413251"/>
    <w:rsid w:val="7C1B7E3E"/>
    <w:rsid w:val="7CA32F59"/>
    <w:rsid w:val="7CF80610"/>
    <w:rsid w:val="7D103329"/>
    <w:rsid w:val="7DED1B13"/>
    <w:rsid w:val="7DED63B1"/>
    <w:rsid w:val="7E085F67"/>
    <w:rsid w:val="7E7F2EFB"/>
    <w:rsid w:val="7E9B631C"/>
    <w:rsid w:val="7EE30CC6"/>
    <w:rsid w:val="7F4F5EB6"/>
    <w:rsid w:val="7FCA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Autospacing="0" w:after="0" w:afterAutospacing="0"/>
      <w:ind w:left="0" w:right="0"/>
      <w:jc w:val="left"/>
    </w:pPr>
    <w:rPr>
      <w:rFonts w:hint="eastAsia" w:ascii="宋体" w:hAnsi="宋体" w:eastAsia="仿宋_GB2312" w:cs="宋体"/>
      <w:kern w:val="2"/>
      <w:sz w:val="32"/>
      <w:szCs w:val="32"/>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3775</Words>
  <Characters>3985</Characters>
  <Lines>0</Lines>
  <Paragraphs>0</Paragraphs>
  <TotalTime>25</TotalTime>
  <ScaleCrop>false</ScaleCrop>
  <LinksUpToDate>false</LinksUpToDate>
  <CharactersWithSpaces>4027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2021-05-08T03:11:00Z</dcterms:created>
  <dc:creator>Acer</dc:creator>
  <cp:lastModifiedBy>而已.</cp:lastModifiedBy>
  <cp:lastPrinted>2021-05-12T06:54:00Z</cp:lastPrinted>
  <dcterms:modified xsi:type="dcterms:W3CDTF">2024-12-18T10:39:29Z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487605179_btnclosed</vt:lpwstr>
  </property>
  <property fmtid="{D5CDD505-2E9C-101B-9397-08002B2CF9AE}" pid="4" name="ICV">
    <vt:lpwstr>0BAA3AB53E034D4AB27BB9F81632BFF4</vt:lpwstr>
  </property>
</Properties>
</file>