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小标宋_GBK" w:hAnsi="方正小标宋_GBK" w:eastAsia="方正小标宋_GBK" w:cs="方正小标宋_GBK"/>
          <w:color w:val="FF0000"/>
          <w:w w:val="50"/>
          <w:sz w:val="100"/>
          <w:szCs w:val="100"/>
        </w:rPr>
      </w:pPr>
      <w:bookmarkStart w:id="0" w:name="文号"/>
      <w:r>
        <w:rPr>
          <w:rFonts w:hint="eastAsia" w:ascii="方正小标宋_GBK" w:hAnsi="方正小标宋_GBK" w:eastAsia="方正小标宋_GBK" w:cs="方正小标宋_GBK"/>
          <w:color w:val="FF0000"/>
          <w:w w:val="50"/>
          <w:sz w:val="100"/>
          <w:szCs w:val="10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7620" b="14605"/>
                <wp:wrapNone/>
                <wp:docPr id="2" name="直接连接符 2"/>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Pzkxnj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方正小标宋_GBK" w:hAnsi="方正小标宋_GBK" w:eastAsia="方正小标宋_GBK" w:cs="方正小标宋_GBK"/>
          <w:color w:val="FF0000"/>
          <w:w w:val="50"/>
          <w:sz w:val="100"/>
          <w:szCs w:val="100"/>
        </w:rPr>
        <w:t>重庆市建设项目环境影响评价文件批准书</w:t>
      </w:r>
    </w:p>
    <w:p>
      <w:pPr>
        <w:pStyle w:val="6"/>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rPr>
      </w:pPr>
      <w:r>
        <w:rPr>
          <w:rFonts w:hint="eastAsia" w:ascii="Times New Roman" w:hAnsi="Times New Roman" w:eastAsia="方正仿宋_GBK"/>
          <w:bCs/>
          <w:sz w:val="32"/>
          <w:szCs w:val="32"/>
        </w:rPr>
        <w:t>渝（足）环准〔202</w:t>
      </w:r>
      <w:r>
        <w:rPr>
          <w:rFonts w:hint="eastAsia" w:eastAsia="方正仿宋_GBK"/>
          <w:bCs/>
          <w:sz w:val="32"/>
          <w:szCs w:val="32"/>
          <w:lang w:val="en-US" w:eastAsia="zh-CN"/>
        </w:rPr>
        <w:t>4</w:t>
      </w:r>
      <w:r>
        <w:rPr>
          <w:rFonts w:hint="eastAsia" w:ascii="Times New Roman" w:hAnsi="Times New Roman" w:eastAsia="方正仿宋_GBK"/>
          <w:bCs/>
          <w:sz w:val="32"/>
          <w:szCs w:val="32"/>
        </w:rPr>
        <w:t>〕0</w:t>
      </w:r>
      <w:r>
        <w:rPr>
          <w:rFonts w:hint="eastAsia" w:eastAsia="方正仿宋_GBK"/>
          <w:bCs/>
          <w:sz w:val="32"/>
          <w:szCs w:val="32"/>
          <w:lang w:val="en-US" w:eastAsia="zh-CN"/>
        </w:rPr>
        <w:t>15</w:t>
      </w:r>
      <w:r>
        <w:rPr>
          <w:rFonts w:hint="eastAsia" w:ascii="Times New Roman" w:hAnsi="Times New Roman" w:eastAsia="方正仿宋_GBK"/>
          <w:bCs/>
          <w:sz w:val="32"/>
          <w:szCs w:val="32"/>
        </w:rPr>
        <w:t>号</w:t>
      </w:r>
      <w:bookmarkEnd w:id="0"/>
    </w:p>
    <w:p>
      <w:pPr>
        <w:pStyle w:val="1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val="0"/>
          <w:bCs/>
          <w:color w:val="000000"/>
          <w:spacing w:val="0"/>
          <w:kern w:val="2"/>
          <w:sz w:val="32"/>
          <w:szCs w:val="32"/>
          <w:lang w:bidi="ar-SA"/>
        </w:rPr>
      </w:pPr>
      <w:bookmarkStart w:id="1" w:name="建设单位"/>
      <w:r>
        <w:rPr>
          <w:rFonts w:hint="eastAsia" w:ascii="方正仿宋_GBK" w:hAnsi="方正仿宋_GBK" w:eastAsia="方正仿宋_GBK" w:cs="方正仿宋_GBK"/>
          <w:sz w:val="32"/>
          <w:szCs w:val="32"/>
          <w:u w:val="none"/>
        </w:rPr>
        <w:t>重庆锐思顿科技有限公司</w:t>
      </w:r>
      <w:r>
        <w:rPr>
          <w:rFonts w:hint="eastAsia" w:ascii="方正仿宋_GBK" w:hAnsi="方正仿宋_GBK" w:eastAsia="方正仿宋_GBK" w:cs="方正仿宋_GBK"/>
          <w:b w:val="0"/>
          <w:bCs/>
          <w:color w:val="000000"/>
          <w:spacing w:val="0"/>
          <w:kern w:val="2"/>
          <w:sz w:val="32"/>
          <w:szCs w:val="32"/>
          <w:lang w:bidi="ar-SA"/>
        </w:rPr>
        <w:t>：</w:t>
      </w:r>
    </w:p>
    <w:p>
      <w:pPr>
        <w:pStyle w:val="14"/>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你公司报送的</w:t>
      </w:r>
      <w:r>
        <w:rPr>
          <w:rFonts w:hint="eastAsia" w:ascii="方正仿宋_GBK" w:hAnsi="方正仿宋_GBK" w:eastAsia="方正仿宋_GBK" w:cs="方正仿宋_GBK"/>
          <w:sz w:val="32"/>
          <w:szCs w:val="32"/>
        </w:rPr>
        <w:t>锐思顿高新复合材料项目</w:t>
      </w:r>
      <w:r>
        <w:rPr>
          <w:rFonts w:hint="eastAsia" w:ascii="方正仿宋_GBK" w:hAnsi="方正仿宋_GBK" w:eastAsia="方正仿宋_GBK" w:cs="方正仿宋_GBK"/>
          <w:b w:val="0"/>
          <w:bCs/>
          <w:color w:val="000000"/>
          <w:spacing w:val="0"/>
          <w:kern w:val="2"/>
          <w:sz w:val="32"/>
          <w:szCs w:val="32"/>
          <w:lang w:val="en-US" w:eastAsia="zh-CN" w:bidi="ar-SA"/>
        </w:rPr>
        <w:t>（项目代码：</w:t>
      </w:r>
      <w:r>
        <w:rPr>
          <w:rFonts w:hint="eastAsia" w:ascii="方正仿宋_GBK" w:hAnsi="方正仿宋_GBK" w:eastAsia="方正仿宋_GBK" w:cs="方正仿宋_GBK"/>
          <w:sz w:val="32"/>
          <w:szCs w:val="32"/>
        </w:rPr>
        <w:t>2020-500111-22-03-131241</w:t>
      </w:r>
      <w:r>
        <w:rPr>
          <w:rFonts w:hint="eastAsia" w:ascii="方正仿宋_GBK" w:hAnsi="方正仿宋_GBK" w:eastAsia="方正仿宋_GBK" w:cs="方正仿宋_GBK"/>
          <w:b w:val="0"/>
          <w:bCs/>
          <w:color w:val="000000"/>
          <w:spacing w:val="0"/>
          <w:kern w:val="2"/>
          <w:sz w:val="32"/>
          <w:szCs w:val="32"/>
          <w:lang w:val="en-US" w:eastAsia="zh-CN" w:bidi="ar-SA"/>
        </w:rPr>
        <w:t>）环境影响评价文件审批申请表及相关材料收悉。根据《中华人民共和国环境影响评价法》等法律法规的有关规定，我局原则同意重庆润本环保科技有限公司（统一社会信用代码：91500107MA607DQX7P）编制的该项目环境影响报告表结论及其提出的环境保护措施。同意该项目在重庆大足高新技术产业开发区（万古镇）建设。</w:t>
      </w:r>
    </w:p>
    <w:p>
      <w:pPr>
        <w:pStyle w:val="18"/>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Calibri" w:hAnsi="Calibri" w:eastAsia="方正黑体_GBK" w:cs="Times New Roman"/>
          <w:bCs/>
          <w:color w:val="000000"/>
          <w:spacing w:val="0"/>
          <w:sz w:val="32"/>
          <w:szCs w:val="32"/>
          <w:lang w:val="en-US" w:eastAsia="zh-CN"/>
        </w:rPr>
        <w:t>一、项目主要建设内容</w:t>
      </w:r>
      <w:r>
        <w:rPr>
          <w:rFonts w:hint="eastAsia" w:ascii="方正仿宋_GBK" w:hAnsi="方正仿宋_GBK" w:eastAsia="方正仿宋_GBK" w:cs="方正仿宋_GBK"/>
          <w:b w:val="0"/>
          <w:bCs/>
          <w:color w:val="000000"/>
          <w:spacing w:val="0"/>
          <w:kern w:val="2"/>
          <w:sz w:val="32"/>
          <w:szCs w:val="32"/>
          <w:lang w:val="en-US" w:eastAsia="zh-CN" w:bidi="ar-SA"/>
        </w:rPr>
        <w:t>：</w:t>
      </w:r>
      <w:r>
        <w:rPr>
          <w:rFonts w:hint="eastAsia" w:ascii="方正仿宋_GBK" w:hAnsi="方正仿宋_GBK" w:eastAsia="方正仿宋_GBK" w:cs="方正仿宋_GBK"/>
          <w:kern w:val="0"/>
          <w:sz w:val="32"/>
          <w:szCs w:val="32"/>
        </w:rPr>
        <w:t>购置分纸机、数控卷管机、切管机、搅拌罐、蒸汽锅炉、烘干机房等设备建成汽车零部件包装（汽车音响纸制纸筒，纸管）生产线，年产汽车零部件包装（汽车音响纸制纸筒，纸管）约12000吨。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Calibri" w:hAnsi="Calibri" w:eastAsia="方正黑体_GBK" w:cs="Times New Roman"/>
          <w:bCs/>
          <w:color w:val="000000"/>
          <w:spacing w:val="0"/>
          <w:sz w:val="32"/>
          <w:szCs w:val="32"/>
          <w:lang w:val="en-US" w:eastAsia="zh-CN"/>
        </w:rPr>
      </w:pPr>
      <w:r>
        <w:rPr>
          <w:rFonts w:hint="eastAsia" w:ascii="Calibri" w:hAnsi="Calibri" w:eastAsia="方正黑体_GBK" w:cs="Times New Roman"/>
          <w:bCs/>
          <w:color w:val="000000"/>
          <w:spacing w:val="0"/>
          <w:sz w:val="32"/>
          <w:szCs w:val="32"/>
          <w:lang w:val="en-US" w:eastAsia="zh-CN"/>
        </w:rPr>
        <w:t>二、项目建设与运营管理中，必须认真落实环境影响报告表中提出的各项污染防治措施，实施清洁生产，减少污染物产生和排放，重点应做好以下工作：</w:t>
      </w:r>
    </w:p>
    <w:p>
      <w:pPr>
        <w:pStyle w:val="14"/>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一）严格落实废气污染防治措施。项目投料粉尘经集气罩收集后经布袋除尘器处理达《大气污染物综合排放标准》（DB50/418-2016）中相关要求后由15米高排气筒排放；锅炉配备低氮燃烧装置，收集后直接后通过12米高排气筒引至厂房房顶排放，满足《锅炉大气污染物排放标准》（DB50/ 658—2016）及重庆市地方标准第1号修改单（2021年1月1号实施）相关标准要求。</w:t>
      </w: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此外，厂界无组织排放的</w:t>
      </w:r>
      <w:r>
        <w:rPr>
          <w:rFonts w:hint="eastAsia" w:ascii="方正仿宋_GBK" w:hAnsi="方正仿宋_GBK" w:eastAsia="方正仿宋_GBK" w:cs="方正仿宋_GBK"/>
          <w:color w:val="000000" w:themeColor="text1"/>
          <w:sz w:val="32"/>
          <w:szCs w:val="32"/>
          <w14:textFill>
            <w14:solidFill>
              <w14:schemeClr w14:val="tx1"/>
            </w14:solidFill>
          </w14:textFill>
        </w:rPr>
        <w:t>颗粒物、臭气浓度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分别执行</w:t>
      </w:r>
      <w:r>
        <w:rPr>
          <w:rFonts w:hint="eastAsia"/>
          <w:color w:val="000000"/>
          <w:sz w:val="32"/>
          <w:szCs w:val="32"/>
          <w:lang w:val="pt-BR"/>
        </w:rPr>
        <w:t>《大气污染物综合排放标准》（DB50/418-2016）</w:t>
      </w:r>
      <w:r>
        <w:rPr>
          <w:rFonts w:hint="eastAsia"/>
          <w:color w:val="000000"/>
          <w:sz w:val="32"/>
          <w:szCs w:val="32"/>
          <w:lang w:val="pt-BR" w:eastAsia="zh-CN"/>
        </w:rPr>
        <w:t>、</w:t>
      </w:r>
      <w:r>
        <w:rPr>
          <w:color w:val="000000"/>
          <w:sz w:val="32"/>
          <w:szCs w:val="32"/>
        </w:rPr>
        <w:t>《恶臭污染物排放标准》（GB14554-93）</w:t>
      </w:r>
      <w:r>
        <w:rPr>
          <w:rFonts w:hint="eastAsia"/>
          <w:color w:val="000000"/>
          <w:sz w:val="32"/>
          <w:szCs w:val="32"/>
          <w:lang w:val="en-US" w:eastAsia="zh-CN"/>
        </w:rPr>
        <w:t>标准</w:t>
      </w:r>
      <w:r>
        <w:rPr>
          <w:rFonts w:hint="eastAsia" w:ascii="方正仿宋_GBK" w:hAnsi="方正仿宋_GBK" w:eastAsia="方正仿宋_GBK" w:cs="方正仿宋_GBK"/>
          <w:b w:val="0"/>
          <w:bCs/>
          <w:color w:val="000000"/>
          <w:spacing w:val="0"/>
          <w:kern w:val="2"/>
          <w:sz w:val="32"/>
          <w:szCs w:val="32"/>
          <w:lang w:val="en-US" w:eastAsia="zh-CN" w:bidi="ar-SA"/>
        </w:rPr>
        <w:t>。</w:t>
      </w:r>
    </w:p>
    <w:p>
      <w:pPr>
        <w:pStyle w:val="14"/>
        <w:keepNext w:val="0"/>
        <w:keepLines w:val="0"/>
        <w:pageBreakBefore w:val="0"/>
        <w:kinsoku/>
        <w:wordWrap/>
        <w:overflowPunct/>
        <w:bidi w:val="0"/>
        <w:spacing w:line="580" w:lineRule="exact"/>
        <w:ind w:firstLine="640" w:firstLineChars="200"/>
        <w:jc w:val="both"/>
        <w:textAlignment w:val="auto"/>
        <w:rPr>
          <w:rFonts w:hint="eastAsia" w:ascii="Times New Roman"/>
          <w:snapToGrid w:val="0"/>
          <w:color w:val="000000"/>
          <w:kern w:val="0"/>
          <w:sz w:val="32"/>
          <w:szCs w:val="32"/>
          <w:lang w:eastAsia="zh-CN"/>
        </w:rPr>
      </w:pPr>
      <w:r>
        <w:rPr>
          <w:rFonts w:hint="eastAsia" w:ascii="方正仿宋_GBK" w:hAnsi="方正仿宋_GBK" w:eastAsia="方正仿宋_GBK" w:cs="方正仿宋_GBK"/>
          <w:b w:val="0"/>
          <w:bCs/>
          <w:color w:val="000000"/>
          <w:spacing w:val="0"/>
          <w:kern w:val="2"/>
          <w:sz w:val="32"/>
          <w:szCs w:val="32"/>
          <w:lang w:val="en-US" w:eastAsia="zh-CN" w:bidi="ar-SA"/>
        </w:rPr>
        <w:t>（二）严格落实水污染防治措施。项目采取雨污分流，雨水排入市政雨水管网</w:t>
      </w:r>
      <w:bookmarkStart w:id="2" w:name="_Hlk68661194"/>
      <w:r>
        <w:rPr>
          <w:rFonts w:hint="eastAsia" w:ascii="方正仿宋_GBK" w:hAnsi="方正仿宋_GBK" w:eastAsia="方正仿宋_GBK" w:cs="方正仿宋_GBK"/>
          <w:b w:val="0"/>
          <w:bCs/>
          <w:color w:val="000000"/>
          <w:spacing w:val="0"/>
          <w:kern w:val="2"/>
          <w:sz w:val="32"/>
          <w:szCs w:val="32"/>
          <w:lang w:val="en-US" w:eastAsia="zh-CN" w:bidi="ar-SA"/>
        </w:rPr>
        <w:t>，</w:t>
      </w:r>
      <w:bookmarkEnd w:id="2"/>
      <w:r>
        <w:rPr>
          <w:rFonts w:ascii="Times New Roman" w:hAnsi="Times New Roman"/>
          <w:bCs/>
          <w:color w:val="000000"/>
          <w:sz w:val="32"/>
          <w:szCs w:val="32"/>
          <w:highlight w:val="none"/>
          <w:u w:val="none" w:color="auto"/>
        </w:rPr>
        <w:t>食堂废水经隔油池预处理</w:t>
      </w:r>
      <w:r>
        <w:rPr>
          <w:rFonts w:hint="eastAsia" w:ascii="Times New Roman" w:hAnsi="Times New Roman"/>
          <w:bCs/>
          <w:color w:val="000000"/>
          <w:sz w:val="32"/>
          <w:szCs w:val="32"/>
          <w:highlight w:val="none"/>
          <w:u w:val="none" w:color="auto"/>
          <w:lang w:eastAsia="zh-CN"/>
        </w:rPr>
        <w:t>后与</w:t>
      </w:r>
      <w:r>
        <w:rPr>
          <w:rFonts w:hint="eastAsia" w:ascii="Times New Roman" w:hAnsi="Times New Roman"/>
          <w:snapToGrid w:val="0"/>
          <w:color w:val="000000"/>
          <w:kern w:val="0"/>
          <w:sz w:val="32"/>
          <w:szCs w:val="32"/>
        </w:rPr>
        <w:t>地面清洁废水、锅炉废水</w:t>
      </w:r>
      <w:r>
        <w:rPr>
          <w:rFonts w:hint="eastAsia" w:ascii="Times New Roman" w:hAnsi="Times New Roman"/>
          <w:snapToGrid w:val="0"/>
          <w:color w:val="000000"/>
          <w:kern w:val="0"/>
          <w:sz w:val="32"/>
          <w:szCs w:val="32"/>
          <w:lang w:eastAsia="zh-CN"/>
        </w:rPr>
        <w:t>、</w:t>
      </w:r>
      <w:r>
        <w:rPr>
          <w:rFonts w:ascii="Times New Roman" w:hAnsi="Times New Roman"/>
          <w:snapToGrid w:val="0"/>
          <w:color w:val="000000"/>
          <w:kern w:val="0"/>
          <w:sz w:val="32"/>
          <w:szCs w:val="32"/>
        </w:rPr>
        <w:t>生活污水一起进入生化池处理，</w:t>
      </w:r>
      <w:r>
        <w:rPr>
          <w:rFonts w:hint="eastAsia" w:ascii="Times New Roman" w:hAnsi="Times New Roman"/>
          <w:snapToGrid w:val="0"/>
          <w:color w:val="000000"/>
          <w:kern w:val="0"/>
          <w:sz w:val="32"/>
          <w:szCs w:val="32"/>
        </w:rPr>
        <w:t>达万古工业园污水处理厂纳管水质要求后</w:t>
      </w:r>
      <w:r>
        <w:rPr>
          <w:rFonts w:ascii="Times New Roman" w:hAnsi="Times New Roman"/>
          <w:snapToGrid w:val="0"/>
          <w:color w:val="000000"/>
          <w:kern w:val="0"/>
          <w:sz w:val="32"/>
          <w:szCs w:val="32"/>
        </w:rPr>
        <w:t>排入</w:t>
      </w:r>
      <w:r>
        <w:rPr>
          <w:rFonts w:hint="eastAsia" w:ascii="Times New Roman"/>
          <w:snapToGrid w:val="0"/>
          <w:color w:val="000000"/>
          <w:kern w:val="0"/>
          <w:sz w:val="32"/>
          <w:szCs w:val="32"/>
          <w:lang w:val="en-US" w:eastAsia="zh-CN"/>
        </w:rPr>
        <w:t>万古工业园区污水处理厂</w:t>
      </w:r>
      <w:r>
        <w:rPr>
          <w:rFonts w:hint="eastAsia" w:ascii="Times New Roman"/>
          <w:snapToGrid w:val="0"/>
          <w:color w:val="000000"/>
          <w:kern w:val="0"/>
          <w:sz w:val="32"/>
          <w:szCs w:val="32"/>
          <w:lang w:eastAsia="zh-CN"/>
        </w:rPr>
        <w:t>。</w:t>
      </w:r>
    </w:p>
    <w:p>
      <w:pPr>
        <w:pStyle w:val="14"/>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（三）严格落实噪声污染防治措施。项目采用基础减振、厂房隔声、合理布局等措施后，厂界噪声满足《工业企业厂界环境噪声排放标准》（GB12348-2008）3类标准限值。</w:t>
      </w:r>
    </w:p>
    <w:p>
      <w:pPr>
        <w:pStyle w:val="14"/>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spacing w:val="0"/>
          <w:kern w:val="2"/>
          <w:sz w:val="32"/>
          <w:szCs w:val="32"/>
          <w:lang w:val="en-US" w:eastAsia="zh-CN" w:bidi="ar-SA"/>
        </w:rPr>
      </w:pPr>
      <w:r>
        <w:rPr>
          <w:rFonts w:hint="eastAsia" w:ascii="方正仿宋_GBK" w:hAnsi="方正仿宋_GBK" w:eastAsia="方正仿宋_GBK" w:cs="方正仿宋_GBK"/>
          <w:b w:val="0"/>
          <w:bCs/>
          <w:color w:val="000000"/>
          <w:spacing w:val="0"/>
          <w:kern w:val="2"/>
          <w:sz w:val="32"/>
          <w:szCs w:val="32"/>
          <w:lang w:val="en-US" w:eastAsia="zh-CN" w:bidi="ar-SA"/>
        </w:rPr>
        <w:t>（四）严格落实固体废物分类处置和综合利用措施。项</w:t>
      </w:r>
      <w:bookmarkStart w:id="3" w:name="OLE_LINK16"/>
      <w:bookmarkStart w:id="4" w:name="OLE_LINK17"/>
      <w:r>
        <w:rPr>
          <w:rFonts w:hint="eastAsia" w:ascii="方正仿宋_GBK" w:hAnsi="方正仿宋_GBK" w:eastAsia="方正仿宋_GBK" w:cs="方正仿宋_GBK"/>
          <w:b w:val="0"/>
          <w:bCs/>
          <w:color w:val="000000"/>
          <w:spacing w:val="0"/>
          <w:kern w:val="2"/>
          <w:sz w:val="32"/>
          <w:szCs w:val="32"/>
          <w:lang w:val="en-US" w:eastAsia="zh-CN" w:bidi="ar-SA"/>
        </w:rPr>
        <w:t>目产生的废纸边、废包装物、除尘灰、废离子树脂等一般工业固废参照执行《一般工业固体废物贮存和填埋污染控制标准》（GB18599-2020），采用库房、包装工具（罐、桶、包装袋等）贮存一般工业固体废物，其贮存过程应当满足相应防渗漏、防雨淋、防扬尘等环境保护要求</w:t>
      </w:r>
      <w:bookmarkEnd w:id="3"/>
      <w:bookmarkEnd w:id="4"/>
      <w:r>
        <w:rPr>
          <w:rFonts w:hint="eastAsia" w:ascii="方正仿宋_GBK" w:hAnsi="方正仿宋_GBK" w:eastAsia="方正仿宋_GBK" w:cs="方正仿宋_GBK"/>
          <w:b w:val="0"/>
          <w:bCs/>
          <w:color w:val="000000"/>
          <w:spacing w:val="0"/>
          <w:kern w:val="2"/>
          <w:sz w:val="32"/>
          <w:szCs w:val="32"/>
          <w:lang w:val="en-US" w:eastAsia="zh-CN" w:bidi="ar-SA"/>
        </w:rPr>
        <w:t>；废液压油、废油桶、废含油棉纱及手套、空压机含油废液等危险废物应分类收集，贮存库严格执行《危险废物贮存污染控制标准》（GB18597-2023），转移执行《危险废物转移管理办法》（生态环境部 公安部 交通运输部 部令第23号）中的相关要求；生活垃圾实行分类收集，由环卫部门统一收集处置。</w:t>
      </w:r>
    </w:p>
    <w:p>
      <w:pPr>
        <w:pStyle w:val="14"/>
        <w:keepNext w:val="0"/>
        <w:keepLines w:val="0"/>
        <w:pageBreakBefore w:val="0"/>
        <w:kinsoku/>
        <w:wordWrap/>
        <w:overflowPunct/>
        <w:bidi w:val="0"/>
        <w:spacing w:line="580" w:lineRule="exact"/>
        <w:ind w:firstLine="640" w:firstLineChars="200"/>
        <w:jc w:val="both"/>
        <w:textAlignment w:val="auto"/>
        <w:rPr>
          <w:rFonts w:hint="eastAsia" w:ascii="方正仿宋_GBK" w:hAnsi="方正仿宋_GBK" w:eastAsia="方正仿宋_GBK" w:cs="方正仿宋_GBK"/>
          <w:b w:val="0"/>
          <w:bCs/>
          <w:color w:val="000000" w:themeColor="text1"/>
          <w:spacing w:val="0"/>
          <w:kern w:val="2"/>
          <w:sz w:val="32"/>
          <w:szCs w:val="32"/>
          <w:lang w:val="zh-CN" w:eastAsia="zh-CN" w:bidi="ar-SA"/>
          <w14:textFill>
            <w14:solidFill>
              <w14:schemeClr w14:val="tx1"/>
            </w14:solidFill>
          </w14:textFill>
        </w:rPr>
      </w:pPr>
      <w:r>
        <w:rPr>
          <w:rFonts w:hint="eastAsia" w:ascii="方正仿宋_GBK" w:hAnsi="方正仿宋_GBK" w:eastAsia="方正仿宋_GBK" w:cs="方正仿宋_GBK"/>
          <w:b w:val="0"/>
          <w:bCs/>
          <w:color w:val="000000"/>
          <w:spacing w:val="0"/>
          <w:kern w:val="2"/>
          <w:sz w:val="32"/>
          <w:szCs w:val="32"/>
          <w:lang w:val="en-US" w:eastAsia="zh-CN" w:bidi="ar-SA"/>
        </w:rPr>
        <w:t>（五）严格落实土壤和地下水污染防治措施。项目</w:t>
      </w:r>
      <w:r>
        <w:rPr>
          <w:rFonts w:hint="eastAsia" w:ascii="方正仿宋_GBK" w:hAnsi="方正仿宋_GBK" w:eastAsia="方正仿宋_GBK" w:cs="方正仿宋_GBK"/>
          <w:b w:val="0"/>
          <w:bCs/>
          <w:color w:val="000000"/>
          <w:spacing w:val="0"/>
          <w:kern w:val="2"/>
          <w:sz w:val="32"/>
          <w:szCs w:val="32"/>
          <w:lang w:val="zh-CN" w:eastAsia="zh-CN" w:bidi="ar-SA"/>
        </w:rPr>
        <w:t>采用分区防渗措施，</w:t>
      </w:r>
      <w:r>
        <w:rPr>
          <w:rFonts w:hint="eastAsia" w:ascii="方正仿宋_GBK" w:hAnsi="方正仿宋_GBK" w:eastAsia="方正仿宋_GBK" w:cs="方正仿宋_GBK"/>
          <w:b w:val="0"/>
          <w:bCs/>
          <w:color w:val="000000"/>
          <w:spacing w:val="0"/>
          <w:kern w:val="2"/>
          <w:sz w:val="32"/>
          <w:szCs w:val="32"/>
          <w:lang w:val="en-US" w:eastAsia="zh-CN" w:bidi="ar-SA"/>
        </w:rPr>
        <w:t>危险废物暂存间、辅料库房及搅拌罐区等重点防渗区应</w:t>
      </w:r>
      <w:r>
        <w:rPr>
          <w:rFonts w:hint="eastAsia" w:ascii="方正仿宋_GBK" w:hAnsi="方正仿宋_GBK" w:eastAsia="方正仿宋_GBK" w:cs="方正仿宋_GBK"/>
          <w:b w:val="0"/>
          <w:bCs/>
          <w:color w:val="000000"/>
          <w:spacing w:val="0"/>
          <w:kern w:val="2"/>
          <w:sz w:val="32"/>
          <w:szCs w:val="32"/>
          <w:lang w:val="zh-CN" w:eastAsia="zh-CN" w:bidi="ar-SA"/>
        </w:rPr>
        <w:t>满足《环境影响评价技术导则地下水环境》（HJ610-2016）中等效黏土</w:t>
      </w:r>
      <w:r>
        <w:rPr>
          <w:rFonts w:hint="eastAsia" w:ascii="方正仿宋_GBK" w:hAnsi="方正仿宋_GBK" w:eastAsia="方正仿宋_GBK" w:cs="方正仿宋_GBK"/>
          <w:b w:val="0"/>
          <w:bCs/>
          <w:color w:val="000000"/>
          <w:spacing w:val="0"/>
          <w:kern w:val="2"/>
          <w:sz w:val="32"/>
          <w:szCs w:val="32"/>
          <w:lang w:val="en-US" w:eastAsia="zh-CN" w:bidi="ar-SA"/>
        </w:rPr>
        <w:t>的防</w:t>
      </w:r>
      <w:r>
        <w:rPr>
          <w:rFonts w:hint="eastAsia" w:ascii="方正仿宋_GBK" w:hAnsi="方正仿宋_GBK" w:eastAsia="方正仿宋_GBK" w:cs="方正仿宋_GBK"/>
          <w:color w:val="000000"/>
          <w:kern w:val="2"/>
          <w:sz w:val="32"/>
          <w:szCs w:val="32"/>
          <w:lang w:val="en-US" w:eastAsia="zh-CN" w:bidi="ar-SA"/>
        </w:rPr>
        <w:t>渗性能</w:t>
      </w:r>
      <w:r>
        <w:rPr>
          <w:rFonts w:hint="eastAsia" w:ascii="方正仿宋_GBK" w:hAnsi="方正仿宋_GBK" w:eastAsia="方正仿宋_GBK" w:cs="方正仿宋_GBK"/>
          <w:b w:val="0"/>
          <w:bCs/>
          <w:color w:val="000000"/>
          <w:spacing w:val="0"/>
          <w:kern w:val="2"/>
          <w:sz w:val="32"/>
          <w:szCs w:val="32"/>
          <w:lang w:val="en-US" w:eastAsia="zh-CN" w:bidi="ar-SA"/>
        </w:rPr>
        <w:t>不低于6米厚</w:t>
      </w:r>
      <w:r>
        <w:rPr>
          <w:rFonts w:hint="eastAsia" w:ascii="方正仿宋_GBK" w:hAnsi="方正仿宋_GBK" w:eastAsia="方正仿宋_GBK" w:cs="方正仿宋_GBK"/>
          <w:b w:val="0"/>
          <w:bCs/>
          <w:color w:val="000000"/>
          <w:spacing w:val="0"/>
          <w:kern w:val="2"/>
          <w:sz w:val="32"/>
          <w:szCs w:val="32"/>
          <w:lang w:val="zh-CN" w:eastAsia="zh-CN" w:bidi="ar-SA"/>
        </w:rPr>
        <w:t>，渗透系数为1×10</w:t>
      </w:r>
      <w:r>
        <w:rPr>
          <w:rFonts w:hint="eastAsia" w:ascii="方正仿宋_GBK" w:hAnsi="方正仿宋_GBK" w:eastAsia="方正仿宋_GBK" w:cs="方正仿宋_GBK"/>
          <w:color w:val="auto"/>
          <w:sz w:val="32"/>
          <w:szCs w:val="32"/>
          <w:highlight w:val="none"/>
          <w:vertAlign w:val="superscript"/>
          <w:lang w:val="zh-CN"/>
        </w:rPr>
        <w:t>-7</w:t>
      </w:r>
      <w:r>
        <w:rPr>
          <w:rFonts w:hint="eastAsia" w:ascii="方正仿宋_GBK" w:hAnsi="方正仿宋_GBK" w:eastAsia="方正仿宋_GBK" w:cs="方正仿宋_GBK"/>
          <w:b w:val="0"/>
          <w:bCs/>
          <w:color w:val="000000"/>
          <w:spacing w:val="0"/>
          <w:kern w:val="2"/>
          <w:sz w:val="32"/>
          <w:szCs w:val="32"/>
          <w:lang w:val="en-US" w:eastAsia="zh-CN" w:bidi="ar-SA"/>
        </w:rPr>
        <w:t>厘米/秒</w:t>
      </w:r>
      <w:r>
        <w:rPr>
          <w:rFonts w:hint="eastAsia" w:ascii="方正仿宋_GBK" w:hAnsi="方正仿宋_GBK" w:eastAsia="方正仿宋_GBK" w:cs="方正仿宋_GBK"/>
          <w:b w:val="0"/>
          <w:bCs/>
          <w:color w:val="000000"/>
          <w:spacing w:val="0"/>
          <w:kern w:val="2"/>
          <w:sz w:val="32"/>
          <w:szCs w:val="32"/>
          <w:lang w:val="zh-CN" w:eastAsia="zh-CN" w:bidi="ar-SA"/>
        </w:rPr>
        <w:t>的要求。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b w:val="0"/>
          <w:bCs/>
          <w:color w:val="000000" w:themeColor="text1"/>
          <w:spacing w:val="0"/>
          <w:kern w:val="2"/>
          <w:sz w:val="32"/>
          <w:szCs w:val="32"/>
          <w:lang w:val="en-US" w:eastAsia="zh-CN" w:bidi="ar-SA"/>
          <w14:textFill>
            <w14:solidFill>
              <w14:schemeClr w14:val="tx1"/>
            </w14:solidFill>
          </w14:textFill>
        </w:rPr>
        <w:t>（六）严格落实环境风险防范措施。认真落实环境影响报告表提出的各种风险防范措施，建立完善环境风险防范制度，制定环境风险应急预案，加强环境风险管理，防止因事故引发环境污染。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三、项目建设必须严格执行环境保护设施与主体工程同时设计、同时施工、同时投入使用的环境保护“三同时”制度。</w:t>
      </w:r>
      <w:r>
        <w:rPr>
          <w:rFonts w:hint="eastAsia" w:ascii="方正仿宋_GBK" w:hAnsi="方正仿宋_GBK" w:eastAsia="方正仿宋_GBK" w:cs="方正仿宋_GBK"/>
          <w:b w:val="0"/>
          <w:bCs/>
          <w:color w:val="auto"/>
          <w:spacing w:val="0"/>
          <w:sz w:val="32"/>
          <w:szCs w:val="32"/>
          <w:lang w:eastAsia="zh-CN"/>
        </w:rPr>
        <w:t>项目环保投资应纳入工程投资概算并予以落实。</w:t>
      </w:r>
      <w:r>
        <w:rPr>
          <w:rFonts w:hint="eastAsia" w:ascii="方正仿宋_GBK" w:hAnsi="方正仿宋_GBK" w:eastAsia="方正仿宋_GBK" w:cs="方正仿宋_GBK"/>
          <w:b w:val="0"/>
          <w:bCs/>
          <w:color w:val="000000"/>
          <w:spacing w:val="0"/>
          <w:sz w:val="32"/>
          <w:szCs w:val="32"/>
          <w:lang w:eastAsia="zh-CN"/>
        </w:rPr>
        <w:t>项目投入运行前，应当在全国排污许可证管理信息平台申领排污许可证（简化管理），未取得排污许可证之前，不得正式投产。</w:t>
      </w:r>
      <w:r>
        <w:rPr>
          <w:rFonts w:hint="eastAsia" w:ascii="方正仿宋_GBK" w:hAnsi="方正仿宋_GBK" w:eastAsia="方正仿宋_GBK" w:cs="方正仿宋_GBK"/>
          <w:b w:val="0"/>
          <w:bCs/>
          <w:color w:val="auto"/>
          <w:spacing w:val="0"/>
          <w:sz w:val="32"/>
          <w:szCs w:val="32"/>
          <w:lang w:eastAsia="zh-CN"/>
        </w:rPr>
        <w:t>项目竣工后，应按照《建设项目竣工环境保护验收暂行办法》等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四、若项目的性质、规模、地点、采用的生产工艺或者防治污染措施发生重大变动的，应依法重新报批项目环境影响评价文件。</w:t>
      </w:r>
      <w:r>
        <w:rPr>
          <w:rFonts w:hint="eastAsia" w:ascii="方正仿宋_GBK" w:hAnsi="方正仿宋_GBK" w:eastAsia="方正仿宋_GBK" w:cs="方正仿宋_GBK"/>
          <w:b w:val="0"/>
          <w:bCs/>
          <w:color w:val="auto"/>
          <w:spacing w:val="0"/>
          <w:sz w:val="32"/>
          <w:szCs w:val="32"/>
          <w:lang w:eastAsia="zh-CN"/>
        </w:rPr>
        <w:t>该项目自批准之日起超过5年方开工建设的，其环评文件应当报我局重新审核。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color w:val="auto"/>
          <w:spacing w:val="0"/>
          <w:sz w:val="32"/>
          <w:szCs w:val="32"/>
          <w:lang w:eastAsia="zh-CN"/>
        </w:rPr>
      </w:pPr>
      <w:r>
        <w:rPr>
          <w:rFonts w:hint="eastAsia" w:ascii="Calibri" w:hAnsi="Calibri" w:eastAsia="方正黑体_GBK" w:cs="Times New Roman"/>
          <w:bCs/>
          <w:color w:val="000000"/>
          <w:spacing w:val="0"/>
          <w:sz w:val="32"/>
          <w:szCs w:val="32"/>
          <w:lang w:val="en-US" w:eastAsia="zh-CN"/>
        </w:rPr>
        <w:t>五、</w:t>
      </w:r>
      <w:r>
        <w:rPr>
          <w:rFonts w:hint="eastAsia" w:ascii="方正仿宋_GBK" w:hAnsi="方正仿宋_GBK" w:eastAsia="方正仿宋_GBK" w:cs="方正仿宋_GBK"/>
          <w:b w:val="0"/>
          <w:bCs/>
          <w:color w:val="auto"/>
          <w:spacing w:val="0"/>
          <w:sz w:val="32"/>
          <w:szCs w:val="32"/>
          <w:lang w:eastAsia="zh-CN"/>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Calibri" w:hAnsi="Calibri" w:eastAsia="方正黑体_GBK" w:cs="Times New Roman"/>
          <w:bCs/>
          <w:color w:val="000000"/>
          <w:spacing w:val="0"/>
          <w:kern w:val="2"/>
          <w:sz w:val="32"/>
          <w:szCs w:val="32"/>
          <w:lang w:val="en-US" w:eastAsia="zh-CN" w:bidi="ar-SA"/>
        </w:rPr>
        <w:t>六、</w:t>
      </w:r>
      <w:r>
        <w:rPr>
          <w:rFonts w:hint="eastAsia" w:ascii="方正仿宋_GBK" w:hAnsi="方正仿宋_GBK" w:eastAsia="方正仿宋_GBK" w:cs="方正仿宋_GBK"/>
          <w:b w:val="0"/>
          <w:bCs/>
          <w:color w:val="auto"/>
          <w:spacing w:val="0"/>
          <w:sz w:val="32"/>
          <w:szCs w:val="32"/>
          <w:lang w:eastAsia="zh-CN"/>
        </w:rPr>
        <w:t>项目按规定接受</w:t>
      </w:r>
      <w:r>
        <w:rPr>
          <w:rFonts w:hint="eastAsia" w:ascii="方正仿宋_GBK" w:hAnsi="方正仿宋_GBK" w:eastAsia="方正仿宋_GBK" w:cs="方正仿宋_GBK"/>
          <w:b w:val="0"/>
          <w:bCs/>
          <w:color w:val="000000"/>
          <w:spacing w:val="0"/>
          <w:kern w:val="2"/>
          <w:sz w:val="32"/>
          <w:szCs w:val="32"/>
          <w:lang w:val="en-US" w:eastAsia="zh-CN" w:bidi="ar-SA"/>
        </w:rPr>
        <w:t>重庆市大足区生态环境局和重庆市大足区生态环境保护综合行政执法支队的环保日常监管，以及按属地管理接受</w:t>
      </w:r>
      <w:r>
        <w:rPr>
          <w:rFonts w:hint="eastAsia" w:ascii="方正仿宋_GBK" w:hAnsi="方正仿宋_GBK" w:eastAsia="方正仿宋_GBK" w:cs="方正仿宋_GBK"/>
          <w:bCs/>
          <w:color w:val="000000"/>
          <w:kern w:val="2"/>
          <w:sz w:val="32"/>
          <w:szCs w:val="32"/>
          <w:lang w:val="en-US" w:eastAsia="zh-CN" w:bidi="ar-SA"/>
        </w:rPr>
        <w:t>重庆大足高新技术产业开发区管理委员会</w:t>
      </w:r>
      <w:r>
        <w:rPr>
          <w:rFonts w:hint="eastAsia" w:ascii="方正仿宋_GBK" w:hAnsi="方正仿宋_GBK" w:eastAsia="方正仿宋_GBK" w:cs="方正仿宋_GBK"/>
          <w:b w:val="0"/>
          <w:bCs/>
          <w:color w:val="000000"/>
          <w:spacing w:val="0"/>
          <w:kern w:val="2"/>
          <w:sz w:val="32"/>
          <w:szCs w:val="32"/>
          <w:lang w:val="en-US" w:eastAsia="zh-CN" w:bidi="ar-SA"/>
        </w:rPr>
        <w:t>对该项目的日常监督及管理。</w:t>
      </w:r>
    </w:p>
    <w:p>
      <w:pPr>
        <w:pStyle w:val="17"/>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val="0"/>
          <w:bCs/>
          <w:color w:val="000000"/>
          <w:spacing w:val="0"/>
          <w:kern w:val="2"/>
          <w:sz w:val="32"/>
          <w:szCs w:val="32"/>
          <w:lang w:bidi="ar-SA"/>
        </w:rPr>
      </w:pPr>
    </w:p>
    <w:p>
      <w:pPr>
        <w:pStyle w:val="17"/>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重庆市大足区生态环境局（盖章）</w:t>
      </w:r>
    </w:p>
    <w:p>
      <w:pPr>
        <w:pStyle w:val="17"/>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r>
        <w:rPr>
          <w:rFonts w:hint="eastAsia" w:ascii="方正仿宋_GBK" w:hAnsi="方正仿宋_GBK" w:eastAsia="方正仿宋_GBK" w:cs="方正仿宋_GBK"/>
          <w:b w:val="0"/>
          <w:bCs/>
          <w:color w:val="000000"/>
          <w:spacing w:val="0"/>
          <w:kern w:val="2"/>
          <w:sz w:val="32"/>
          <w:szCs w:val="32"/>
          <w:lang w:bidi="ar-SA"/>
        </w:rPr>
        <w:t xml:space="preserve">                 </w:t>
      </w:r>
      <w:r>
        <w:rPr>
          <w:rFonts w:hint="eastAsia" w:ascii="方正仿宋_GBK" w:hAnsi="方正仿宋_GBK" w:eastAsia="方正仿宋_GBK" w:cs="方正仿宋_GBK"/>
          <w:b w:val="0"/>
          <w:bCs/>
          <w:color w:val="000000"/>
          <w:spacing w:val="0"/>
          <w:kern w:val="2"/>
          <w:sz w:val="32"/>
          <w:szCs w:val="32"/>
          <w:lang w:val="en-US" w:eastAsia="zh-CN" w:bidi="ar-SA"/>
        </w:rPr>
        <w:t xml:space="preserve">         </w:t>
      </w:r>
      <w:r>
        <w:rPr>
          <w:rFonts w:hint="eastAsia" w:ascii="方正仿宋_GBK" w:hAnsi="方正仿宋_GBK" w:eastAsia="方正仿宋_GBK" w:cs="方正仿宋_GBK"/>
          <w:b w:val="0"/>
          <w:bCs/>
          <w:color w:val="000000"/>
          <w:spacing w:val="0"/>
          <w:kern w:val="2"/>
          <w:sz w:val="32"/>
          <w:szCs w:val="32"/>
          <w:lang w:bidi="ar-SA"/>
        </w:rPr>
        <w:t>202</w:t>
      </w:r>
      <w:r>
        <w:rPr>
          <w:rFonts w:hint="eastAsia" w:ascii="方正仿宋_GBK" w:hAnsi="方正仿宋_GBK" w:eastAsia="方正仿宋_GBK" w:cs="方正仿宋_GBK"/>
          <w:b w:val="0"/>
          <w:bCs/>
          <w:color w:val="000000"/>
          <w:spacing w:val="0"/>
          <w:kern w:val="2"/>
          <w:sz w:val="32"/>
          <w:szCs w:val="32"/>
          <w:lang w:val="en-US" w:eastAsia="zh-CN" w:bidi="ar-SA"/>
        </w:rPr>
        <w:t>4</w:t>
      </w:r>
      <w:r>
        <w:rPr>
          <w:rFonts w:hint="eastAsia" w:ascii="方正仿宋_GBK" w:hAnsi="方正仿宋_GBK" w:eastAsia="方正仿宋_GBK" w:cs="方正仿宋_GBK"/>
          <w:b w:val="0"/>
          <w:bCs/>
          <w:color w:val="000000"/>
          <w:spacing w:val="0"/>
          <w:kern w:val="2"/>
          <w:sz w:val="32"/>
          <w:szCs w:val="32"/>
          <w:lang w:bidi="ar-SA"/>
        </w:rPr>
        <w:t>年</w:t>
      </w:r>
      <w:r>
        <w:rPr>
          <w:rFonts w:hint="eastAsia" w:ascii="方正仿宋_GBK" w:hAnsi="方正仿宋_GBK" w:eastAsia="方正仿宋_GBK" w:cs="方正仿宋_GBK"/>
          <w:b w:val="0"/>
          <w:bCs/>
          <w:color w:val="000000"/>
          <w:spacing w:val="0"/>
          <w:kern w:val="2"/>
          <w:sz w:val="32"/>
          <w:szCs w:val="32"/>
          <w:lang w:val="en-US" w:eastAsia="zh-CN" w:bidi="ar-SA"/>
        </w:rPr>
        <w:t>2</w:t>
      </w:r>
      <w:r>
        <w:rPr>
          <w:rFonts w:hint="eastAsia" w:ascii="方正仿宋_GBK" w:hAnsi="方正仿宋_GBK" w:eastAsia="方正仿宋_GBK" w:cs="方正仿宋_GBK"/>
          <w:b w:val="0"/>
          <w:bCs/>
          <w:color w:val="000000"/>
          <w:spacing w:val="0"/>
          <w:kern w:val="2"/>
          <w:sz w:val="32"/>
          <w:szCs w:val="32"/>
          <w:lang w:bidi="ar-SA"/>
        </w:rPr>
        <w:t>月</w:t>
      </w:r>
      <w:r>
        <w:rPr>
          <w:rFonts w:hint="eastAsia" w:ascii="方正仿宋_GBK" w:hAnsi="方正仿宋_GBK" w:eastAsia="方正仿宋_GBK" w:cs="方正仿宋_GBK"/>
          <w:b w:val="0"/>
          <w:bCs/>
          <w:color w:val="000000"/>
          <w:spacing w:val="0"/>
          <w:kern w:val="2"/>
          <w:sz w:val="32"/>
          <w:szCs w:val="32"/>
          <w:lang w:val="en-US" w:eastAsia="zh-CN" w:bidi="ar-SA"/>
        </w:rPr>
        <w:t>29</w:t>
      </w:r>
      <w:r>
        <w:rPr>
          <w:rFonts w:hint="eastAsia" w:ascii="方正仿宋_GBK" w:hAnsi="方正仿宋_GBK" w:eastAsia="方正仿宋_GBK" w:cs="方正仿宋_GBK"/>
          <w:b w:val="0"/>
          <w:bCs/>
          <w:color w:val="000000"/>
          <w:spacing w:val="0"/>
          <w:kern w:val="2"/>
          <w:sz w:val="32"/>
          <w:szCs w:val="32"/>
          <w:lang w:bidi="ar-SA"/>
        </w:rPr>
        <w:t>日</w:t>
      </w:r>
      <w:bookmarkStart w:id="5" w:name="_GoBack"/>
      <w:bookmarkEnd w:id="5"/>
    </w:p>
    <w:p>
      <w:pPr>
        <w:pStyle w:val="17"/>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7"/>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p>
      <w:pPr>
        <w:pStyle w:val="17"/>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val="0"/>
          <w:bCs/>
          <w:color w:val="000000"/>
          <w:spacing w:val="0"/>
          <w:kern w:val="2"/>
          <w:sz w:val="32"/>
          <w:szCs w:val="32"/>
          <w:lang w:bidi="ar-SA"/>
        </w:rPr>
      </w:pPr>
    </w:p>
    <w:p>
      <w:pPr>
        <w:pStyle w:val="17"/>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color w:val="000000"/>
          <w:spacing w:val="0"/>
          <w:kern w:val="2"/>
          <w:sz w:val="32"/>
          <w:szCs w:val="32"/>
          <w:lang w:bidi="ar-SA"/>
        </w:rPr>
      </w:pPr>
    </w:p>
    <w:bookmarkEnd w:id="1"/>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240" w:lineRule="auto"/>
        <w:textAlignment w:val="auto"/>
      </w:pPr>
      <w:r>
        <w:rPr>
          <w:rFonts w:hint="eastAsia" w:ascii="Times New Roman" w:hAnsi="Times New Roman" w:eastAsia="方正仿宋_GBK" w:cs="Times New Roman"/>
          <w:bCs/>
          <w:color w:val="000000"/>
          <w:spacing w:val="-11"/>
          <w:kern w:val="2"/>
          <w:sz w:val="32"/>
          <w:szCs w:val="32"/>
          <w:lang w:val="en-US" w:eastAsia="zh-CN" w:bidi="ar-SA"/>
        </w:rPr>
        <w:t>送：</w:t>
      </w:r>
      <w:r>
        <w:rPr>
          <w:rFonts w:hint="eastAsia" w:ascii="方正仿宋_GBK" w:hAnsi="方正仿宋_GBK" w:eastAsia="方正仿宋_GBK" w:cs="方正仿宋_GBK"/>
          <w:bCs/>
          <w:color w:val="000000"/>
          <w:kern w:val="2"/>
          <w:sz w:val="32"/>
          <w:szCs w:val="32"/>
          <w:lang w:val="en-US" w:eastAsia="zh-CN" w:bidi="ar-SA"/>
        </w:rPr>
        <w:t>重庆大足高新技术产业开发区管理委员会</w:t>
      </w:r>
      <w:r>
        <w:rPr>
          <w:rFonts w:hint="eastAsia" w:ascii="Times New Roman" w:hAnsi="Times New Roman" w:eastAsia="方正仿宋_GBK" w:cs="Times New Roman"/>
          <w:bCs/>
          <w:color w:val="000000"/>
          <w:spacing w:val="-11"/>
          <w:kern w:val="2"/>
          <w:sz w:val="32"/>
          <w:szCs w:val="32"/>
          <w:lang w:val="en-US" w:eastAsia="zh-CN" w:bidi="ar-SA"/>
        </w:rPr>
        <w:t>，重庆市大足区生态环境保护综合行政执法支队，</w:t>
      </w:r>
      <w:r>
        <w:rPr>
          <w:rFonts w:hint="eastAsia" w:ascii="方正仿宋_GBK" w:hAnsi="方正仿宋_GBK" w:eastAsia="方正仿宋_GBK" w:cs="方正仿宋_GBK"/>
          <w:b w:val="0"/>
          <w:bCs/>
          <w:color w:val="000000"/>
          <w:spacing w:val="0"/>
          <w:kern w:val="2"/>
          <w:sz w:val="32"/>
          <w:szCs w:val="32"/>
          <w:lang w:val="en-US" w:eastAsia="zh-CN" w:bidi="ar-SA"/>
        </w:rPr>
        <w:t>重庆润本环保科技有限公司</w:t>
      </w:r>
    </w:p>
    <w:sectPr>
      <w:footerReference r:id="rId3" w:type="default"/>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ZWIxNDE1NmM5NGQ4YzFlZGJkMTNjM2IzZWMzYWYifQ=="/>
  </w:docVars>
  <w:rsids>
    <w:rsidRoot w:val="6C870DF2"/>
    <w:rsid w:val="013D1894"/>
    <w:rsid w:val="01D51D1E"/>
    <w:rsid w:val="04401E51"/>
    <w:rsid w:val="06AF0668"/>
    <w:rsid w:val="09350059"/>
    <w:rsid w:val="096C107D"/>
    <w:rsid w:val="0F5B72A4"/>
    <w:rsid w:val="143E396B"/>
    <w:rsid w:val="14740089"/>
    <w:rsid w:val="15CA50FC"/>
    <w:rsid w:val="1998742F"/>
    <w:rsid w:val="1BEF11DF"/>
    <w:rsid w:val="216C034B"/>
    <w:rsid w:val="22C35D2C"/>
    <w:rsid w:val="25D71308"/>
    <w:rsid w:val="2A1E69FD"/>
    <w:rsid w:val="2A7F10EC"/>
    <w:rsid w:val="2B0B326E"/>
    <w:rsid w:val="2F9737B2"/>
    <w:rsid w:val="39153335"/>
    <w:rsid w:val="3F04167B"/>
    <w:rsid w:val="3F187DDB"/>
    <w:rsid w:val="45395734"/>
    <w:rsid w:val="45C9178A"/>
    <w:rsid w:val="460A7FF5"/>
    <w:rsid w:val="489354A0"/>
    <w:rsid w:val="4B7C6554"/>
    <w:rsid w:val="4C20428B"/>
    <w:rsid w:val="4D603DFF"/>
    <w:rsid w:val="4DCE1EB5"/>
    <w:rsid w:val="59225397"/>
    <w:rsid w:val="59E14ECD"/>
    <w:rsid w:val="5D794C78"/>
    <w:rsid w:val="5DA3053D"/>
    <w:rsid w:val="5DB156DA"/>
    <w:rsid w:val="5FC16FA8"/>
    <w:rsid w:val="6C870DF2"/>
    <w:rsid w:val="70EB4A60"/>
    <w:rsid w:val="71671D9D"/>
    <w:rsid w:val="7268308C"/>
    <w:rsid w:val="77EB3CE6"/>
    <w:rsid w:val="78801E08"/>
    <w:rsid w:val="7D994468"/>
    <w:rsid w:val="7EBB44F8"/>
    <w:rsid w:val="7FDFE571"/>
    <w:rsid w:val="EF7F7843"/>
    <w:rsid w:val="EFFD83CA"/>
    <w:rsid w:val="FBFE13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beforeLines="0" w:afterLines="0" w:line="360" w:lineRule="auto"/>
      <w:jc w:val="left"/>
      <w:outlineLvl w:val="1"/>
    </w:pPr>
    <w:rPr>
      <w:rFonts w:ascii="Times New Roman" w:hAnsi="Times New Roman" w:eastAsia="宋体"/>
      <w:b/>
      <w:bCs/>
      <w:sz w:val="28"/>
      <w:szCs w:val="28"/>
    </w:rPr>
  </w:style>
  <w:style w:type="paragraph" w:styleId="2">
    <w:name w:val="heading 4"/>
    <w:basedOn w:val="3"/>
    <w:next w:val="1"/>
    <w:autoRedefine/>
    <w:unhideWhenUsed/>
    <w:qFormat/>
    <w:uiPriority w:val="0"/>
    <w:pPr>
      <w:keepNext/>
      <w:keepLines/>
      <w:spacing w:before="280" w:after="290" w:line="376" w:lineRule="auto"/>
      <w:outlineLvl w:val="3"/>
    </w:pPr>
    <w:rPr>
      <w:rFonts w:ascii="等线 Light" w:hAnsi="等线 Light" w:eastAsia="等线 Light" w:cs="Times New Roman"/>
      <w:sz w:val="28"/>
      <w:szCs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List 3"/>
    <w:basedOn w:val="1"/>
    <w:next w:val="1"/>
    <w:autoRedefine/>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5">
    <w:name w:val="Normal Indent"/>
    <w:basedOn w:val="1"/>
    <w:next w:val="1"/>
    <w:autoRedefine/>
    <w:qFormat/>
    <w:uiPriority w:val="0"/>
    <w:pPr>
      <w:ind w:firstLine="200" w:firstLineChars="200"/>
    </w:pPr>
    <w:rPr>
      <w:szCs w:val="20"/>
    </w:rPr>
  </w:style>
  <w:style w:type="paragraph" w:styleId="6">
    <w:name w:val="Body Text"/>
    <w:basedOn w:val="1"/>
    <w:next w:val="1"/>
    <w:autoRedefine/>
    <w:qFormat/>
    <w:uiPriority w:val="0"/>
    <w:pPr>
      <w:widowControl/>
      <w:jc w:val="left"/>
    </w:pPr>
    <w:rPr>
      <w:kern w:val="0"/>
      <w:sz w:val="32"/>
      <w:szCs w:val="20"/>
    </w:rPr>
  </w:style>
  <w:style w:type="paragraph" w:styleId="7">
    <w:name w:val="Body Text Indent"/>
    <w:basedOn w:val="1"/>
    <w:next w:val="8"/>
    <w:autoRedefine/>
    <w:semiHidden/>
    <w:unhideWhenUsed/>
    <w:qFormat/>
    <w:uiPriority w:val="99"/>
    <w:pPr>
      <w:spacing w:after="120"/>
      <w:ind w:left="420" w:leftChars="200"/>
    </w:pPr>
  </w:style>
  <w:style w:type="paragraph" w:customStyle="1" w:styleId="8">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Body Text First Indent 2"/>
    <w:basedOn w:val="7"/>
    <w:next w:val="1"/>
    <w:autoRedefine/>
    <w:semiHidden/>
    <w:unhideWhenUsed/>
    <w:qFormat/>
    <w:uiPriority w:val="99"/>
    <w:pPr>
      <w:ind w:firstLine="420"/>
    </w:p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basedOn w:val="15"/>
    <w:next w:val="4"/>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5">
    <w:name w:val="纯文本1"/>
    <w:basedOn w:val="1"/>
    <w:autoRedefine/>
    <w:qFormat/>
    <w:uiPriority w:val="99"/>
    <w:pPr>
      <w:spacing w:line="240" w:lineRule="auto"/>
    </w:pPr>
    <w:rPr>
      <w:rFonts w:ascii="宋体" w:hAnsi="Courier New"/>
      <w:szCs w:val="20"/>
    </w:rPr>
  </w:style>
  <w:style w:type="paragraph" w:customStyle="1" w:styleId="16">
    <w:name w:val="文中表格文本"/>
    <w:basedOn w:val="1"/>
    <w:autoRedefine/>
    <w:qFormat/>
    <w:uiPriority w:val="0"/>
    <w:pPr>
      <w:widowControl w:val="0"/>
      <w:topLinePunct/>
      <w:adjustRightInd w:val="0"/>
      <w:snapToGrid w:val="0"/>
      <w:jc w:val="center"/>
    </w:pPr>
    <w:rPr>
      <w:sz w:val="21"/>
      <w:szCs w:val="21"/>
    </w:rPr>
  </w:style>
  <w:style w:type="paragraph" w:customStyle="1" w:styleId="17">
    <w:name w:val="tb"/>
    <w:basedOn w:val="1"/>
    <w:autoRedefine/>
    <w:qFormat/>
    <w:uiPriority w:val="0"/>
    <w:pPr>
      <w:spacing w:line="400" w:lineRule="atLeast"/>
    </w:pPr>
    <w:rPr>
      <w:rFonts w:ascii="宋体" w:hAnsi="Arial"/>
      <w:sz w:val="24"/>
      <w:szCs w:val="22"/>
    </w:rPr>
  </w:style>
  <w:style w:type="paragraph" w:customStyle="1" w:styleId="18">
    <w:name w:val="表格中正文"/>
    <w:basedOn w:val="1"/>
    <w:autoRedefine/>
    <w:qFormat/>
    <w:uiPriority w:val="0"/>
    <w:pPr>
      <w:ind w:firstLine="420" w:firstLineChars="200"/>
    </w:pPr>
    <w:rPr>
      <w:kern w:val="0"/>
    </w:rPr>
  </w:style>
  <w:style w:type="paragraph" w:customStyle="1" w:styleId="19">
    <w:name w:val="表格内居中文字"/>
    <w:autoRedefine/>
    <w:qFormat/>
    <w:uiPriority w:val="0"/>
    <w:pPr>
      <w:jc w:val="center"/>
    </w:pPr>
    <w:rPr>
      <w:rFonts w:ascii="Times New Roman" w:hAnsi="Times New Roman" w:eastAsia="宋体" w:cs="Times New Roman"/>
      <w:kern w:val="2"/>
      <w:sz w:val="21"/>
      <w:szCs w:val="24"/>
      <w:lang w:val="en-US" w:eastAsia="zh-CN" w:bidi="ar-SA"/>
    </w:rPr>
  </w:style>
  <w:style w:type="paragraph" w:customStyle="1" w:styleId="20">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1">
    <w:name w:val="0正文缩"/>
    <w:basedOn w:val="1"/>
    <w:autoRedefine/>
    <w:qFormat/>
    <w:uiPriority w:val="0"/>
    <w:pPr>
      <w:adjustRightInd w:val="0"/>
      <w:snapToGrid w:val="0"/>
      <w:spacing w:line="460" w:lineRule="exact"/>
      <w:ind w:firstLine="200" w:firstLineChars="200"/>
    </w:pPr>
    <w:rPr>
      <w:rFonts w:ascii="宋体" w:hAnsi="Times New Roman"/>
      <w:kern w:val="0"/>
      <w:sz w:val="24"/>
      <w:szCs w:val="20"/>
    </w:rPr>
  </w:style>
  <w:style w:type="paragraph" w:customStyle="1" w:styleId="22">
    <w:name w:val="123正文"/>
    <w:basedOn w:val="1"/>
    <w:autoRedefine/>
    <w:qFormat/>
    <w:uiPriority w:val="0"/>
    <w:pPr>
      <w:adjustRightInd w:val="0"/>
      <w:snapToGrid w:val="0"/>
      <w:spacing w:line="480" w:lineRule="exact"/>
      <w:ind w:firstLine="72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1844</Words>
  <Characters>1992</Characters>
  <Lines>0</Lines>
  <Paragraphs>0</Paragraphs>
  <TotalTime>12</TotalTime>
  <ScaleCrop>false</ScaleCrop>
  <LinksUpToDate>false</LinksUpToDate>
  <CharactersWithSpaces>2022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2024-01-06T09:41:00Z</dcterms:created>
  <dc:creator>Administrator</dc:creator>
  <cp:lastModifiedBy>Administrator</cp:lastModifiedBy>
  <cp:lastPrinted>2024-02-02T16:31:00Z</cp:lastPrinted>
  <dcterms:modified xsi:type="dcterms:W3CDTF">2024-02-29T06:57:06Z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C3F9533B516B45BCBDFDFE31EED174C0_13</vt:lpwstr>
  </property>
</Properties>
</file>