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方正仿宋_GBK"/>
          <w:sz w:val="32"/>
          <w:szCs w:val="24"/>
          <w:lang w:val="en-US" w:eastAsia="zh-CN"/>
        </w:rPr>
      </w:pPr>
      <w:r>
        <w:rPr>
          <w:rFonts w:hint="eastAsia" w:ascii="Times New Roman" w:hAnsi="Times New Roman" w:eastAsia="方正仿宋_GBK"/>
          <w:sz w:val="32"/>
          <w:szCs w:val="24"/>
          <w:lang w:eastAsia="zh-CN"/>
        </w:rPr>
        <w:t>附件</w:t>
      </w:r>
      <w:r>
        <w:rPr>
          <w:rFonts w:hint="eastAsia" w:ascii="Times New Roman" w:hAnsi="Times New Roman" w:eastAsia="方正仿宋_GBK"/>
          <w:sz w:val="32"/>
          <w:szCs w:val="24"/>
          <w:lang w:val="en-US" w:eastAsia="zh-CN"/>
        </w:rPr>
        <w:t>1</w:t>
      </w:r>
    </w:p>
    <w:p>
      <w:pPr>
        <w:spacing w:line="640" w:lineRule="exact"/>
        <w:jc w:val="center"/>
        <w:rPr>
          <w:rFonts w:ascii="Times New Roman" w:hAnsi="Times New Roman" w:eastAsia="方正小标宋_GBK"/>
          <w:sz w:val="44"/>
          <w:szCs w:val="44"/>
        </w:rPr>
      </w:pPr>
      <w:bookmarkStart w:id="24" w:name="_GoBack"/>
      <w:r>
        <w:rPr>
          <w:rFonts w:hint="eastAsia" w:ascii="Times New Roman" w:hAnsi="Times New Roman" w:eastAsia="方正小标宋_GBK"/>
          <w:sz w:val="44"/>
          <w:szCs w:val="44"/>
        </w:rPr>
        <w:t>大足区畜禽养殖区域划分调整方案</w:t>
      </w:r>
    </w:p>
    <w:p>
      <w:pPr>
        <w:spacing w:line="640" w:lineRule="exact"/>
        <w:jc w:val="center"/>
        <w:rPr>
          <w:rFonts w:hint="eastAsia" w:ascii="Times New Roman" w:hAnsi="Times New Roman" w:eastAsia="方正小标宋_GBK"/>
          <w:sz w:val="44"/>
          <w:szCs w:val="44"/>
          <w:lang w:eastAsia="zh-CN"/>
        </w:rPr>
      </w:pPr>
      <w:r>
        <w:rPr>
          <w:rFonts w:hint="eastAsia" w:ascii="Times New Roman" w:hAnsi="Times New Roman" w:eastAsia="方正小标宋_GBK"/>
          <w:sz w:val="44"/>
          <w:szCs w:val="44"/>
          <w:lang w:eastAsia="zh-CN"/>
        </w:rPr>
        <w:t>（征求意见稿）</w:t>
      </w:r>
    </w:p>
    <w:bookmarkEnd w:id="24"/>
    <w:p>
      <w:pPr>
        <w:ind w:firstLine="404" w:firstLineChars="200"/>
        <w:rPr>
          <w:rFonts w:ascii="Times New Roman" w:hAnsi="Times New Roman"/>
        </w:rPr>
      </w:pPr>
    </w:p>
    <w:p>
      <w:pPr>
        <w:ind w:firstLine="404" w:firstLineChars="200"/>
        <w:rPr>
          <w:rFonts w:ascii="Times New Roman" w:hAnsi="Times New Roman"/>
        </w:rPr>
      </w:pPr>
    </w:p>
    <w:p>
      <w:pPr>
        <w:ind w:firstLine="404" w:firstLineChars="200"/>
        <w:rPr>
          <w:rFonts w:ascii="Times New Roman" w:hAnsi="Times New Roman"/>
        </w:rPr>
      </w:pPr>
    </w:p>
    <w:p>
      <w:pPr>
        <w:ind w:firstLine="404" w:firstLineChars="200"/>
        <w:rPr>
          <w:rFonts w:ascii="Times New Roman" w:hAnsi="Times New Roman"/>
        </w:rPr>
      </w:pPr>
    </w:p>
    <w:p>
      <w:pPr>
        <w:ind w:firstLine="404" w:firstLineChars="200"/>
        <w:rPr>
          <w:rFonts w:ascii="Times New Roman" w:hAnsi="Times New Roman"/>
        </w:rPr>
      </w:pPr>
    </w:p>
    <w:p>
      <w:pPr>
        <w:ind w:firstLine="404" w:firstLineChars="200"/>
        <w:rPr>
          <w:rFonts w:ascii="Times New Roman" w:hAnsi="Times New Roman"/>
        </w:rPr>
      </w:pPr>
    </w:p>
    <w:p>
      <w:pPr>
        <w:ind w:firstLine="404" w:firstLineChars="200"/>
        <w:rPr>
          <w:rFonts w:ascii="Times New Roman" w:hAnsi="Times New Roman"/>
        </w:rPr>
      </w:pPr>
    </w:p>
    <w:p>
      <w:pPr>
        <w:ind w:firstLine="404" w:firstLineChars="200"/>
        <w:rPr>
          <w:rFonts w:ascii="Times New Roman" w:hAnsi="Times New Roman"/>
        </w:rPr>
      </w:pPr>
    </w:p>
    <w:p>
      <w:pPr>
        <w:ind w:firstLine="404" w:firstLineChars="200"/>
        <w:rPr>
          <w:rFonts w:ascii="Times New Roman" w:hAnsi="Times New Roman"/>
        </w:rPr>
      </w:pPr>
    </w:p>
    <w:p>
      <w:pPr>
        <w:ind w:firstLine="404" w:firstLineChars="200"/>
        <w:rPr>
          <w:rFonts w:ascii="Times New Roman" w:hAnsi="Times New Roman"/>
        </w:rPr>
      </w:pPr>
    </w:p>
    <w:p>
      <w:pPr>
        <w:ind w:firstLine="404" w:firstLineChars="200"/>
        <w:rPr>
          <w:rFonts w:ascii="Times New Roman" w:hAnsi="Times New Roman"/>
        </w:rPr>
      </w:pPr>
    </w:p>
    <w:p>
      <w:pPr>
        <w:ind w:firstLine="404" w:firstLineChars="200"/>
        <w:rPr>
          <w:rFonts w:ascii="Times New Roman" w:hAnsi="Times New Roman"/>
        </w:rPr>
      </w:pPr>
    </w:p>
    <w:p>
      <w:pPr>
        <w:jc w:val="center"/>
        <w:rPr>
          <w:rFonts w:ascii="Times New Roman" w:hAnsi="Times New Roman" w:eastAsia="方正楷体_GBK"/>
          <w:sz w:val="32"/>
          <w:szCs w:val="32"/>
        </w:rPr>
      </w:pPr>
      <w:r>
        <w:rPr>
          <w:rFonts w:ascii="Times New Roman" w:hAnsi="Times New Roman" w:eastAsia="方正楷体_GBK"/>
          <w:sz w:val="32"/>
          <w:szCs w:val="32"/>
        </w:rPr>
        <w:t>重庆市</w:t>
      </w:r>
      <w:r>
        <w:rPr>
          <w:rFonts w:hint="eastAsia" w:ascii="Times New Roman" w:hAnsi="Times New Roman" w:eastAsia="方正楷体_GBK"/>
          <w:sz w:val="32"/>
          <w:szCs w:val="32"/>
        </w:rPr>
        <w:t>大足区</w:t>
      </w:r>
      <w:r>
        <w:rPr>
          <w:rFonts w:ascii="Times New Roman" w:hAnsi="Times New Roman" w:eastAsia="方正楷体_GBK"/>
          <w:sz w:val="32"/>
          <w:szCs w:val="32"/>
        </w:rPr>
        <w:t>人民政府</w:t>
      </w:r>
    </w:p>
    <w:p>
      <w:pPr>
        <w:jc w:val="center"/>
        <w:rPr>
          <w:rFonts w:ascii="Times New Roman" w:hAnsi="Times New Roman" w:eastAsia="方正楷体_GBK"/>
          <w:sz w:val="32"/>
          <w:szCs w:val="32"/>
        </w:rPr>
      </w:pPr>
      <w:r>
        <w:rPr>
          <w:rFonts w:ascii="Times New Roman" w:hAnsi="Times New Roman" w:eastAsia="方正楷体_GBK"/>
          <w:sz w:val="32"/>
          <w:szCs w:val="32"/>
        </w:rPr>
        <w:t>二〇一</w:t>
      </w:r>
      <w:r>
        <w:rPr>
          <w:rFonts w:hint="eastAsia" w:ascii="Times New Roman" w:hAnsi="Times New Roman" w:eastAsia="方正楷体_GBK"/>
          <w:sz w:val="32"/>
          <w:szCs w:val="32"/>
        </w:rPr>
        <w:t>九</w:t>
      </w:r>
      <w:r>
        <w:rPr>
          <w:rFonts w:ascii="Times New Roman" w:hAnsi="Times New Roman" w:eastAsia="方正楷体_GBK"/>
          <w:sz w:val="32"/>
          <w:szCs w:val="32"/>
        </w:rPr>
        <w:t>年</w:t>
      </w:r>
      <w:r>
        <w:rPr>
          <w:rFonts w:hint="eastAsia" w:ascii="Times New Roman" w:hAnsi="Times New Roman" w:eastAsia="方正楷体_GBK"/>
          <w:sz w:val="32"/>
          <w:szCs w:val="32"/>
          <w:lang w:eastAsia="zh-CN"/>
        </w:rPr>
        <w:t>十</w:t>
      </w:r>
      <w:r>
        <w:rPr>
          <w:rFonts w:ascii="Times New Roman" w:hAnsi="Times New Roman" w:eastAsia="方正楷体_GBK"/>
          <w:sz w:val="32"/>
          <w:szCs w:val="32"/>
        </w:rPr>
        <w:t>月</w:t>
      </w:r>
    </w:p>
    <w:p>
      <w:pPr>
        <w:jc w:val="center"/>
        <w:rPr>
          <w:rFonts w:ascii="Times New Roman" w:hAnsi="Times New Roman" w:eastAsia="方正楷体_GBK"/>
          <w:szCs w:val="32"/>
        </w:rPr>
      </w:pPr>
    </w:p>
    <w:p>
      <w:pPr>
        <w:ind w:right="640" w:firstLine="4836" w:firstLineChars="1550"/>
        <w:rPr>
          <w:rFonts w:ascii="Times New Roman" w:hAnsi="Times New Roman" w:eastAsia="方正仿宋_GBK"/>
          <w:sz w:val="32"/>
          <w:szCs w:val="32"/>
        </w:rPr>
      </w:pPr>
    </w:p>
    <w:p>
      <w:pPr>
        <w:ind w:right="640" w:firstLine="4836" w:firstLineChars="1550"/>
        <w:rPr>
          <w:rFonts w:ascii="Times New Roman" w:hAnsi="Times New Roman" w:eastAsia="方正仿宋_GBK"/>
          <w:sz w:val="32"/>
          <w:szCs w:val="32"/>
        </w:rPr>
      </w:pPr>
    </w:p>
    <w:p>
      <w:pPr>
        <w:ind w:right="640"/>
        <w:rPr>
          <w:rFonts w:ascii="Times New Roman" w:hAnsi="Times New Roman" w:eastAsia="方正仿宋_GBK"/>
          <w:sz w:val="32"/>
          <w:szCs w:val="32"/>
        </w:rPr>
      </w:pPr>
    </w:p>
    <w:p>
      <w:pPr>
        <w:spacing w:line="64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大足区畜禽养殖区域划分调整方案</w:t>
      </w:r>
    </w:p>
    <w:p>
      <w:pPr>
        <w:jc w:val="center"/>
        <w:rPr>
          <w:rFonts w:ascii="Times New Roman" w:hAnsi="Times New Roman" w:eastAsia="方正黑体_GBK"/>
          <w:b/>
          <w:bCs/>
          <w:sz w:val="32"/>
          <w:szCs w:val="32"/>
        </w:rPr>
      </w:pPr>
    </w:p>
    <w:p>
      <w:pPr>
        <w:jc w:val="center"/>
        <w:rPr>
          <w:rFonts w:ascii="Times New Roman" w:hAnsi="Times New Roman" w:eastAsia="方正黑体_GBK"/>
          <w:sz w:val="32"/>
          <w:szCs w:val="32"/>
        </w:rPr>
      </w:pPr>
      <w:r>
        <w:rPr>
          <w:rFonts w:hint="eastAsia" w:ascii="Times New Roman" w:hAnsi="Times New Roman" w:eastAsia="方正黑体_GBK"/>
          <w:sz w:val="32"/>
          <w:szCs w:val="32"/>
        </w:rPr>
        <w:t>目 录</w:t>
      </w:r>
    </w:p>
    <w:p>
      <w:pPr>
        <w:pStyle w:val="16"/>
        <w:tabs>
          <w:tab w:val="left" w:pos="1050"/>
          <w:tab w:val="right" w:leader="dot" w:pos="8721"/>
        </w:tabs>
        <w:ind w:firstLine="624"/>
        <w:rPr>
          <w:rFonts w:ascii="Times New Roman" w:hAnsi="Times New Roman" w:eastAsia="方正楷体_GBK"/>
          <w:sz w:val="32"/>
          <w:szCs w:val="32"/>
        </w:rPr>
      </w:pPr>
      <w:r>
        <w:rPr>
          <w:rFonts w:hint="eastAsia" w:ascii="Times New Roman" w:hAnsi="Times New Roman" w:eastAsia="方正仿宋_GBK"/>
          <w:color w:val="000000"/>
          <w:sz w:val="32"/>
          <w:szCs w:val="32"/>
        </w:rPr>
        <w:fldChar w:fldCharType="begin"/>
      </w:r>
      <w:r>
        <w:rPr>
          <w:rFonts w:hint="eastAsia" w:ascii="Times New Roman" w:hAnsi="Times New Roman" w:eastAsia="方正仿宋_GBK"/>
          <w:color w:val="000000"/>
          <w:sz w:val="32"/>
          <w:szCs w:val="32"/>
        </w:rPr>
        <w:instrText xml:space="preserve"> TOC \o "1-2" \h \z \u </w:instrText>
      </w:r>
      <w:r>
        <w:rPr>
          <w:rFonts w:hint="eastAsia" w:ascii="Times New Roman" w:hAnsi="Times New Roman" w:eastAsia="方正仿宋_GBK"/>
          <w:color w:val="000000"/>
          <w:sz w:val="32"/>
          <w:szCs w:val="32"/>
        </w:rPr>
        <w:fldChar w:fldCharType="separate"/>
      </w:r>
      <w:r>
        <w:fldChar w:fldCharType="begin"/>
      </w:r>
      <w:r>
        <w:instrText xml:space="preserve"> HYPERLINK \l "_Toc501875847" </w:instrText>
      </w:r>
      <w:r>
        <w:fldChar w:fldCharType="separate"/>
      </w:r>
      <w:r>
        <w:rPr>
          <w:rFonts w:hint="eastAsia" w:ascii="Times New Roman" w:hAnsi="Times New Roman" w:eastAsia="方正楷体_GBK"/>
          <w:sz w:val="32"/>
          <w:szCs w:val="32"/>
        </w:rPr>
        <w:t>1</w:t>
      </w:r>
      <w:r>
        <w:rPr>
          <w:rFonts w:hint="eastAsia" w:ascii="Times New Roman" w:hAnsi="Times New Roman" w:eastAsia="方正楷体_GBK"/>
          <w:sz w:val="32"/>
          <w:szCs w:val="32"/>
        </w:rPr>
        <w:tab/>
      </w:r>
      <w:r>
        <w:rPr>
          <w:rFonts w:hint="eastAsia" w:ascii="Times New Roman" w:hAnsi="Times New Roman" w:eastAsia="方正楷体_GBK"/>
          <w:sz w:val="32"/>
          <w:szCs w:val="32"/>
        </w:rPr>
        <w:t>指导思想</w:t>
      </w:r>
      <w:r>
        <w:rPr>
          <w:rFonts w:hint="eastAsia" w:ascii="Times New Roman" w:hAnsi="Times New Roman" w:eastAsia="方正楷体_GBK"/>
          <w:sz w:val="32"/>
          <w:szCs w:val="32"/>
        </w:rPr>
        <w:tab/>
      </w: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PAGEREF _Toc501875847 \h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3</w:t>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p>
    <w:p>
      <w:pPr>
        <w:pStyle w:val="16"/>
        <w:tabs>
          <w:tab w:val="left" w:pos="1050"/>
          <w:tab w:val="right" w:leader="dot" w:pos="8721"/>
        </w:tabs>
        <w:ind w:firstLine="544"/>
        <w:rPr>
          <w:rFonts w:ascii="Times New Roman" w:hAnsi="Times New Roman" w:eastAsia="方正楷体_GBK"/>
          <w:sz w:val="32"/>
          <w:szCs w:val="32"/>
        </w:rPr>
      </w:pPr>
      <w:r>
        <w:fldChar w:fldCharType="begin"/>
      </w:r>
      <w:r>
        <w:instrText xml:space="preserve"> HYPERLINK \l "_Toc501875848" </w:instrText>
      </w:r>
      <w:r>
        <w:fldChar w:fldCharType="separate"/>
      </w:r>
      <w:r>
        <w:rPr>
          <w:rFonts w:hint="eastAsia" w:ascii="Times New Roman" w:hAnsi="Times New Roman" w:eastAsia="方正楷体_GBK"/>
          <w:sz w:val="32"/>
          <w:szCs w:val="32"/>
        </w:rPr>
        <w:t>2</w:t>
      </w:r>
      <w:r>
        <w:rPr>
          <w:rFonts w:hint="eastAsia" w:ascii="Times New Roman" w:hAnsi="Times New Roman" w:eastAsia="方正楷体_GBK"/>
          <w:sz w:val="32"/>
          <w:szCs w:val="32"/>
        </w:rPr>
        <w:tab/>
      </w:r>
      <w:r>
        <w:rPr>
          <w:rFonts w:hint="eastAsia" w:ascii="Times New Roman" w:hAnsi="Times New Roman" w:eastAsia="方正楷体_GBK"/>
          <w:sz w:val="32"/>
          <w:szCs w:val="32"/>
        </w:rPr>
        <w:t>基本原则</w:t>
      </w:r>
      <w:r>
        <w:rPr>
          <w:rFonts w:hint="eastAsia" w:ascii="Times New Roman" w:hAnsi="Times New Roman" w:eastAsia="方正楷体_GBK"/>
          <w:sz w:val="32"/>
          <w:szCs w:val="32"/>
        </w:rPr>
        <w:tab/>
      </w: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PAGEREF _Toc501875848 \h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4</w:t>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p>
    <w:p>
      <w:pPr>
        <w:pStyle w:val="16"/>
        <w:tabs>
          <w:tab w:val="left" w:pos="1050"/>
          <w:tab w:val="right" w:leader="dot" w:pos="8721"/>
        </w:tabs>
        <w:ind w:firstLine="544"/>
        <w:rPr>
          <w:rFonts w:ascii="Times New Roman" w:hAnsi="Times New Roman" w:eastAsia="方正楷体_GBK"/>
          <w:sz w:val="32"/>
          <w:szCs w:val="32"/>
        </w:rPr>
      </w:pPr>
      <w:r>
        <w:fldChar w:fldCharType="begin"/>
      </w:r>
      <w:r>
        <w:instrText xml:space="preserve"> HYPERLINK \l "_Toc501875849" </w:instrText>
      </w:r>
      <w:r>
        <w:fldChar w:fldCharType="separate"/>
      </w:r>
      <w:r>
        <w:rPr>
          <w:rFonts w:hint="eastAsia" w:ascii="Times New Roman" w:hAnsi="Times New Roman" w:eastAsia="方正楷体_GBK"/>
          <w:sz w:val="32"/>
          <w:szCs w:val="32"/>
        </w:rPr>
        <w:t>3</w:t>
      </w:r>
      <w:r>
        <w:rPr>
          <w:rFonts w:hint="eastAsia" w:ascii="Times New Roman" w:hAnsi="Times New Roman" w:eastAsia="方正楷体_GBK"/>
          <w:sz w:val="32"/>
          <w:szCs w:val="32"/>
        </w:rPr>
        <w:tab/>
      </w:r>
      <w:r>
        <w:rPr>
          <w:rFonts w:hint="eastAsia" w:ascii="Times New Roman" w:hAnsi="Times New Roman" w:eastAsia="方正楷体_GBK"/>
          <w:sz w:val="32"/>
          <w:szCs w:val="32"/>
        </w:rPr>
        <w:t>主要依据</w:t>
      </w:r>
      <w:r>
        <w:rPr>
          <w:rFonts w:hint="eastAsia" w:ascii="Times New Roman" w:hAnsi="Times New Roman" w:eastAsia="方正楷体_GBK"/>
          <w:sz w:val="32"/>
          <w:szCs w:val="32"/>
        </w:rPr>
        <w:tab/>
      </w: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PAGEREF _Toc501875849 \h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5</w:t>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p>
    <w:p>
      <w:pPr>
        <w:pStyle w:val="16"/>
        <w:tabs>
          <w:tab w:val="left" w:pos="1050"/>
          <w:tab w:val="right" w:leader="dot" w:pos="8721"/>
        </w:tabs>
        <w:ind w:firstLine="544"/>
        <w:rPr>
          <w:rFonts w:ascii="Times New Roman" w:hAnsi="Times New Roman" w:eastAsia="方正仿宋_GBK"/>
          <w:sz w:val="32"/>
          <w:szCs w:val="32"/>
        </w:rPr>
      </w:pPr>
      <w:r>
        <w:fldChar w:fldCharType="begin"/>
      </w:r>
      <w:r>
        <w:instrText xml:space="preserve"> HYPERLINK \l "_Toc501875850" </w:instrText>
      </w:r>
      <w:r>
        <w:fldChar w:fldCharType="separate"/>
      </w:r>
      <w:r>
        <w:rPr>
          <w:rFonts w:hint="eastAsia" w:ascii="Times New Roman" w:hAnsi="Times New Roman" w:eastAsia="方正楷体_GBK"/>
          <w:sz w:val="32"/>
          <w:szCs w:val="32"/>
        </w:rPr>
        <w:t>4</w:t>
      </w:r>
      <w:r>
        <w:rPr>
          <w:rFonts w:hint="eastAsia" w:ascii="Times New Roman" w:hAnsi="Times New Roman" w:eastAsia="方正楷体_GBK"/>
          <w:sz w:val="32"/>
          <w:szCs w:val="32"/>
        </w:rPr>
        <w:tab/>
      </w:r>
      <w:r>
        <w:rPr>
          <w:rFonts w:hint="eastAsia" w:ascii="Times New Roman" w:hAnsi="Times New Roman" w:eastAsia="方正楷体_GBK"/>
          <w:sz w:val="32"/>
          <w:szCs w:val="32"/>
        </w:rPr>
        <w:t>区域类型及管理要求</w:t>
      </w:r>
      <w:r>
        <w:rPr>
          <w:rFonts w:hint="eastAsia" w:ascii="Times New Roman" w:hAnsi="Times New Roman" w:eastAsia="方正楷体_GBK"/>
          <w:sz w:val="32"/>
          <w:szCs w:val="32"/>
        </w:rPr>
        <w:tab/>
      </w: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PAGEREF _Toc501875850 \h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7</w:t>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p>
    <w:p>
      <w:pPr>
        <w:pStyle w:val="17"/>
        <w:ind w:left="404" w:firstLine="544"/>
        <w:rPr>
          <w:rFonts w:ascii="Times New Roman" w:hAnsi="Times New Roman" w:eastAsia="方正楷体_GBK"/>
          <w:sz w:val="32"/>
          <w:szCs w:val="32"/>
        </w:rPr>
      </w:pPr>
      <w:r>
        <w:fldChar w:fldCharType="begin"/>
      </w:r>
      <w:r>
        <w:instrText xml:space="preserve"> HYPERLINK \l "_Toc501875851" </w:instrText>
      </w:r>
      <w:r>
        <w:fldChar w:fldCharType="separate"/>
      </w:r>
      <w:r>
        <w:rPr>
          <w:rFonts w:hint="eastAsia" w:ascii="Times New Roman" w:hAnsi="Times New Roman" w:eastAsia="方正楷体_GBK"/>
          <w:sz w:val="32"/>
          <w:szCs w:val="32"/>
        </w:rPr>
        <w:t>4.1</w:t>
      </w:r>
      <w:r>
        <w:rPr>
          <w:rFonts w:hint="eastAsia" w:ascii="Times New Roman" w:hAnsi="Times New Roman" w:eastAsia="方正楷体_GBK"/>
          <w:sz w:val="32"/>
          <w:szCs w:val="32"/>
        </w:rPr>
        <w:tab/>
      </w:r>
      <w:r>
        <w:rPr>
          <w:rFonts w:hint="eastAsia" w:ascii="Times New Roman" w:hAnsi="Times New Roman" w:eastAsia="方正楷体_GBK"/>
          <w:sz w:val="32"/>
          <w:szCs w:val="32"/>
        </w:rPr>
        <w:t>畜禽养殖禁养区</w:t>
      </w:r>
      <w:r>
        <w:rPr>
          <w:rFonts w:hint="eastAsia" w:ascii="Times New Roman" w:hAnsi="Times New Roman" w:eastAsia="方正楷体_GBK"/>
          <w:sz w:val="32"/>
          <w:szCs w:val="32"/>
        </w:rPr>
        <w:tab/>
      </w: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PAGEREF _Toc501875851 \h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7</w:t>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p>
    <w:p>
      <w:pPr>
        <w:pStyle w:val="17"/>
        <w:ind w:left="404" w:firstLine="544"/>
        <w:rPr>
          <w:rFonts w:ascii="Times New Roman" w:hAnsi="Times New Roman" w:eastAsia="方正楷体_GBK"/>
          <w:sz w:val="32"/>
          <w:szCs w:val="32"/>
        </w:rPr>
      </w:pPr>
      <w:r>
        <w:fldChar w:fldCharType="begin"/>
      </w:r>
      <w:r>
        <w:instrText xml:space="preserve"> HYPERLINK \l "_Toc501875852" </w:instrText>
      </w:r>
      <w:r>
        <w:fldChar w:fldCharType="separate"/>
      </w:r>
      <w:r>
        <w:rPr>
          <w:rFonts w:hint="eastAsia" w:ascii="Times New Roman" w:hAnsi="Times New Roman" w:eastAsia="方正楷体_GBK"/>
          <w:sz w:val="32"/>
          <w:szCs w:val="32"/>
        </w:rPr>
        <w:t>4.2</w:t>
      </w:r>
      <w:r>
        <w:rPr>
          <w:rFonts w:hint="eastAsia" w:ascii="Times New Roman" w:hAnsi="Times New Roman" w:eastAsia="方正楷体_GBK"/>
          <w:sz w:val="32"/>
          <w:szCs w:val="32"/>
        </w:rPr>
        <w:tab/>
      </w:r>
      <w:r>
        <w:rPr>
          <w:rFonts w:hint="eastAsia" w:ascii="Times New Roman" w:hAnsi="Times New Roman" w:eastAsia="方正楷体_GBK"/>
          <w:sz w:val="32"/>
          <w:szCs w:val="32"/>
        </w:rPr>
        <w:t>畜禽养殖限养区</w:t>
      </w:r>
      <w:r>
        <w:rPr>
          <w:rFonts w:hint="eastAsia" w:ascii="Times New Roman" w:hAnsi="Times New Roman" w:eastAsia="方正楷体_GBK"/>
          <w:sz w:val="32"/>
          <w:szCs w:val="32"/>
        </w:rPr>
        <w:tab/>
      </w: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PAGEREF _Toc501875852 \h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7</w:t>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p>
    <w:p>
      <w:pPr>
        <w:pStyle w:val="16"/>
        <w:tabs>
          <w:tab w:val="left" w:pos="1050"/>
          <w:tab w:val="right" w:leader="dot" w:pos="8721"/>
        </w:tabs>
        <w:ind w:firstLine="544"/>
        <w:rPr>
          <w:rFonts w:ascii="Times New Roman" w:hAnsi="Times New Roman" w:eastAsia="方正仿宋_GBK"/>
          <w:sz w:val="32"/>
          <w:szCs w:val="32"/>
        </w:rPr>
      </w:pPr>
      <w:r>
        <w:fldChar w:fldCharType="begin"/>
      </w:r>
      <w:r>
        <w:instrText xml:space="preserve"> HYPERLINK \l "_Toc501875853" </w:instrText>
      </w:r>
      <w:r>
        <w:fldChar w:fldCharType="separate"/>
      </w:r>
      <w:r>
        <w:rPr>
          <w:rFonts w:hint="eastAsia" w:ascii="Times New Roman" w:hAnsi="Times New Roman" w:eastAsia="方正黑体_GBK"/>
          <w:sz w:val="32"/>
          <w:szCs w:val="32"/>
        </w:rPr>
        <w:t>5</w:t>
      </w:r>
      <w:r>
        <w:rPr>
          <w:rFonts w:hint="eastAsia" w:ascii="Times New Roman" w:hAnsi="Times New Roman" w:eastAsia="方正楷体_GBK"/>
        </w:rPr>
        <w:tab/>
      </w:r>
      <w:r>
        <w:rPr>
          <w:rFonts w:hint="eastAsia" w:ascii="Times New Roman" w:hAnsi="Times New Roman" w:eastAsia="方正楷体_GBK"/>
          <w:sz w:val="32"/>
          <w:szCs w:val="32"/>
        </w:rPr>
        <w:t>区域范围</w:t>
      </w:r>
      <w:r>
        <w:rPr>
          <w:rFonts w:hint="eastAsia" w:ascii="Times New Roman" w:hAnsi="Times New Roman" w:eastAsia="方正仿宋_GBK"/>
          <w:sz w:val="32"/>
          <w:szCs w:val="32"/>
        </w:rPr>
        <w:tab/>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PAGEREF _Toc501875853 \h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7</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p>
    <w:p>
      <w:pPr>
        <w:pStyle w:val="17"/>
        <w:ind w:left="404" w:firstLine="544"/>
        <w:rPr>
          <w:rFonts w:ascii="Times New Roman" w:hAnsi="Times New Roman" w:eastAsia="方正楷体_GBK"/>
          <w:sz w:val="32"/>
          <w:szCs w:val="32"/>
        </w:rPr>
      </w:pPr>
      <w:r>
        <w:fldChar w:fldCharType="begin"/>
      </w:r>
      <w:r>
        <w:instrText xml:space="preserve"> HYPERLINK \l "_Toc501875854" </w:instrText>
      </w:r>
      <w:r>
        <w:fldChar w:fldCharType="separate"/>
      </w:r>
      <w:r>
        <w:rPr>
          <w:rFonts w:hint="eastAsia" w:ascii="Times New Roman" w:hAnsi="Times New Roman" w:eastAsia="方正楷体_GBK"/>
          <w:sz w:val="32"/>
          <w:szCs w:val="32"/>
        </w:rPr>
        <w:t>5.1</w:t>
      </w:r>
      <w:r>
        <w:rPr>
          <w:rFonts w:hint="eastAsia" w:ascii="Times New Roman" w:hAnsi="Times New Roman" w:eastAsia="方正楷体_GBK"/>
          <w:sz w:val="32"/>
          <w:szCs w:val="32"/>
        </w:rPr>
        <w:tab/>
      </w:r>
      <w:r>
        <w:rPr>
          <w:rFonts w:hint="eastAsia" w:ascii="Times New Roman" w:hAnsi="Times New Roman" w:eastAsia="方正楷体_GBK"/>
          <w:sz w:val="32"/>
          <w:szCs w:val="32"/>
        </w:rPr>
        <w:t>畜禽养殖禁养区</w:t>
      </w:r>
      <w:r>
        <w:rPr>
          <w:rFonts w:hint="eastAsia" w:ascii="Times New Roman" w:hAnsi="Times New Roman" w:eastAsia="方正楷体_GBK"/>
          <w:sz w:val="32"/>
          <w:szCs w:val="32"/>
        </w:rPr>
        <w:tab/>
      </w: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PAGEREF _Toc501875854 \h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7</w:t>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p>
    <w:p>
      <w:pPr>
        <w:pStyle w:val="17"/>
        <w:ind w:left="404" w:firstLine="544"/>
        <w:rPr>
          <w:rFonts w:ascii="Times New Roman" w:hAnsi="Times New Roman" w:eastAsia="方正楷体_GBK"/>
          <w:sz w:val="32"/>
          <w:szCs w:val="32"/>
        </w:rPr>
      </w:pPr>
      <w:r>
        <w:fldChar w:fldCharType="begin"/>
      </w:r>
      <w:r>
        <w:instrText xml:space="preserve"> HYPERLINK \l "_Toc501875855" </w:instrText>
      </w:r>
      <w:r>
        <w:fldChar w:fldCharType="separate"/>
      </w:r>
      <w:r>
        <w:rPr>
          <w:rFonts w:hint="eastAsia" w:ascii="Times New Roman" w:hAnsi="Times New Roman" w:eastAsia="方正楷体_GBK"/>
          <w:sz w:val="32"/>
          <w:szCs w:val="32"/>
        </w:rPr>
        <w:t>5.2</w:t>
      </w:r>
      <w:r>
        <w:rPr>
          <w:rFonts w:hint="eastAsia" w:ascii="Times New Roman" w:hAnsi="Times New Roman" w:eastAsia="方正楷体_GBK"/>
          <w:sz w:val="32"/>
          <w:szCs w:val="32"/>
        </w:rPr>
        <w:tab/>
      </w:r>
      <w:r>
        <w:rPr>
          <w:rFonts w:hint="eastAsia" w:ascii="Times New Roman" w:hAnsi="Times New Roman" w:eastAsia="方正楷体_GBK"/>
          <w:sz w:val="32"/>
          <w:szCs w:val="32"/>
        </w:rPr>
        <w:t>畜禽养殖限养区</w:t>
      </w:r>
      <w:r>
        <w:rPr>
          <w:rFonts w:hint="eastAsia" w:ascii="Times New Roman" w:hAnsi="Times New Roman" w:eastAsia="方正楷体_GBK"/>
          <w:sz w:val="32"/>
          <w:szCs w:val="32"/>
        </w:rPr>
        <w:tab/>
      </w: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PAGEREF _Toc501875855 \h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17</w:t>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p>
    <w:p>
      <w:pPr>
        <w:pStyle w:val="17"/>
        <w:ind w:left="404" w:firstLine="544"/>
        <w:rPr>
          <w:rFonts w:ascii="Times New Roman" w:hAnsi="Times New Roman" w:eastAsia="方正楷体_GBK"/>
          <w:sz w:val="32"/>
          <w:szCs w:val="32"/>
        </w:rPr>
      </w:pPr>
      <w:r>
        <w:fldChar w:fldCharType="begin"/>
      </w:r>
      <w:r>
        <w:instrText xml:space="preserve"> HYPERLINK \l "_Toc501875856" </w:instrText>
      </w:r>
      <w:r>
        <w:fldChar w:fldCharType="separate"/>
      </w:r>
      <w:r>
        <w:rPr>
          <w:rFonts w:hint="eastAsia" w:ascii="Times New Roman" w:hAnsi="Times New Roman" w:eastAsia="方正楷体_GBK"/>
          <w:sz w:val="32"/>
          <w:szCs w:val="32"/>
        </w:rPr>
        <w:t>5.3</w:t>
      </w:r>
      <w:r>
        <w:rPr>
          <w:rFonts w:hint="eastAsia" w:ascii="Times New Roman" w:hAnsi="Times New Roman" w:eastAsia="方正楷体_GBK"/>
          <w:sz w:val="32"/>
          <w:szCs w:val="32"/>
        </w:rPr>
        <w:tab/>
      </w:r>
      <w:r>
        <w:rPr>
          <w:rFonts w:hint="eastAsia" w:ascii="Times New Roman" w:hAnsi="Times New Roman" w:eastAsia="方正楷体_GBK"/>
          <w:sz w:val="32"/>
          <w:szCs w:val="32"/>
        </w:rPr>
        <w:t>畜禽养殖禁养区、限养区划定结果</w:t>
      </w:r>
      <w:r>
        <w:rPr>
          <w:rFonts w:hint="eastAsia" w:ascii="Times New Roman" w:hAnsi="Times New Roman" w:eastAsia="方正楷体_GBK"/>
          <w:sz w:val="32"/>
          <w:szCs w:val="32"/>
        </w:rPr>
        <w:tab/>
      </w: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PAGEREF _Toc501875856 \h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22</w:t>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p>
    <w:p>
      <w:pPr>
        <w:pStyle w:val="16"/>
        <w:tabs>
          <w:tab w:val="left" w:pos="1050"/>
          <w:tab w:val="right" w:leader="dot" w:pos="8721"/>
        </w:tabs>
        <w:ind w:firstLine="544"/>
        <w:rPr>
          <w:rFonts w:ascii="Times New Roman" w:hAnsi="Times New Roman" w:eastAsia="方正仿宋_GBK"/>
          <w:sz w:val="32"/>
          <w:szCs w:val="32"/>
        </w:rPr>
      </w:pPr>
      <w:r>
        <w:fldChar w:fldCharType="begin"/>
      </w:r>
      <w:r>
        <w:instrText xml:space="preserve"> HYPERLINK \l "_Toc501875857" </w:instrText>
      </w:r>
      <w:r>
        <w:fldChar w:fldCharType="separate"/>
      </w:r>
      <w:r>
        <w:rPr>
          <w:rFonts w:hint="eastAsia" w:ascii="Times New Roman" w:hAnsi="Times New Roman" w:eastAsia="方正黑体_GBK"/>
          <w:sz w:val="32"/>
          <w:szCs w:val="32"/>
        </w:rPr>
        <w:t>6</w:t>
      </w:r>
      <w:r>
        <w:rPr>
          <w:rFonts w:hint="eastAsia" w:ascii="Times New Roman" w:hAnsi="Times New Roman" w:eastAsia="方正黑体_GBK"/>
          <w:sz w:val="32"/>
          <w:szCs w:val="32"/>
        </w:rPr>
        <w:tab/>
      </w:r>
      <w:r>
        <w:rPr>
          <w:rFonts w:hint="eastAsia" w:ascii="Times New Roman" w:hAnsi="Times New Roman" w:eastAsia="方正楷体_GBK"/>
          <w:sz w:val="32"/>
          <w:szCs w:val="32"/>
        </w:rPr>
        <w:t>组织实施</w:t>
      </w:r>
      <w:r>
        <w:rPr>
          <w:rFonts w:hint="eastAsia" w:ascii="Times New Roman" w:hAnsi="Times New Roman" w:eastAsia="方正仿宋_GBK"/>
          <w:sz w:val="32"/>
          <w:szCs w:val="32"/>
        </w:rPr>
        <w:tab/>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PAGEREF _Toc501875857 \h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25</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p>
    <w:p>
      <w:pPr>
        <w:pStyle w:val="17"/>
        <w:ind w:left="404" w:firstLine="544"/>
        <w:rPr>
          <w:rFonts w:ascii="Times New Roman" w:hAnsi="Times New Roman" w:eastAsia="方正楷体_GBK"/>
          <w:sz w:val="32"/>
          <w:szCs w:val="32"/>
        </w:rPr>
      </w:pPr>
      <w:r>
        <w:fldChar w:fldCharType="begin"/>
      </w:r>
      <w:r>
        <w:instrText xml:space="preserve"> HYPERLINK \l "_Toc501875858" </w:instrText>
      </w:r>
      <w:r>
        <w:fldChar w:fldCharType="separate"/>
      </w:r>
      <w:r>
        <w:rPr>
          <w:rFonts w:hint="eastAsia" w:ascii="Times New Roman" w:hAnsi="Times New Roman" w:eastAsia="方正楷体_GBK"/>
          <w:sz w:val="32"/>
          <w:szCs w:val="32"/>
        </w:rPr>
        <w:t>6.1</w:t>
      </w:r>
      <w:r>
        <w:rPr>
          <w:rFonts w:hint="eastAsia" w:ascii="Times New Roman" w:hAnsi="Times New Roman" w:eastAsia="方正楷体_GBK"/>
          <w:sz w:val="32"/>
          <w:szCs w:val="32"/>
        </w:rPr>
        <w:tab/>
      </w:r>
      <w:r>
        <w:rPr>
          <w:rFonts w:hint="eastAsia" w:ascii="Times New Roman" w:hAnsi="Times New Roman" w:eastAsia="方正楷体_GBK"/>
          <w:sz w:val="32"/>
          <w:szCs w:val="32"/>
        </w:rPr>
        <w:t>严把准入关口</w:t>
      </w:r>
      <w:r>
        <w:rPr>
          <w:rFonts w:hint="eastAsia" w:ascii="Times New Roman" w:hAnsi="Times New Roman" w:eastAsia="方正楷体_GBK"/>
          <w:sz w:val="32"/>
          <w:szCs w:val="32"/>
        </w:rPr>
        <w:tab/>
      </w: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PAGEREF _Toc501875858 \h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25</w:t>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p>
    <w:p>
      <w:pPr>
        <w:pStyle w:val="17"/>
        <w:ind w:left="404" w:firstLine="544"/>
        <w:rPr>
          <w:rFonts w:ascii="Times New Roman" w:hAnsi="Times New Roman" w:eastAsia="方正楷体_GBK"/>
          <w:sz w:val="32"/>
          <w:szCs w:val="32"/>
        </w:rPr>
      </w:pPr>
      <w:r>
        <w:fldChar w:fldCharType="begin"/>
      </w:r>
      <w:r>
        <w:instrText xml:space="preserve"> HYPERLINK \l "_Toc501875859" </w:instrText>
      </w:r>
      <w:r>
        <w:fldChar w:fldCharType="separate"/>
      </w:r>
      <w:r>
        <w:rPr>
          <w:rFonts w:hint="eastAsia" w:ascii="Times New Roman" w:hAnsi="Times New Roman" w:eastAsia="方正楷体_GBK"/>
          <w:sz w:val="32"/>
          <w:szCs w:val="32"/>
        </w:rPr>
        <w:t>6.2</w:t>
      </w:r>
      <w:r>
        <w:rPr>
          <w:rFonts w:hint="eastAsia" w:ascii="Times New Roman" w:hAnsi="Times New Roman" w:eastAsia="方正楷体_GBK"/>
          <w:sz w:val="32"/>
          <w:szCs w:val="32"/>
        </w:rPr>
        <w:tab/>
      </w:r>
      <w:r>
        <w:rPr>
          <w:rFonts w:hint="eastAsia" w:ascii="Times New Roman" w:hAnsi="Times New Roman" w:eastAsia="方正楷体_GBK"/>
          <w:sz w:val="32"/>
          <w:szCs w:val="32"/>
        </w:rPr>
        <w:t>开展污染整治</w:t>
      </w:r>
      <w:r>
        <w:rPr>
          <w:rFonts w:hint="eastAsia" w:ascii="Times New Roman" w:hAnsi="Times New Roman" w:eastAsia="方正楷体_GBK"/>
          <w:sz w:val="32"/>
          <w:szCs w:val="32"/>
        </w:rPr>
        <w:tab/>
      </w: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PAGEREF _Toc501875859 \h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26</w:t>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p>
    <w:p>
      <w:pPr>
        <w:pStyle w:val="17"/>
        <w:ind w:left="404" w:firstLine="544"/>
        <w:rPr>
          <w:rFonts w:ascii="Times New Roman" w:hAnsi="Times New Roman" w:eastAsia="方正楷体_GBK"/>
          <w:sz w:val="32"/>
          <w:szCs w:val="32"/>
        </w:rPr>
      </w:pPr>
      <w:r>
        <w:fldChar w:fldCharType="begin"/>
      </w:r>
      <w:r>
        <w:instrText xml:space="preserve"> HYPERLINK \l "_Toc501875860" </w:instrText>
      </w:r>
      <w:r>
        <w:fldChar w:fldCharType="separate"/>
      </w:r>
      <w:r>
        <w:rPr>
          <w:rFonts w:hint="eastAsia" w:ascii="Times New Roman" w:hAnsi="Times New Roman" w:eastAsia="方正楷体_GBK"/>
          <w:sz w:val="32"/>
          <w:szCs w:val="32"/>
        </w:rPr>
        <w:t>6.3</w:t>
      </w:r>
      <w:r>
        <w:rPr>
          <w:rFonts w:hint="eastAsia" w:ascii="Times New Roman" w:hAnsi="Times New Roman" w:eastAsia="方正楷体_GBK"/>
          <w:sz w:val="32"/>
          <w:szCs w:val="32"/>
        </w:rPr>
        <w:tab/>
      </w:r>
      <w:r>
        <w:rPr>
          <w:rFonts w:hint="eastAsia" w:ascii="Times New Roman" w:hAnsi="Times New Roman" w:eastAsia="方正楷体_GBK"/>
          <w:sz w:val="32"/>
          <w:szCs w:val="32"/>
        </w:rPr>
        <w:t>落实监管责任</w:t>
      </w:r>
      <w:r>
        <w:rPr>
          <w:rFonts w:hint="eastAsia" w:ascii="Times New Roman" w:hAnsi="Times New Roman" w:eastAsia="方正楷体_GBK"/>
          <w:sz w:val="32"/>
          <w:szCs w:val="32"/>
        </w:rPr>
        <w:tab/>
      </w: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PAGEREF _Toc501875860 \h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26</w:t>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p>
    <w:p>
      <w:pPr>
        <w:pStyle w:val="17"/>
        <w:ind w:left="404" w:firstLine="544"/>
        <w:jc w:val="left"/>
        <w:rPr>
          <w:rFonts w:ascii="Times New Roman" w:hAnsi="Times New Roman" w:eastAsia="方正楷体_GBK"/>
          <w:sz w:val="32"/>
          <w:szCs w:val="32"/>
        </w:rPr>
      </w:pPr>
      <w:r>
        <w:fldChar w:fldCharType="begin"/>
      </w:r>
      <w:r>
        <w:instrText xml:space="preserve"> HYPERLINK \l "_Toc501875861" </w:instrText>
      </w:r>
      <w:r>
        <w:fldChar w:fldCharType="separate"/>
      </w:r>
      <w:r>
        <w:rPr>
          <w:rFonts w:hint="eastAsia" w:ascii="Times New Roman" w:hAnsi="Times New Roman" w:eastAsia="方正楷体_GBK"/>
          <w:sz w:val="32"/>
          <w:szCs w:val="32"/>
        </w:rPr>
        <w:t>6.4</w:t>
      </w:r>
      <w:r>
        <w:rPr>
          <w:rFonts w:hint="eastAsia" w:ascii="Times New Roman" w:hAnsi="Times New Roman" w:eastAsia="方正楷体_GBK"/>
          <w:sz w:val="32"/>
          <w:szCs w:val="32"/>
        </w:rPr>
        <w:tab/>
      </w:r>
      <w:r>
        <w:rPr>
          <w:rFonts w:hint="eastAsia" w:ascii="Times New Roman" w:hAnsi="Times New Roman" w:eastAsia="方正楷体_GBK"/>
          <w:sz w:val="32"/>
          <w:szCs w:val="32"/>
        </w:rPr>
        <w:t>严格修改程序</w:t>
      </w:r>
      <w:r>
        <w:rPr>
          <w:rFonts w:hint="eastAsia" w:ascii="Times New Roman" w:hAnsi="Times New Roman" w:eastAsia="方正楷体_GBK"/>
          <w:sz w:val="32"/>
          <w:szCs w:val="32"/>
        </w:rPr>
        <w:tab/>
      </w: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PAGEREF _Toc501875861 \h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26</w:t>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p>
    <w:p>
      <w:pPr>
        <w:rPr>
          <w:rFonts w:ascii="Times New Roman" w:hAnsi="Times New Roman" w:eastAsia="方正仿宋_GBK"/>
          <w:color w:val="000000"/>
          <w:sz w:val="32"/>
          <w:szCs w:val="32"/>
        </w:rPr>
        <w:sectPr>
          <w:footerReference r:id="rId6" w:type="first"/>
          <w:headerReference r:id="rId3" w:type="default"/>
          <w:footerReference r:id="rId4" w:type="default"/>
          <w:footerReference r:id="rId5" w:type="even"/>
          <w:pgSz w:w="11906" w:h="16838"/>
          <w:pgMar w:top="2098" w:right="1474" w:bottom="1985" w:left="1588" w:header="851" w:footer="1134" w:gutter="113"/>
          <w:pgNumType w:start="1" w:chapStyle="1"/>
          <w:cols w:space="720" w:num="1"/>
          <w:docGrid w:type="linesAndChars" w:linePitch="579" w:charSpace="-1675"/>
        </w:sectPr>
      </w:pPr>
      <w:r>
        <w:rPr>
          <w:rFonts w:hint="eastAsia" w:ascii="Times New Roman" w:hAnsi="Times New Roman" w:eastAsia="方正仿宋_GBK"/>
          <w:color w:val="000000"/>
          <w:sz w:val="32"/>
          <w:szCs w:val="32"/>
        </w:rPr>
        <w:fldChar w:fldCharType="end"/>
      </w:r>
    </w:p>
    <w:p>
      <w:pPr>
        <w:spacing w:line="64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大足区畜禽养殖区域划分方案</w:t>
      </w:r>
    </w:p>
    <w:p>
      <w:pPr>
        <w:spacing w:line="560" w:lineRule="exact"/>
        <w:ind w:firstLine="624"/>
        <w:jc w:val="center"/>
        <w:rPr>
          <w:rFonts w:ascii="Times New Roman" w:hAnsi="Times New Roman" w:eastAsia="方正小标宋_GBK"/>
          <w:sz w:val="44"/>
          <w:szCs w:val="44"/>
        </w:rPr>
      </w:pPr>
    </w:p>
    <w:p>
      <w:pPr>
        <w:ind w:firstLine="640" w:firstLineChars="200"/>
        <w:rPr>
          <w:rFonts w:ascii="Times New Roman" w:hAnsi="Times New Roman" w:eastAsia="方正仿宋_GBK"/>
          <w:sz w:val="32"/>
          <w:szCs w:val="24"/>
        </w:rPr>
      </w:pPr>
      <w:r>
        <w:rPr>
          <w:rFonts w:hint="eastAsia" w:ascii="Times New Roman" w:hAnsi="Times New Roman" w:eastAsia="方正仿宋_GBK"/>
          <w:sz w:val="32"/>
          <w:szCs w:val="24"/>
        </w:rPr>
        <w:t>为贯彻落实好党的十九大和十九届二中、三中全会精神及市委、市政府关于生态文明建设的决策部署，牢固树立新发展理念，坚定不移走生态优先、绿色发展之路，统筹考虑我区畜牧业发展和环境保护需要，进一步优化畜禽养殖产业布局，有效控制大足区畜禽养殖业污染，保障人民群众身体健康。根据《畜禽规模养殖污染防治条例》（国务院令第643号）、《环境保护部办公厅农业部办公厅关于印发畜禽养殖禁养区划定技术指南的通知》（环办水体〔2016〕99号）《重庆市环境保护条例》《重庆市长江三峡水库库区及流域水污染防治条例》和《重庆市生态环境局重庆市农业农村委关于规范畜禽养殖禁养区划定和管理促进生猪生产发展的通知》（渝环〔2019〕187号）等要求，结合我区实际情况，制定本方案。</w:t>
      </w:r>
    </w:p>
    <w:p>
      <w:pPr>
        <w:pStyle w:val="2"/>
        <w:numPr>
          <w:ilvl w:val="0"/>
          <w:numId w:val="0"/>
        </w:numPr>
        <w:spacing w:line="240" w:lineRule="auto"/>
        <w:ind w:firstLine="640" w:firstLineChars="200"/>
        <w:rPr>
          <w:rFonts w:ascii="Times New Roman" w:hAnsi="Times New Roman" w:eastAsia="方正黑体_GBK"/>
          <w:b w:val="0"/>
          <w:bCs w:val="0"/>
          <w:szCs w:val="32"/>
        </w:rPr>
      </w:pPr>
      <w:bookmarkStart w:id="0" w:name="_Toc501875847"/>
      <w:r>
        <w:rPr>
          <w:rFonts w:hint="eastAsia" w:ascii="Times New Roman" w:hAnsi="Times New Roman" w:eastAsia="方正黑体_GBK"/>
          <w:b w:val="0"/>
          <w:bCs w:val="0"/>
          <w:szCs w:val="32"/>
        </w:rPr>
        <w:t>一、指导思想</w:t>
      </w:r>
      <w:bookmarkEnd w:id="0"/>
    </w:p>
    <w:p>
      <w:pPr>
        <w:ind w:firstLine="640" w:firstLineChars="200"/>
        <w:rPr>
          <w:rFonts w:ascii="Times New Roman" w:hAnsi="Times New Roman" w:eastAsia="方正仿宋_GBK"/>
          <w:sz w:val="32"/>
          <w:szCs w:val="24"/>
        </w:rPr>
      </w:pPr>
      <w:r>
        <w:rPr>
          <w:rFonts w:hint="eastAsia" w:ascii="Times New Roman" w:hAnsi="Times New Roman" w:eastAsia="方正仿宋_GBK"/>
          <w:sz w:val="32"/>
          <w:szCs w:val="24"/>
        </w:rPr>
        <w:t>以习近平</w:t>
      </w:r>
      <w:r>
        <w:rPr>
          <w:rFonts w:hint="eastAsia" w:ascii="Times New Roman" w:hAnsi="Times New Roman" w:eastAsia="方正仿宋_GBK"/>
          <w:sz w:val="32"/>
          <w:szCs w:val="24"/>
          <w:lang w:eastAsia="zh-CN"/>
        </w:rPr>
        <w:t>新时代</w:t>
      </w:r>
      <w:r>
        <w:rPr>
          <w:rFonts w:hint="eastAsia" w:ascii="Times New Roman" w:hAnsi="Times New Roman" w:eastAsia="方正仿宋_GBK"/>
          <w:sz w:val="32"/>
          <w:szCs w:val="24"/>
        </w:rPr>
        <w:t>中国特色社会主义思想为指导，深入学习贯彻习近平总书记系列重要讲话精神和治国理政新思想，特别是加强长江经济带环境保护的讲话精神，按照“五位一体”总体布局和“四个全面”战略布局，以“创新、协调、绿色、开放、共享”的新发展理念为指导，以国家和地方环境保护法律、法规为依据，以保障大足区环境安全、促进畜禽养殖业健康可持续发展为目标，突出重点区域、重点水域的生态环境保护，调整优化畜禽养殖业生产布局，开展畜禽养殖污染综合防治，实现畜禽养殖废弃物减量化、无害化、资源化和生态化，提高区域生态环境质量，保障人民群众身体健康，促进畜禽养殖业发展与生态环境全面协调发展。</w:t>
      </w:r>
    </w:p>
    <w:p>
      <w:pPr>
        <w:pStyle w:val="2"/>
        <w:numPr>
          <w:ilvl w:val="0"/>
          <w:numId w:val="0"/>
        </w:numPr>
        <w:spacing w:line="240" w:lineRule="auto"/>
        <w:ind w:firstLine="640" w:firstLineChars="200"/>
        <w:rPr>
          <w:rFonts w:ascii="Times New Roman" w:hAnsi="Times New Roman" w:eastAsia="方正黑体_GBK"/>
          <w:szCs w:val="32"/>
        </w:rPr>
      </w:pPr>
      <w:bookmarkStart w:id="1" w:name="_Toc501875848"/>
      <w:r>
        <w:rPr>
          <w:rFonts w:hint="eastAsia" w:ascii="Times New Roman" w:hAnsi="Times New Roman" w:eastAsia="方正黑体_GBK"/>
          <w:szCs w:val="32"/>
        </w:rPr>
        <w:t>二、基</w:t>
      </w:r>
      <w:r>
        <w:rPr>
          <w:rFonts w:hint="eastAsia" w:ascii="Times New Roman" w:hAnsi="Times New Roman" w:eastAsia="方正黑体_GBK"/>
          <w:b w:val="0"/>
          <w:bCs w:val="0"/>
          <w:szCs w:val="32"/>
        </w:rPr>
        <w:t>本原则</w:t>
      </w:r>
      <w:bookmarkEnd w:id="1"/>
    </w:p>
    <w:p>
      <w:pPr>
        <w:ind w:firstLine="640" w:firstLineChars="200"/>
        <w:rPr>
          <w:rFonts w:ascii="Times New Roman" w:hAnsi="Times New Roman" w:eastAsia="方正仿宋_GBK"/>
          <w:sz w:val="32"/>
          <w:szCs w:val="32"/>
        </w:rPr>
      </w:pPr>
      <w:bookmarkStart w:id="2" w:name="_Toc452887833"/>
      <w:bookmarkEnd w:id="2"/>
      <w:r>
        <w:rPr>
          <w:rFonts w:hint="eastAsia" w:ascii="Times New Roman" w:hAnsi="Times New Roman" w:eastAsia="方正仿宋_GBK"/>
          <w:sz w:val="32"/>
          <w:szCs w:val="24"/>
        </w:rPr>
        <w:t>以优化畜禽养殖产业布局、控制农业面源污染、保障生态环境安全为目的，根据《全国主体功能区划》《全国生态功能区划（修编版）》，综合考虑各区域主体功能定位及生态功能重要性，在与生态保护红线格局相协调前提下，以饮用水水源保护区、自然保护区的核心区和缓冲区、风景名胜区、城镇居民区、文化教育科学研究区等区域为重点，科学合理划定禁养区、限养区范围，切实加强环境监管，促进环境保护和畜禽养殖业协调发展。遵循以下基本原则：</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坚持依法行政。坚持法定职责必须为、法无授权不可为，将法律法规明确规定禁止、限制养殖畜禽的区域划入禁养区、限养区，法律法规未作出限制性规定的区域不划入禁养、限养范围，维护群众合法权益，改善环境质量。</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坚持统筹协调。落实“面上保护、点上开发”要求，与大足区经济社会发展规划、土地利用总体规划、城乡总体规划、畜禽养殖业发展规划等规划相协调，兼顾发展需求、留足发展空间，统筹兼顾生态环境保护与畜禽养殖持续健康协调发展，科学合理设置边界范围，满足动物防疫条件，确保畜禽产品市场有效供给。</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坚持务实管用。畜禽养殖禁养区划定后，必须实行严格管控。要明确地理边界、坐标，将畜禽养殖禁养区落地、上图、入库，力求“划得实，管得住”，使本方案成为畜禽养殖项目用地规划、环评审批、行政执法的依据，增强保护实效。</w:t>
      </w:r>
    </w:p>
    <w:p>
      <w:pPr>
        <w:pStyle w:val="2"/>
        <w:numPr>
          <w:ilvl w:val="0"/>
          <w:numId w:val="0"/>
        </w:numPr>
        <w:spacing w:line="240" w:lineRule="auto"/>
        <w:ind w:firstLine="640" w:firstLineChars="200"/>
        <w:rPr>
          <w:rFonts w:ascii="Times New Roman" w:hAnsi="Times New Roman" w:eastAsia="方正黑体_GBK"/>
          <w:b w:val="0"/>
          <w:bCs w:val="0"/>
          <w:szCs w:val="32"/>
        </w:rPr>
      </w:pPr>
      <w:bookmarkStart w:id="3" w:name="_Toc501875849"/>
      <w:r>
        <w:rPr>
          <w:rFonts w:hint="eastAsia" w:ascii="Times New Roman" w:hAnsi="Times New Roman" w:eastAsia="方正黑体_GBK"/>
          <w:b w:val="0"/>
          <w:bCs w:val="0"/>
          <w:szCs w:val="32"/>
        </w:rPr>
        <w:t>三、主要依据</w:t>
      </w:r>
      <w:bookmarkEnd w:id="3"/>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一</w:t>
      </w:r>
      <w:r>
        <w:rPr>
          <w:rFonts w:hint="eastAsia" w:ascii="Times New Roman" w:hAnsi="Times New Roman" w:eastAsia="方正仿宋_GBK"/>
          <w:sz w:val="32"/>
          <w:szCs w:val="32"/>
        </w:rPr>
        <w:t>）《中华人民共和国畜牧法》；</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二</w:t>
      </w:r>
      <w:r>
        <w:rPr>
          <w:rFonts w:hint="eastAsia" w:ascii="Times New Roman" w:hAnsi="Times New Roman" w:eastAsia="方正仿宋_GBK"/>
          <w:sz w:val="32"/>
          <w:szCs w:val="32"/>
        </w:rPr>
        <w:t>）《畜禽规模养殖污染防治条例》（国务院令第643号）；</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三</w:t>
      </w:r>
      <w:r>
        <w:rPr>
          <w:rFonts w:hint="eastAsia" w:ascii="Times New Roman" w:hAnsi="Times New Roman" w:eastAsia="方正仿宋_GBK"/>
          <w:sz w:val="32"/>
          <w:szCs w:val="32"/>
        </w:rPr>
        <w:t>）《动物防疫条件审查办法》（农业部令2010年第7号）；</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四</w:t>
      </w:r>
      <w:r>
        <w:rPr>
          <w:rFonts w:hint="eastAsia" w:ascii="Times New Roman" w:hAnsi="Times New Roman" w:eastAsia="方正仿宋_GBK"/>
          <w:sz w:val="32"/>
          <w:szCs w:val="32"/>
        </w:rPr>
        <w:t>）《国务院关于印发水污染防治行动计划的通知》（国发〔2015〕17号）；</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五</w:t>
      </w:r>
      <w:r>
        <w:rPr>
          <w:rFonts w:hint="eastAsia" w:ascii="Times New Roman" w:hAnsi="Times New Roman" w:eastAsia="方正仿宋_GBK"/>
          <w:sz w:val="32"/>
          <w:szCs w:val="32"/>
        </w:rPr>
        <w:t>）《国务院办公厅关于加快推进畜禽养殖废弃物资源化利用的意见》（国办发〔2017〕48号）；</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六</w:t>
      </w:r>
      <w:r>
        <w:rPr>
          <w:rFonts w:hint="eastAsia" w:ascii="Times New Roman" w:hAnsi="Times New Roman" w:eastAsia="方正仿宋_GBK"/>
          <w:sz w:val="32"/>
          <w:szCs w:val="32"/>
        </w:rPr>
        <w:t>）《环境保护部农业部关于进一步加强畜禽养殖污染防治工作的通知》（环水体〔2016〕144号）；</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七</w:t>
      </w:r>
      <w:r>
        <w:rPr>
          <w:rFonts w:hint="eastAsia" w:ascii="Times New Roman" w:hAnsi="Times New Roman" w:eastAsia="方正仿宋_GBK"/>
          <w:sz w:val="32"/>
          <w:szCs w:val="32"/>
        </w:rPr>
        <w:t>）《环境保护部办公厅农业部办公厅关于印发畜禽养殖禁养区划定技术指南的通知》（环办水体〔2016〕99号）；</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（八）《生态环境部农业农村部关于进一步规范畜禽养殖禁养区划定和管理促进生猪生产发展的通知》（环办土壤〔2019〕55号）；</w:t>
      </w:r>
    </w:p>
    <w:p>
      <w:pPr>
        <w:ind w:firstLine="640" w:firstLineChars="200"/>
        <w:rPr>
          <w:rFonts w:ascii="Times New Roman" w:hAnsi="Times New Roman" w:eastAsia="方正仿宋_GBK"/>
          <w:b/>
          <w:sz w:val="32"/>
          <w:szCs w:val="32"/>
        </w:rPr>
      </w:pPr>
      <w:r>
        <w:rPr>
          <w:rFonts w:hint="eastAsia" w:ascii="Times New Roman" w:hAnsi="Times New Roman" w:eastAsia="方正仿宋_GBK"/>
          <w:sz w:val="32"/>
          <w:szCs w:val="32"/>
        </w:rPr>
        <w:t>（九）《重庆市长江三峡水库库区及流域水污染防治条例》；</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（十）《重庆市环境保护条例》；</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十</w:t>
      </w:r>
      <w:r>
        <w:rPr>
          <w:rFonts w:hint="eastAsia" w:ascii="Times New Roman" w:hAnsi="Times New Roman" w:eastAsia="方正仿宋_GBK"/>
          <w:sz w:val="32"/>
          <w:szCs w:val="32"/>
        </w:rPr>
        <w:t>一）《重庆市市容环境卫生管理条例》；</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十</w:t>
      </w:r>
      <w:r>
        <w:rPr>
          <w:rFonts w:hint="eastAsia" w:ascii="Times New Roman" w:hAnsi="Times New Roman" w:eastAsia="方正仿宋_GBK"/>
          <w:sz w:val="32"/>
          <w:szCs w:val="32"/>
        </w:rPr>
        <w:t>二）《重庆市人民政府关于印发贯彻落实国务院水污染防治行动计划实施方案的通知》（渝府发〔2015〕69号）；</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十</w:t>
      </w:r>
      <w:r>
        <w:rPr>
          <w:rFonts w:hint="eastAsia" w:ascii="Times New Roman" w:hAnsi="Times New Roman" w:eastAsia="方正仿宋_GBK"/>
          <w:sz w:val="32"/>
          <w:szCs w:val="32"/>
        </w:rPr>
        <w:t>三）《重庆市人民政府批转重庆市地表水环境功能类别调整方案的通知》（渝府发〔2012〕4号）；</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十</w:t>
      </w:r>
      <w:r>
        <w:rPr>
          <w:rFonts w:hint="eastAsia" w:ascii="Times New Roman" w:hAnsi="Times New Roman" w:eastAsia="方正仿宋_GBK"/>
          <w:sz w:val="32"/>
          <w:szCs w:val="32"/>
        </w:rPr>
        <w:t>四）《重庆市环境保护局关于调整畜禽养殖禁养区划定有关事宜的通知》（渝环〔2017〕102号）；</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十</w:t>
      </w:r>
      <w:r>
        <w:rPr>
          <w:rFonts w:hint="eastAsia" w:ascii="Times New Roman" w:hAnsi="Times New Roman" w:eastAsia="方正仿宋_GBK"/>
          <w:sz w:val="32"/>
          <w:szCs w:val="32"/>
        </w:rPr>
        <w:t>五）《重庆市农业委员会重庆市环境保护局关于印发重庆市畜禽养殖污染防治方案的通知》（渝农发〔2017〕229号）；</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（十六）《重庆市生态环境局重庆市农业农村委员会关于规范畜禽养殖禁养区划定和管理促进生猪生产发展的通知》（渝环〔2019〕187号）</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十</w:t>
      </w:r>
      <w:r>
        <w:rPr>
          <w:rFonts w:hint="eastAsia" w:ascii="Times New Roman" w:hAnsi="Times New Roman" w:eastAsia="方正仿宋_GBK"/>
          <w:sz w:val="32"/>
          <w:szCs w:val="32"/>
        </w:rPr>
        <w:t>七）《大足区土地利用总体规划》；</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十</w:t>
      </w:r>
      <w:r>
        <w:rPr>
          <w:rFonts w:hint="eastAsia" w:ascii="Times New Roman" w:hAnsi="Times New Roman" w:eastAsia="方正仿宋_GBK"/>
          <w:sz w:val="32"/>
          <w:szCs w:val="32"/>
        </w:rPr>
        <w:t>八）《大足区城乡总体规划》；</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w:t>
      </w:r>
      <w:r>
        <w:rPr>
          <w:rFonts w:ascii="Times New Roman" w:hAnsi="Times New Roman" w:eastAsia="方正仿宋_GBK"/>
          <w:sz w:val="32"/>
          <w:szCs w:val="32"/>
        </w:rPr>
        <w:t>十</w:t>
      </w:r>
      <w:r>
        <w:rPr>
          <w:rFonts w:hint="eastAsia" w:ascii="Times New Roman" w:hAnsi="Times New Roman" w:eastAsia="方正仿宋_GBK"/>
          <w:sz w:val="32"/>
          <w:szCs w:val="32"/>
        </w:rPr>
        <w:t>九）其他有关法律法规和技术规范。</w:t>
      </w:r>
    </w:p>
    <w:p>
      <w:pPr>
        <w:pStyle w:val="2"/>
        <w:numPr>
          <w:ilvl w:val="0"/>
          <w:numId w:val="0"/>
        </w:numPr>
        <w:spacing w:line="240" w:lineRule="auto"/>
        <w:ind w:firstLine="640" w:firstLineChars="200"/>
        <w:rPr>
          <w:rFonts w:ascii="Times New Roman" w:hAnsi="Times New Roman" w:eastAsia="方正黑体_GBK"/>
          <w:b w:val="0"/>
          <w:bCs w:val="0"/>
          <w:szCs w:val="32"/>
        </w:rPr>
      </w:pPr>
      <w:bookmarkStart w:id="4" w:name="_Toc501875850"/>
      <w:r>
        <w:rPr>
          <w:rFonts w:hint="eastAsia" w:ascii="Times New Roman" w:hAnsi="Times New Roman" w:eastAsia="方正黑体_GBK"/>
          <w:b w:val="0"/>
          <w:bCs w:val="0"/>
          <w:szCs w:val="32"/>
        </w:rPr>
        <w:t>四、区域类型及管理要求</w:t>
      </w:r>
      <w:bookmarkEnd w:id="4"/>
    </w:p>
    <w:p>
      <w:pPr>
        <w:pStyle w:val="3"/>
        <w:numPr>
          <w:ilvl w:val="0"/>
          <w:numId w:val="0"/>
        </w:numPr>
        <w:spacing w:line="240" w:lineRule="auto"/>
        <w:ind w:firstLine="640" w:firstLineChars="200"/>
        <w:rPr>
          <w:rFonts w:ascii="Times New Roman" w:hAnsi="Times New Roman" w:eastAsia="方正楷体_GBK"/>
          <w:b w:val="0"/>
          <w:bCs w:val="0"/>
          <w:sz w:val="32"/>
        </w:rPr>
      </w:pPr>
      <w:bookmarkStart w:id="5" w:name="_Toc501875851"/>
      <w:r>
        <w:rPr>
          <w:rFonts w:hint="eastAsia" w:ascii="Times New Roman" w:hAnsi="Times New Roman" w:eastAsia="方正楷体_GBK"/>
          <w:b w:val="0"/>
          <w:bCs w:val="0"/>
          <w:sz w:val="32"/>
        </w:rPr>
        <w:t>（一）畜禽养殖禁养区</w:t>
      </w:r>
      <w:bookmarkEnd w:id="5"/>
      <w:r>
        <w:rPr>
          <w:rFonts w:ascii="Times New Roman" w:hAnsi="Times New Roman" w:eastAsia="方正楷体_GBK"/>
          <w:b w:val="0"/>
          <w:bCs w:val="0"/>
          <w:sz w:val="32"/>
        </w:rPr>
        <w:t>。</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畜禽养殖禁养区指县级以上地方人民政府依法划定的禁止建设养殖场或禁止建设有污染物排放的养殖场的区域。</w:t>
      </w:r>
    </w:p>
    <w:p>
      <w:pPr>
        <w:pStyle w:val="3"/>
        <w:numPr>
          <w:ilvl w:val="0"/>
          <w:numId w:val="0"/>
        </w:numPr>
        <w:spacing w:line="240" w:lineRule="auto"/>
        <w:ind w:firstLine="640" w:firstLineChars="200"/>
        <w:rPr>
          <w:rFonts w:ascii="Times New Roman" w:hAnsi="Times New Roman" w:eastAsia="楷体"/>
          <w:b w:val="0"/>
          <w:bCs w:val="0"/>
          <w:sz w:val="32"/>
        </w:rPr>
      </w:pPr>
      <w:bookmarkStart w:id="6" w:name="_Toc501875852"/>
      <w:r>
        <w:rPr>
          <w:rFonts w:ascii="Times New Roman" w:hAnsi="Times New Roman" w:eastAsia="楷体"/>
          <w:b w:val="0"/>
          <w:bCs w:val="0"/>
          <w:sz w:val="32"/>
        </w:rPr>
        <w:t>（二）</w:t>
      </w:r>
      <w:r>
        <w:rPr>
          <w:rFonts w:hint="eastAsia" w:ascii="Times New Roman" w:hAnsi="Times New Roman" w:eastAsia="楷体"/>
          <w:b w:val="0"/>
          <w:bCs w:val="0"/>
          <w:sz w:val="32"/>
        </w:rPr>
        <w:t>畜禽养殖限养区</w:t>
      </w:r>
      <w:bookmarkEnd w:id="6"/>
      <w:r>
        <w:rPr>
          <w:rFonts w:ascii="Times New Roman" w:hAnsi="Times New Roman" w:eastAsia="楷体"/>
          <w:b w:val="0"/>
          <w:bCs w:val="0"/>
          <w:sz w:val="32"/>
        </w:rPr>
        <w:t>。</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畜禽养殖限养区指按照法律、法规和有关规定，实行畜禽养殖存栏总量控制的区域。畜禽养殖存栏总量超过畜禽养殖存栏控制总量时，区域内不得再新建、扩建畜禽养殖场；有关养殖经营活动必须遵守国家有关畜禽养殖场环境管理规定和畜禽废渣综合利用规定。</w:t>
      </w:r>
    </w:p>
    <w:p>
      <w:pPr>
        <w:pStyle w:val="2"/>
        <w:numPr>
          <w:ilvl w:val="0"/>
          <w:numId w:val="0"/>
        </w:numPr>
        <w:spacing w:line="240" w:lineRule="auto"/>
        <w:ind w:firstLine="640" w:firstLineChars="200"/>
        <w:rPr>
          <w:rFonts w:ascii="Times New Roman" w:hAnsi="Times New Roman" w:eastAsia="方正黑体_GBK"/>
          <w:b w:val="0"/>
          <w:bCs w:val="0"/>
          <w:szCs w:val="32"/>
        </w:rPr>
      </w:pPr>
      <w:bookmarkStart w:id="7" w:name="_Toc501875853"/>
      <w:r>
        <w:rPr>
          <w:rFonts w:hint="eastAsia" w:ascii="Times New Roman" w:hAnsi="Times New Roman" w:eastAsia="方正黑体_GBK"/>
          <w:b w:val="0"/>
          <w:bCs w:val="0"/>
          <w:szCs w:val="32"/>
        </w:rPr>
        <w:t>五、区域范围</w:t>
      </w:r>
      <w:bookmarkEnd w:id="7"/>
    </w:p>
    <w:p>
      <w:pPr>
        <w:pStyle w:val="3"/>
        <w:numPr>
          <w:ilvl w:val="0"/>
          <w:numId w:val="0"/>
        </w:numPr>
        <w:spacing w:line="240" w:lineRule="auto"/>
        <w:ind w:firstLine="640" w:firstLineChars="200"/>
        <w:rPr>
          <w:rFonts w:ascii="Times New Roman" w:hAnsi="Times New Roman" w:eastAsia="方正楷体_GBK"/>
          <w:b w:val="0"/>
          <w:bCs w:val="0"/>
          <w:sz w:val="32"/>
        </w:rPr>
      </w:pPr>
      <w:bookmarkStart w:id="8" w:name="_Toc501875854"/>
      <w:r>
        <w:rPr>
          <w:rFonts w:hint="eastAsia" w:ascii="Times New Roman" w:hAnsi="Times New Roman" w:eastAsia="方正楷体_GBK"/>
          <w:b w:val="0"/>
          <w:bCs w:val="0"/>
          <w:sz w:val="32"/>
        </w:rPr>
        <w:t>（一）畜禽养殖禁养区</w:t>
      </w:r>
      <w:bookmarkEnd w:id="8"/>
      <w:r>
        <w:rPr>
          <w:rFonts w:ascii="Times New Roman" w:hAnsi="Times New Roman" w:eastAsia="方正楷体_GBK"/>
          <w:b w:val="0"/>
          <w:bCs w:val="0"/>
          <w:sz w:val="32"/>
        </w:rPr>
        <w:t>。</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根据《畜禽规模养殖污染防治条例》（国务院令第643号）、《重庆市长江三峡水库库区及流域水污染防治条例》《畜禽养殖禁养区划定技术指南》（环办水体〔2016〕99号）等明确规定，将以下区域划为畜禽养殖禁养区。</w:t>
      </w:r>
    </w:p>
    <w:p>
      <w:pPr>
        <w:pStyle w:val="4"/>
        <w:numPr>
          <w:ilvl w:val="0"/>
          <w:numId w:val="0"/>
        </w:numPr>
        <w:spacing w:line="240" w:lineRule="auto"/>
        <w:ind w:firstLine="640" w:firstLineChars="200"/>
        <w:rPr>
          <w:rFonts w:ascii="Times New Roman" w:hAnsi="Times New Roman" w:eastAsia="方正仿宋_GBK"/>
          <w:b w:val="0"/>
          <w:bCs w:val="0"/>
          <w:sz w:val="32"/>
        </w:rPr>
      </w:pPr>
      <w:r>
        <w:rPr>
          <w:rFonts w:ascii="Times New Roman" w:hAnsi="Times New Roman" w:eastAsia="方正仿宋_GBK"/>
          <w:b w:val="0"/>
          <w:bCs w:val="0"/>
          <w:sz w:val="32"/>
        </w:rPr>
        <w:t>1</w:t>
      </w:r>
      <w:r>
        <w:rPr>
          <w:rFonts w:hint="eastAsia" w:ascii="Times New Roman" w:hAnsi="Times New Roman" w:eastAsia="方正仿宋_GBK"/>
          <w:b w:val="0"/>
          <w:bCs w:val="0"/>
          <w:sz w:val="32"/>
        </w:rPr>
        <w:t>．饮用水水源保护区</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包括饮用水水源一级保护区和二级保护区的陆域范围。已经完成饮用水水源保护区划分的，按照现有陆域边界范围执行；未完成饮用水水源保护区划分的，参照《饮用水水源保护区划分技术规范》（HJ338-20</w:t>
      </w:r>
      <w:r>
        <w:rPr>
          <w:rFonts w:ascii="Times New Roman" w:hAnsi="Times New Roman" w:eastAsia="方正仿宋_GBK"/>
          <w:sz w:val="32"/>
          <w:szCs w:val="32"/>
        </w:rPr>
        <w:t>18</w:t>
      </w:r>
      <w:r>
        <w:rPr>
          <w:rFonts w:hint="eastAsia" w:ascii="Times New Roman" w:hAnsi="Times New Roman" w:eastAsia="方正仿宋_GBK"/>
          <w:sz w:val="32"/>
          <w:szCs w:val="32"/>
        </w:rPr>
        <w:t>）中各类型饮用水水源保护区划分方法确定。</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根据《重庆</w:t>
      </w:r>
      <w:r>
        <w:rPr>
          <w:rFonts w:hint="eastAsia" w:ascii="Times New Roman" w:hAnsi="Times New Roman" w:eastAsia="方正仿宋_GBK"/>
          <w:sz w:val="32"/>
          <w:szCs w:val="32"/>
          <w:lang w:val="en-US" w:eastAsia="zh-CN"/>
        </w:rPr>
        <w:t>市</w:t>
      </w:r>
      <w:r>
        <w:rPr>
          <w:rFonts w:hint="eastAsia" w:ascii="Times New Roman" w:hAnsi="Times New Roman" w:eastAsia="方正仿宋_GBK"/>
          <w:sz w:val="32"/>
          <w:szCs w:val="32"/>
        </w:rPr>
        <w:t>人民政府办公厅关于调整万州区31个区县（自治县）集中式饮用水源保护区的通知》（渝府办〔2013〕40号）、《重庆市人民政府办公厅关于调整万州区等36个区县（自治县）集中式饮用水水源保护区的通知》（渝府办发〔2016〕19号）和《万州区等18个区县（自治县）集中式饮用水水源地保护区划分及调整方案（2017年）》。大足区饮用水水源保护区纳入禁养区的具体情况见表5-1和图5-1，其中饮用水水源保护区的一级保护区和二级保护区的面积分别为19.69km</w:t>
      </w:r>
      <w:r>
        <w:rPr>
          <w:rFonts w:ascii="Times New Roman" w:hAnsi="Times New Roman" w:cs="宋体"/>
          <w:sz w:val="32"/>
          <w:szCs w:val="32"/>
        </w:rPr>
        <w:t>²</w:t>
      </w:r>
      <w:r>
        <w:rPr>
          <w:rFonts w:hint="eastAsia" w:ascii="Times New Roman" w:hAnsi="Times New Roman" w:eastAsia="方正仿宋_GBK"/>
          <w:sz w:val="32"/>
          <w:szCs w:val="32"/>
        </w:rPr>
        <w:t>和10.02km</w:t>
      </w:r>
      <w:r>
        <w:rPr>
          <w:rFonts w:ascii="Times New Roman" w:hAnsi="Times New Roman" w:cs="宋体"/>
          <w:sz w:val="32"/>
          <w:szCs w:val="32"/>
        </w:rPr>
        <w:t>²</w:t>
      </w:r>
      <w:r>
        <w:rPr>
          <w:rFonts w:hint="eastAsia" w:ascii="Times New Roman" w:hAnsi="Times New Roman" w:eastAsia="方正仿宋_GBK"/>
          <w:sz w:val="32"/>
          <w:szCs w:val="32"/>
        </w:rPr>
        <w:t>，总面积为29.71km</w:t>
      </w:r>
      <w:r>
        <w:rPr>
          <w:rFonts w:ascii="Times New Roman" w:hAnsi="Times New Roman" w:cs="宋体"/>
          <w:sz w:val="32"/>
          <w:szCs w:val="32"/>
        </w:rPr>
        <w:t>²</w:t>
      </w:r>
      <w:r>
        <w:rPr>
          <w:rFonts w:hint="eastAsia" w:ascii="Times New Roman" w:hAnsi="Times New Roman" w:eastAsia="方正仿宋_GBK"/>
          <w:sz w:val="32"/>
          <w:szCs w:val="32"/>
        </w:rPr>
        <w:t>。</w:t>
      </w:r>
    </w:p>
    <w:p>
      <w:pPr>
        <w:pStyle w:val="11"/>
        <w:keepNext/>
        <w:snapToGrid w:val="0"/>
        <w:ind w:firstLine="0" w:firstLineChars="0"/>
        <w:jc w:val="center"/>
        <w:rPr>
          <w:rFonts w:ascii="Times New Roman" w:hAnsi="Times New Roman" w:eastAsia="方正仿宋_GBK"/>
          <w:sz w:val="32"/>
          <w:szCs w:val="32"/>
        </w:rPr>
      </w:pPr>
      <w:r>
        <w:rPr>
          <w:rFonts w:hint="eastAsia" w:ascii="Times New Roman" w:hAnsi="Times New Roman" w:eastAsia="方正仿宋_GBK"/>
          <w:sz w:val="32"/>
          <w:szCs w:val="32"/>
        </w:rPr>
        <w:t xml:space="preserve">表 </w:t>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STYLEREF 1 \s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5</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noBreakHyphen/>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SEQ 表 \* ARABIC \s 1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1</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t xml:space="preserve"> 大足区区域内饮用水水源保护区</w:t>
      </w:r>
    </w:p>
    <w:tbl>
      <w:tblPr>
        <w:tblStyle w:val="19"/>
        <w:tblW w:w="8947" w:type="dxa"/>
        <w:tblInd w:w="0" w:type="dxa"/>
        <w:tblLayout w:type="fixed"/>
        <w:tblCellMar>
          <w:top w:w="0" w:type="dxa"/>
          <w:left w:w="108" w:type="dxa"/>
          <w:bottom w:w="0" w:type="dxa"/>
          <w:right w:w="108" w:type="dxa"/>
        </w:tblCellMar>
      </w:tblPr>
      <w:tblGrid>
        <w:gridCol w:w="493"/>
        <w:gridCol w:w="3817"/>
        <w:gridCol w:w="1468"/>
        <w:gridCol w:w="1472"/>
        <w:gridCol w:w="1697"/>
      </w:tblGrid>
      <w:tr>
        <w:tblPrEx>
          <w:tblCellMar>
            <w:top w:w="0" w:type="dxa"/>
            <w:left w:w="108" w:type="dxa"/>
            <w:bottom w:w="0" w:type="dxa"/>
            <w:right w:w="108" w:type="dxa"/>
          </w:tblCellMar>
        </w:tblPrEx>
        <w:trPr>
          <w:trHeight w:val="288" w:hRule="atLeast"/>
        </w:trPr>
        <w:tc>
          <w:tcPr>
            <w:tcW w:w="493"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序号</w:t>
            </w:r>
          </w:p>
        </w:tc>
        <w:tc>
          <w:tcPr>
            <w:tcW w:w="3817"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bookmarkStart w:id="9" w:name="RANGE!B1:C39"/>
            <w:bookmarkEnd w:id="9"/>
            <w:r>
              <w:rPr>
                <w:rFonts w:hint="eastAsia" w:ascii="Times New Roman" w:hAnsi="Times New Roman" w:eastAsia="方正仿宋_GBK" w:cs="宋体"/>
                <w:color w:val="000000"/>
                <w:kern w:val="0"/>
                <w:sz w:val="24"/>
                <w:szCs w:val="32"/>
              </w:rPr>
              <w:t>名称</w:t>
            </w:r>
          </w:p>
        </w:tc>
        <w:tc>
          <w:tcPr>
            <w:tcW w:w="1468"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一级保护区面积（</w:t>
            </w:r>
            <w:r>
              <w:rPr>
                <w:rFonts w:hint="eastAsia" w:ascii="Times New Roman" w:hAnsi="Times New Roman" w:eastAsia="方正仿宋_GBK"/>
                <w:color w:val="000000"/>
                <w:kern w:val="0"/>
                <w:sz w:val="24"/>
                <w:szCs w:val="32"/>
              </w:rPr>
              <w:t>km</w:t>
            </w:r>
            <w:r>
              <w:rPr>
                <w:rFonts w:hint="eastAsia" w:ascii="Times New Roman" w:hAnsi="Times New Roman" w:eastAsia="方正仿宋_GBK" w:cs="宋体"/>
                <w:color w:val="000000"/>
                <w:kern w:val="0"/>
                <w:sz w:val="24"/>
                <w:szCs w:val="32"/>
              </w:rPr>
              <w:t>）</w:t>
            </w:r>
          </w:p>
        </w:tc>
        <w:tc>
          <w:tcPr>
            <w:tcW w:w="1472"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二级保护区面积（</w:t>
            </w:r>
            <w:r>
              <w:rPr>
                <w:rFonts w:hint="eastAsia" w:ascii="Times New Roman" w:hAnsi="Times New Roman" w:eastAsia="方正仿宋_GBK"/>
                <w:color w:val="000000"/>
                <w:kern w:val="0"/>
                <w:sz w:val="24"/>
                <w:szCs w:val="32"/>
              </w:rPr>
              <w:t>km</w:t>
            </w:r>
            <w:r>
              <w:rPr>
                <w:rFonts w:hint="eastAsia" w:ascii="Times New Roman" w:hAnsi="Times New Roman" w:eastAsia="方正仿宋_GBK" w:cs="宋体"/>
                <w:color w:val="000000"/>
                <w:kern w:val="0"/>
                <w:sz w:val="24"/>
                <w:szCs w:val="32"/>
              </w:rPr>
              <w:t>）</w:t>
            </w:r>
          </w:p>
        </w:tc>
        <w:tc>
          <w:tcPr>
            <w:tcW w:w="1697"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镇（街道）</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重庆市渝大水务责任有限公司龙水水厂水源地</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0.11</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0.06</w:t>
            </w: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龙水镇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豹子塘河珠溪水厂水源地</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0.09</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0.04</w:t>
            </w: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珠溪镇</w:t>
            </w:r>
          </w:p>
        </w:tc>
      </w:tr>
      <w:tr>
        <w:tblPrEx>
          <w:tblCellMar>
            <w:top w:w="0" w:type="dxa"/>
            <w:left w:w="108" w:type="dxa"/>
            <w:bottom w:w="0" w:type="dxa"/>
            <w:right w:w="108" w:type="dxa"/>
          </w:tblCellMar>
        </w:tblPrEx>
        <w:trPr>
          <w:trHeight w:val="610"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大足区高坪镇群乐水库高坪镇水厂水源地</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0.12</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高坪镇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4</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东风水库</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0.52</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季家镇</w:t>
            </w:r>
          </w:p>
        </w:tc>
      </w:tr>
      <w:tr>
        <w:tblPrEx>
          <w:tblCellMar>
            <w:top w:w="0" w:type="dxa"/>
            <w:left w:w="108" w:type="dxa"/>
            <w:bottom w:w="0" w:type="dxa"/>
            <w:right w:w="108" w:type="dxa"/>
          </w:tblCellMar>
        </w:tblPrEx>
        <w:trPr>
          <w:trHeight w:val="288" w:hRule="atLeast"/>
        </w:trPr>
        <w:tc>
          <w:tcPr>
            <w:tcW w:w="493"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5</w:t>
            </w:r>
          </w:p>
        </w:tc>
        <w:tc>
          <w:tcPr>
            <w:tcW w:w="3817"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丰收水库</w:t>
            </w:r>
          </w:p>
        </w:tc>
        <w:tc>
          <w:tcPr>
            <w:tcW w:w="1468"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0.10</w:t>
            </w:r>
          </w:p>
        </w:tc>
        <w:tc>
          <w:tcPr>
            <w:tcW w:w="1472"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宝顶镇</w:t>
            </w:r>
          </w:p>
        </w:tc>
      </w:tr>
      <w:tr>
        <w:tblPrEx>
          <w:tblCellMar>
            <w:top w:w="0" w:type="dxa"/>
            <w:left w:w="108" w:type="dxa"/>
            <w:bottom w:w="0" w:type="dxa"/>
            <w:right w:w="108" w:type="dxa"/>
          </w:tblCellMar>
        </w:tblPrEx>
        <w:trPr>
          <w:trHeight w:val="288" w:hRule="atLeast"/>
        </w:trPr>
        <w:tc>
          <w:tcPr>
            <w:tcW w:w="493"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6</w:t>
            </w:r>
          </w:p>
        </w:tc>
        <w:tc>
          <w:tcPr>
            <w:tcW w:w="3817"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高登河大足县拾万自来水厂饮用水源地</w:t>
            </w:r>
          </w:p>
        </w:tc>
        <w:tc>
          <w:tcPr>
            <w:tcW w:w="1468"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0.13</w:t>
            </w:r>
          </w:p>
        </w:tc>
        <w:tc>
          <w:tcPr>
            <w:tcW w:w="1472"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0.05</w:t>
            </w:r>
          </w:p>
        </w:tc>
        <w:tc>
          <w:tcPr>
            <w:tcW w:w="1697"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拾万镇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7</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古通天河水库（一库）</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0.02</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古龙镇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8</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化龙水库</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2.77</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宝顶镇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9</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淮远河大足县拾万镇协和自来水厂饮用水源地</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0.12</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0.06</w:t>
            </w: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拾万镇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10</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淮远河重庆地方电力总公司万古自来水厂饮用水源地</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0.09</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0.05</w:t>
            </w: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万古镇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11</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黄木沟水库</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0.21</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拾万镇、玉龙镇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12</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金竹水库</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0.19</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宝兴镇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13</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窟窿河宝兴镇杨柳村自来水厂饮用水源地</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0.09</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0.07</w:t>
            </w: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宝兴镇、三驱镇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14</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窟窿河大足县三驱自来水厂饮用水源地</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0.10</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0.07</w:t>
            </w: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三驱镇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15</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濑溪河大足县复隆镇自来水厂饮用水源地</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0.09</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0.05</w:t>
            </w: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龙水镇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16</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濑溪河大足县智凤镇自来水厂饮用水源地</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0.10</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0.04</w:t>
            </w: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智凤街道、龙水镇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17</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濑溪河大足县中敖镇自来水厂饮用水源地</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0.10</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0.05</w:t>
            </w: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中敖镇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18</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濑溪河前进村饮水集中供水工程水源地</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0.11</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0.04</w:t>
            </w: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龙岗街道</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19</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黎家坎水库</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0.24</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回龙镇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20</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龙石镇豹子塘河龙石水厂水源地</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0.11</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0.06</w:t>
            </w: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龙石镇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21</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龙水湖</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1.30</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2.02</w:t>
            </w: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玉龙镇、通桥街道</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22</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平滩河回龙镇长田自来水站饮用水源地</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0.09</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0.05</w:t>
            </w: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回龙镇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23</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上游水库</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2.64</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中敖镇、高坪镇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24</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胜光水库</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0.45</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高升镇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25</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胜天湖水库</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0.63</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spacing w:val="-12"/>
                <w:kern w:val="0"/>
                <w:sz w:val="24"/>
                <w:szCs w:val="32"/>
              </w:rPr>
            </w:pPr>
            <w:r>
              <w:rPr>
                <w:rFonts w:hint="eastAsia" w:ascii="Times New Roman" w:hAnsi="Times New Roman" w:eastAsia="方正仿宋_GBK" w:cs="宋体"/>
                <w:color w:val="000000"/>
                <w:spacing w:val="-12"/>
                <w:kern w:val="0"/>
                <w:sz w:val="24"/>
                <w:szCs w:val="32"/>
              </w:rPr>
              <w:t>万古镇、回龙镇</w:t>
            </w:r>
          </w:p>
        </w:tc>
      </w:tr>
      <w:tr>
        <w:tblPrEx>
          <w:tblCellMar>
            <w:top w:w="0" w:type="dxa"/>
            <w:left w:w="108" w:type="dxa"/>
            <w:bottom w:w="0" w:type="dxa"/>
            <w:right w:w="108" w:type="dxa"/>
          </w:tblCellMar>
        </w:tblPrEx>
        <w:trPr>
          <w:trHeight w:val="288" w:hRule="atLeast"/>
        </w:trPr>
        <w:tc>
          <w:tcPr>
            <w:tcW w:w="493"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26</w:t>
            </w:r>
          </w:p>
        </w:tc>
        <w:tc>
          <w:tcPr>
            <w:tcW w:w="3817"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坛子凼水库</w:t>
            </w:r>
          </w:p>
        </w:tc>
        <w:tc>
          <w:tcPr>
            <w:tcW w:w="1468"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0.04</w:t>
            </w:r>
          </w:p>
        </w:tc>
        <w:tc>
          <w:tcPr>
            <w:tcW w:w="1472"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珠溪镇</w:t>
            </w:r>
          </w:p>
        </w:tc>
      </w:tr>
      <w:tr>
        <w:tblPrEx>
          <w:tblCellMar>
            <w:top w:w="0" w:type="dxa"/>
            <w:left w:w="108" w:type="dxa"/>
            <w:bottom w:w="0" w:type="dxa"/>
            <w:right w:w="108" w:type="dxa"/>
          </w:tblCellMar>
        </w:tblPrEx>
        <w:trPr>
          <w:trHeight w:val="288" w:hRule="atLeast"/>
        </w:trPr>
        <w:tc>
          <w:tcPr>
            <w:tcW w:w="493"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27</w:t>
            </w:r>
          </w:p>
        </w:tc>
        <w:tc>
          <w:tcPr>
            <w:tcW w:w="3817"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瓦厂沟水库</w:t>
            </w:r>
          </w:p>
        </w:tc>
        <w:tc>
          <w:tcPr>
            <w:tcW w:w="1468"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0.09</w:t>
            </w:r>
          </w:p>
        </w:tc>
        <w:tc>
          <w:tcPr>
            <w:tcW w:w="1472"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高坪镇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28</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西北水库</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0.47</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铁山镇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29</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响水滩水库</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2.38</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季家镇、三驱镇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30</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小太平水库</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0.05</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中敖镇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31</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一碗水水库农村饮用水集中供水水源地</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0.06</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高升镇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32</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殷家沟水库官峰村饮水集中供水工程水源地</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0.04</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龙岗街道</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33</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雍溪河大足县雍溪自来水厂饮用水源地</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0.10</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0.06</w:t>
            </w: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雍溪镇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34</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玉滩水库</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2.12</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7.13</w:t>
            </w: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宝兴镇、龙水镇、珠溪镇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35</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跃进水库</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2.18</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石马镇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36</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钟家沟水库</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0.20</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铁山镇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37</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周家沟水库</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0.08</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高坪镇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38</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自力湾水库土门村集中共水工程水源地</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0.71</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珠溪镇、龙石镇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39</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鸡公岩水库</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0.24</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玉龙镇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40</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十里沟水库</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0.24</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邮亭镇、双路街道</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41</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古龙镇地下水曙光水电实业公司古龙水厂</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0.00</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0.03</w:t>
            </w: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古龙镇</w:t>
            </w:r>
          </w:p>
        </w:tc>
      </w:tr>
      <w:tr>
        <w:tblPrEx>
          <w:tblCellMar>
            <w:top w:w="0" w:type="dxa"/>
            <w:left w:w="108" w:type="dxa"/>
            <w:bottom w:w="0" w:type="dxa"/>
            <w:right w:w="108" w:type="dxa"/>
          </w:tblCellMar>
        </w:tblPrEx>
        <w:trPr>
          <w:trHeight w:val="288" w:hRule="atLeast"/>
        </w:trPr>
        <w:tc>
          <w:tcPr>
            <w:tcW w:w="493" w:type="dxa"/>
            <w:tcBorders>
              <w:top w:val="nil"/>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42</w:t>
            </w:r>
          </w:p>
        </w:tc>
        <w:tc>
          <w:tcPr>
            <w:tcW w:w="38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濑溪河渝大水务西门水厂</w:t>
            </w:r>
          </w:p>
        </w:tc>
        <w:tc>
          <w:tcPr>
            <w:tcW w:w="146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0.09</w:t>
            </w:r>
          </w:p>
        </w:tc>
        <w:tc>
          <w:tcPr>
            <w:tcW w:w="147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0.05</w:t>
            </w:r>
          </w:p>
        </w:tc>
        <w:tc>
          <w:tcPr>
            <w:tcW w:w="169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龙岗街道</w:t>
            </w:r>
          </w:p>
        </w:tc>
      </w:tr>
      <w:tr>
        <w:tblPrEx>
          <w:tblCellMar>
            <w:top w:w="0" w:type="dxa"/>
            <w:left w:w="108" w:type="dxa"/>
            <w:bottom w:w="0" w:type="dxa"/>
            <w:right w:w="108" w:type="dxa"/>
          </w:tblCellMar>
        </w:tblPrEx>
        <w:trPr>
          <w:trHeight w:val="288" w:hRule="atLeast"/>
        </w:trPr>
        <w:tc>
          <w:tcPr>
            <w:tcW w:w="493"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left"/>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43</w:t>
            </w:r>
          </w:p>
        </w:tc>
        <w:tc>
          <w:tcPr>
            <w:tcW w:w="3817"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泗马河大足弥陀自来水厂饮用水源地</w:t>
            </w:r>
          </w:p>
        </w:tc>
        <w:tc>
          <w:tcPr>
            <w:tcW w:w="1468"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0.08</w:t>
            </w:r>
          </w:p>
        </w:tc>
        <w:tc>
          <w:tcPr>
            <w:tcW w:w="1472"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0.04</w:t>
            </w:r>
          </w:p>
        </w:tc>
        <w:tc>
          <w:tcPr>
            <w:tcW w:w="1697"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智凤街道</w:t>
            </w:r>
          </w:p>
        </w:tc>
      </w:tr>
      <w:tr>
        <w:tblPrEx>
          <w:tblCellMar>
            <w:top w:w="0" w:type="dxa"/>
            <w:left w:w="108" w:type="dxa"/>
            <w:bottom w:w="0" w:type="dxa"/>
            <w:right w:w="108" w:type="dxa"/>
          </w:tblCellMar>
        </w:tblPrEx>
        <w:trPr>
          <w:trHeight w:val="288" w:hRule="atLeast"/>
        </w:trPr>
        <w:tc>
          <w:tcPr>
            <w:tcW w:w="4310" w:type="dxa"/>
            <w:gridSpan w:val="2"/>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FF0000"/>
                <w:kern w:val="0"/>
                <w:sz w:val="24"/>
                <w:szCs w:val="32"/>
              </w:rPr>
            </w:pPr>
            <w:r>
              <w:rPr>
                <w:rFonts w:hint="eastAsia" w:ascii="Times New Roman" w:hAnsi="Times New Roman" w:eastAsia="方正仿宋_GBK" w:cs="宋体"/>
                <w:color w:val="000000"/>
                <w:kern w:val="0"/>
                <w:sz w:val="24"/>
                <w:szCs w:val="32"/>
              </w:rPr>
              <w:t>总计</w:t>
            </w:r>
          </w:p>
        </w:tc>
        <w:tc>
          <w:tcPr>
            <w:tcW w:w="1468"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19.69</w:t>
            </w:r>
          </w:p>
        </w:tc>
        <w:tc>
          <w:tcPr>
            <w:tcW w:w="1472"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10.02</w:t>
            </w:r>
          </w:p>
        </w:tc>
        <w:tc>
          <w:tcPr>
            <w:tcW w:w="1697"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p>
        </w:tc>
      </w:tr>
    </w:tbl>
    <w:p>
      <w:pPr>
        <w:snapToGrid w:val="0"/>
        <w:rPr>
          <w:rFonts w:ascii="Times New Roman" w:hAnsi="Times New Roman" w:eastAsia="方正仿宋_GBK"/>
          <w:sz w:val="32"/>
          <w:szCs w:val="32"/>
        </w:rPr>
      </w:pPr>
    </w:p>
    <w:p>
      <w:pPr>
        <w:keepNext/>
        <w:jc w:val="center"/>
        <w:rPr>
          <w:rFonts w:ascii="Times New Roman" w:hAnsi="Times New Roman" w:eastAsia="方正仿宋_GBK"/>
          <w:sz w:val="32"/>
          <w:szCs w:val="32"/>
        </w:rPr>
      </w:pPr>
      <w:r>
        <w:rPr>
          <w:rFonts w:hint="eastAsia" w:ascii="Times New Roman" w:hAnsi="Times New Roman" w:eastAsia="方正仿宋_GBK"/>
          <w:sz w:val="32"/>
          <w:szCs w:val="32"/>
        </w:rPr>
        <w:drawing>
          <wp:inline distT="0" distB="0" distL="85090" distR="85090">
            <wp:extent cx="5544820" cy="31388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t="9950" b="9916"/>
                    <a:stretch>
                      <a:fillRect/>
                    </a:stretch>
                  </pic:blipFill>
                  <pic:spPr>
                    <a:xfrm>
                      <a:off x="0" y="0"/>
                      <a:ext cx="5544820" cy="3139295"/>
                    </a:xfrm>
                    <a:prstGeom prst="rect">
                      <a:avLst/>
                    </a:prstGeom>
                    <a:noFill/>
                    <a:ln w="9525" cap="flat" cmpd="sng">
                      <a:noFill/>
                      <a:prstDash val="solid"/>
                      <a:miter/>
                    </a:ln>
                  </pic:spPr>
                </pic:pic>
              </a:graphicData>
            </a:graphic>
          </wp:inline>
        </w:drawing>
      </w:r>
    </w:p>
    <w:p>
      <w:pPr>
        <w:pStyle w:val="11"/>
        <w:ind w:firstLine="0" w:firstLineChars="0"/>
        <w:jc w:val="center"/>
        <w:rPr>
          <w:rFonts w:ascii="Times New Roman" w:hAnsi="Times New Roman" w:eastAsia="方正仿宋_GBK"/>
          <w:sz w:val="32"/>
          <w:szCs w:val="32"/>
        </w:rPr>
      </w:pPr>
      <w:r>
        <w:rPr>
          <w:rFonts w:hint="eastAsia" w:ascii="Times New Roman" w:hAnsi="Times New Roman" w:eastAsia="方正仿宋_GBK"/>
          <w:sz w:val="32"/>
          <w:szCs w:val="32"/>
        </w:rPr>
        <w:t xml:space="preserve">图 </w:t>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STYLEREF 1 \s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5</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noBreakHyphen/>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SEQ 图 \* ARABIC \s 1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1</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t xml:space="preserve"> 饮用水水源保护区分布图</w:t>
      </w:r>
    </w:p>
    <w:p>
      <w:pPr>
        <w:pStyle w:val="4"/>
        <w:numPr>
          <w:ilvl w:val="0"/>
          <w:numId w:val="0"/>
        </w:numPr>
        <w:spacing w:line="240" w:lineRule="auto"/>
        <w:ind w:firstLine="640" w:firstLineChars="200"/>
        <w:rPr>
          <w:rFonts w:ascii="Times New Roman" w:hAnsi="Times New Roman" w:eastAsia="方正仿宋_GBK"/>
          <w:b w:val="0"/>
          <w:bCs w:val="0"/>
          <w:sz w:val="32"/>
        </w:rPr>
      </w:pPr>
      <w:r>
        <w:rPr>
          <w:rFonts w:ascii="Times New Roman" w:hAnsi="Times New Roman" w:eastAsia="方正仿宋_GBK"/>
          <w:b w:val="0"/>
          <w:bCs w:val="0"/>
          <w:sz w:val="32"/>
        </w:rPr>
        <w:t>2</w:t>
      </w:r>
      <w:r>
        <w:rPr>
          <w:rFonts w:hint="eastAsia" w:ascii="Times New Roman" w:hAnsi="Times New Roman" w:eastAsia="方正仿宋_GBK"/>
          <w:b w:val="0"/>
          <w:bCs w:val="0"/>
          <w:sz w:val="32"/>
        </w:rPr>
        <w:t>．风景名胜区</w:t>
      </w:r>
    </w:p>
    <w:p>
      <w:pPr>
        <w:spacing w:line="560" w:lineRule="exact"/>
        <w:ind w:firstLine="544"/>
        <w:rPr>
          <w:rFonts w:ascii="Times New Roman" w:hAnsi="Times New Roman" w:eastAsia="方正仿宋_GBK"/>
          <w:sz w:val="32"/>
          <w:szCs w:val="32"/>
        </w:rPr>
      </w:pPr>
      <w:r>
        <w:rPr>
          <w:rFonts w:hint="eastAsia" w:ascii="Times New Roman" w:hAnsi="Times New Roman" w:eastAsia="方正仿宋_GBK"/>
          <w:sz w:val="32"/>
          <w:szCs w:val="32"/>
        </w:rPr>
        <w:t>名胜区主要为大足石刻市级风景名胜区。根据《畜牧法》《畜禽规模养殖污染防治条例》《重庆市长江三峡水库库区及流域水污染防治条例》的规定，风景名胜区禁止建设养殖场。</w:t>
      </w:r>
    </w:p>
    <w:p>
      <w:pPr>
        <w:spacing w:line="560" w:lineRule="exact"/>
        <w:ind w:firstLine="544"/>
        <w:rPr>
          <w:rFonts w:ascii="Times New Roman" w:hAnsi="Times New Roman" w:eastAsia="方正仿宋_GBK" w:cs="方正仿宋_GBK"/>
          <w:sz w:val="32"/>
          <w:szCs w:val="32"/>
        </w:rPr>
      </w:pPr>
      <w:r>
        <w:rPr>
          <w:rFonts w:hint="eastAsia" w:ascii="Times New Roman" w:hAnsi="Times New Roman" w:eastAsia="方正仿宋_GBK"/>
          <w:sz w:val="32"/>
          <w:szCs w:val="32"/>
        </w:rPr>
        <w:t>根据《四川省人民政府关于审定第一批省级风景名胜区的通知》（川府发﹝1986﹞220号）《大足县人民政府关于补报〈大足风景名胜资源普查报告〉的报告》（大足府发﹝1986﹞108号）、《重庆市人民政府关于同意大足石刻和歌乐山等17个景区为市级风景名胜区的批复》（渝府﹝1999﹞74号）文件，大足石刻市级风景名胜区总面积84km</w:t>
      </w:r>
      <w:r>
        <w:rPr>
          <w:rFonts w:ascii="Times New Roman" w:hAnsi="Times New Roman" w:eastAsia="方正仿宋_GBK" w:cs="Cambria"/>
          <w:sz w:val="32"/>
          <w:szCs w:val="32"/>
        </w:rPr>
        <w:t>²</w:t>
      </w:r>
      <w:r>
        <w:rPr>
          <w:rFonts w:hint="eastAsia" w:ascii="Times New Roman" w:hAnsi="Times New Roman" w:eastAsia="方正仿宋_GBK" w:cs="方正仿宋_GBK"/>
          <w:sz w:val="32"/>
          <w:szCs w:val="32"/>
        </w:rPr>
        <w:t>。主要分为南山北山景区、宝顶山化龙湖景区、玉龙山龙水湖景区、石门山跃进水库景区和石篆山响水滩水库景区等5大片区，将以上区域全部划入禁养区。</w:t>
      </w:r>
    </w:p>
    <w:p>
      <w:pPr>
        <w:snapToGrid w:val="0"/>
        <w:jc w:val="center"/>
        <w:rPr>
          <w:rFonts w:ascii="Times New Roman" w:hAnsi="Times New Roman" w:eastAsia="方正仿宋_GBK"/>
          <w:sz w:val="32"/>
          <w:szCs w:val="32"/>
        </w:rPr>
      </w:pPr>
      <w:bookmarkStart w:id="10" w:name="RANGE!A1:C47"/>
      <w:bookmarkEnd w:id="10"/>
      <w:r>
        <w:rPr>
          <w:rFonts w:ascii="Times New Roman" w:hAnsi="Times New Roman"/>
        </w:rPr>
        <w:drawing>
          <wp:anchor distT="0" distB="0" distL="114300" distR="114300" simplePos="0" relativeHeight="251660288" behindDoc="0" locked="0" layoutInCell="1" allowOverlap="1">
            <wp:simplePos x="0" y="0"/>
            <wp:positionH relativeFrom="column">
              <wp:posOffset>617855</wp:posOffset>
            </wp:positionH>
            <wp:positionV relativeFrom="paragraph">
              <wp:posOffset>116205</wp:posOffset>
            </wp:positionV>
            <wp:extent cx="4393565" cy="4187190"/>
            <wp:effectExtent l="0" t="0" r="6985" b="381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93565" cy="4187190"/>
                    </a:xfrm>
                    <a:prstGeom prst="rect">
                      <a:avLst/>
                    </a:prstGeom>
                  </pic:spPr>
                </pic:pic>
              </a:graphicData>
            </a:graphic>
          </wp:anchor>
        </w:drawing>
      </w:r>
      <w:r>
        <w:rPr>
          <w:rFonts w:hint="eastAsia" w:ascii="Times New Roman" w:hAnsi="Times New Roman" w:eastAsia="方正仿宋_GBK"/>
          <w:sz w:val="32"/>
          <w:szCs w:val="32"/>
        </w:rPr>
        <w:t xml:space="preserve">图 </w:t>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STYLEREF 1 \s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5</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noBreakHyphen/>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SEQ 图 \* ARABIC \s 1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2</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t xml:space="preserve"> 大足石刻市级风景名胜区分布图</w:t>
      </w:r>
    </w:p>
    <w:p>
      <w:pPr>
        <w:pStyle w:val="4"/>
        <w:numPr>
          <w:ilvl w:val="0"/>
          <w:numId w:val="0"/>
        </w:numPr>
        <w:spacing w:line="240" w:lineRule="auto"/>
        <w:ind w:firstLine="640" w:firstLineChars="200"/>
        <w:rPr>
          <w:rFonts w:ascii="Times New Roman" w:hAnsi="Times New Roman" w:eastAsia="方正仿宋_GBK"/>
          <w:b w:val="0"/>
          <w:bCs w:val="0"/>
          <w:sz w:val="32"/>
        </w:rPr>
      </w:pPr>
      <w:r>
        <w:rPr>
          <w:rFonts w:ascii="Times New Roman" w:hAnsi="Times New Roman" w:eastAsia="方正仿宋_GBK"/>
          <w:b w:val="0"/>
          <w:bCs w:val="0"/>
          <w:sz w:val="32"/>
        </w:rPr>
        <w:t>3</w:t>
      </w:r>
      <w:r>
        <w:rPr>
          <w:rFonts w:hint="eastAsia" w:ascii="Times New Roman" w:hAnsi="Times New Roman" w:eastAsia="方正仿宋_GBK"/>
          <w:b w:val="0"/>
          <w:bCs w:val="0"/>
          <w:sz w:val="32"/>
        </w:rPr>
        <w:t>．自然保护区的核心区、缓冲区</w:t>
      </w:r>
    </w:p>
    <w:p>
      <w:pPr>
        <w:spacing w:line="560" w:lineRule="exact"/>
        <w:ind w:left="3" w:firstLine="544"/>
        <w:rPr>
          <w:rFonts w:ascii="Times New Roman" w:hAnsi="Times New Roman" w:eastAsia="方正仿宋_GBK"/>
          <w:sz w:val="32"/>
          <w:szCs w:val="32"/>
        </w:rPr>
      </w:pPr>
      <w:r>
        <w:rPr>
          <w:rFonts w:hint="eastAsia" w:ascii="Times New Roman" w:hAnsi="Times New Roman" w:eastAsia="方正仿宋_GBK"/>
          <w:sz w:val="32"/>
          <w:szCs w:val="32"/>
        </w:rPr>
        <w:t>根据《大足县人民政府关于建立西山桫椤自然保护区的决定》（足府发﹝1988﹞99号）,大足西山县级桫椤自然保护区一般保护区总面积为738.4公顷,绝对保护区总面积为250公顷。根据西山桫椤县级自然保护区空间矢量数据,包括西山桫椤县级自然保护区的核心区、缓冲区,具体见图5-3。西山桫椤县级自然保护区的核心区、缓冲区总面积为4.88km</w:t>
      </w:r>
      <w:r>
        <w:rPr>
          <w:rFonts w:ascii="Times New Roman" w:hAnsi="Times New Roman" w:eastAsia="方正仿宋_GBK" w:cs="Cambria"/>
          <w:sz w:val="32"/>
          <w:szCs w:val="32"/>
        </w:rPr>
        <w:t>²</w:t>
      </w:r>
      <w:r>
        <w:rPr>
          <w:rFonts w:hint="eastAsia" w:ascii="Times New Roman" w:hAnsi="Times New Roman" w:eastAsia="方正仿宋_GBK" w:cs="方正仿宋_GBK"/>
          <w:sz w:val="32"/>
          <w:szCs w:val="32"/>
        </w:rPr>
        <w:t>。</w:t>
      </w:r>
    </w:p>
    <w:p>
      <w:pPr>
        <w:keepNext/>
        <w:jc w:val="center"/>
        <w:rPr>
          <w:rFonts w:ascii="Times New Roman" w:hAnsi="Times New Roman" w:eastAsia="方正仿宋_GBK"/>
          <w:sz w:val="32"/>
          <w:szCs w:val="32"/>
        </w:rPr>
      </w:pPr>
      <w:r>
        <w:rPr>
          <w:rFonts w:hint="eastAsia" w:ascii="Times New Roman" w:hAnsi="Times New Roman" w:eastAsia="方正仿宋_GBK"/>
          <w:sz w:val="32"/>
          <w:szCs w:val="32"/>
        </w:rPr>
        <w:drawing>
          <wp:inline distT="0" distB="0" distL="85090" distR="85090">
            <wp:extent cx="5544820" cy="31426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rcRect t="9901" b="9901"/>
                    <a:stretch>
                      <a:fillRect/>
                    </a:stretch>
                  </pic:blipFill>
                  <pic:spPr>
                    <a:xfrm>
                      <a:off x="0" y="0"/>
                      <a:ext cx="5544820" cy="3143214"/>
                    </a:xfrm>
                    <a:prstGeom prst="rect">
                      <a:avLst/>
                    </a:prstGeom>
                    <a:noFill/>
                    <a:ln w="9525" cap="flat" cmpd="sng">
                      <a:noFill/>
                      <a:prstDash val="solid"/>
                      <a:miter/>
                    </a:ln>
                  </pic:spPr>
                </pic:pic>
              </a:graphicData>
            </a:graphic>
          </wp:inline>
        </w:drawing>
      </w:r>
    </w:p>
    <w:p>
      <w:pPr>
        <w:pStyle w:val="11"/>
        <w:ind w:firstLine="0" w:firstLineChars="0"/>
        <w:jc w:val="center"/>
        <w:rPr>
          <w:rFonts w:ascii="Times New Roman" w:hAnsi="Times New Roman" w:eastAsia="方正仿宋_GBK"/>
          <w:sz w:val="32"/>
          <w:szCs w:val="32"/>
        </w:rPr>
      </w:pPr>
      <w:r>
        <w:rPr>
          <w:rFonts w:hint="eastAsia" w:ascii="Times New Roman" w:hAnsi="Times New Roman" w:eastAsia="方正仿宋_GBK"/>
          <w:sz w:val="32"/>
          <w:szCs w:val="32"/>
        </w:rPr>
        <w:t xml:space="preserve">图 </w:t>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STYLEREF 1 \s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5</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noBreakHyphen/>
      </w:r>
      <w:r>
        <w:rPr>
          <w:rFonts w:hint="eastAsia" w:ascii="Times New Roman" w:hAnsi="Times New Roman" w:eastAsia="方正仿宋_GBK"/>
          <w:sz w:val="32"/>
          <w:szCs w:val="32"/>
        </w:rPr>
        <w:t>3 自然保护区分布图</w:t>
      </w:r>
    </w:p>
    <w:p>
      <w:pPr>
        <w:pStyle w:val="4"/>
        <w:numPr>
          <w:ilvl w:val="0"/>
          <w:numId w:val="0"/>
        </w:numPr>
        <w:spacing w:line="240" w:lineRule="auto"/>
        <w:ind w:firstLine="640" w:firstLineChars="200"/>
        <w:rPr>
          <w:rFonts w:ascii="Times New Roman" w:hAnsi="Times New Roman" w:eastAsia="方正仿宋_GBK"/>
          <w:b w:val="0"/>
          <w:bCs w:val="0"/>
          <w:sz w:val="32"/>
        </w:rPr>
      </w:pPr>
      <w:r>
        <w:rPr>
          <w:rFonts w:ascii="Times New Roman" w:hAnsi="Times New Roman" w:eastAsia="方正仿宋_GBK"/>
          <w:b w:val="0"/>
          <w:bCs w:val="0"/>
          <w:sz w:val="32"/>
        </w:rPr>
        <w:t>4</w:t>
      </w:r>
      <w:r>
        <w:rPr>
          <w:rFonts w:hint="eastAsia" w:ascii="Times New Roman" w:hAnsi="Times New Roman" w:eastAsia="方正仿宋_GBK"/>
          <w:b w:val="0"/>
          <w:bCs w:val="0"/>
          <w:sz w:val="32"/>
        </w:rPr>
        <w:t>．森林公园</w:t>
      </w:r>
    </w:p>
    <w:p>
      <w:pPr>
        <w:spacing w:line="560" w:lineRule="exact"/>
        <w:ind w:left="3" w:firstLine="544"/>
        <w:rPr>
          <w:rStyle w:val="21"/>
          <w:rFonts w:ascii="Times New Roman" w:hAnsi="Times New Roman" w:eastAsia="方正仿宋_GBK"/>
          <w:b w:val="0"/>
          <w:sz w:val="32"/>
          <w:szCs w:val="32"/>
          <w:shd w:val="clear" w:color="auto" w:fill="FFFFFF"/>
        </w:rPr>
      </w:pPr>
      <w:r>
        <w:rPr>
          <w:rFonts w:hint="eastAsia" w:ascii="Times New Roman" w:hAnsi="Times New Roman" w:eastAsia="方正仿宋_GBK"/>
          <w:sz w:val="32"/>
          <w:szCs w:val="32"/>
        </w:rPr>
        <w:t>森林公园的重要景点和核心景区。包括</w:t>
      </w:r>
      <w:r>
        <w:rPr>
          <w:rStyle w:val="21"/>
          <w:rFonts w:hint="eastAsia" w:ascii="Times New Roman" w:hAnsi="Times New Roman" w:eastAsia="方正仿宋_GBK"/>
          <w:b w:val="0"/>
          <w:sz w:val="32"/>
          <w:szCs w:val="32"/>
          <w:shd w:val="clear" w:color="auto" w:fill="FFFFFF"/>
        </w:rPr>
        <w:t>玉龙山国家森林公园、白云寨市级森林公园、宝林寺市级森林公园</w:t>
      </w:r>
      <w:r>
        <w:rPr>
          <w:rFonts w:hint="eastAsia" w:ascii="Times New Roman" w:hAnsi="Times New Roman" w:eastAsia="方正仿宋_GBK"/>
          <w:sz w:val="32"/>
          <w:szCs w:val="32"/>
        </w:rPr>
        <w:t>。根据《国家林业</w:t>
      </w:r>
      <w:r>
        <w:rPr>
          <w:rFonts w:hint="eastAsia" w:ascii="Times New Roman" w:hAnsi="Times New Roman" w:eastAsia="方正仿宋_GBK"/>
          <w:sz w:val="32"/>
          <w:szCs w:val="32"/>
          <w:lang w:eastAsia="zh-CN"/>
        </w:rPr>
        <w:t>和草原</w:t>
      </w:r>
      <w:r>
        <w:rPr>
          <w:rFonts w:hint="eastAsia" w:ascii="Times New Roman" w:hAnsi="Times New Roman" w:eastAsia="方正仿宋_GBK"/>
          <w:sz w:val="32"/>
          <w:szCs w:val="32"/>
        </w:rPr>
        <w:t>局关于同意建立鹫峰等64处国家森林公园的批复》（林场发﹝2003﹞241号），</w:t>
      </w:r>
      <w:r>
        <w:rPr>
          <w:rStyle w:val="21"/>
          <w:rFonts w:hint="eastAsia" w:ascii="Times New Roman" w:hAnsi="Times New Roman" w:eastAsia="方正仿宋_GBK"/>
          <w:b w:val="0"/>
          <w:sz w:val="32"/>
          <w:szCs w:val="32"/>
          <w:shd w:val="clear" w:color="auto" w:fill="FFFFFF"/>
        </w:rPr>
        <w:t>玉龙山国家森林公园总面积3517.39公顷。</w:t>
      </w:r>
      <w:r>
        <w:rPr>
          <w:rFonts w:hint="eastAsia" w:ascii="Times New Roman" w:hAnsi="Times New Roman" w:eastAsia="方正仿宋_GBK"/>
          <w:sz w:val="32"/>
          <w:szCs w:val="32"/>
        </w:rPr>
        <w:t>根据《重庆市林业局关于建立宝林寺森林公园的批复》（渝林行管﹝2007﹞41号）,</w:t>
      </w:r>
      <w:r>
        <w:rPr>
          <w:rStyle w:val="21"/>
          <w:rFonts w:hint="eastAsia" w:ascii="Times New Roman" w:hAnsi="Times New Roman" w:eastAsia="方正仿宋_GBK"/>
          <w:b w:val="0"/>
          <w:sz w:val="32"/>
          <w:szCs w:val="32"/>
          <w:shd w:val="clear" w:color="auto" w:fill="FFFFFF"/>
        </w:rPr>
        <w:t>宝林寺市级森林公园面积为4650亩。根据</w:t>
      </w:r>
      <w:r>
        <w:rPr>
          <w:rFonts w:hint="eastAsia" w:ascii="Times New Roman" w:hAnsi="Times New Roman" w:eastAsia="方正仿宋_GBK"/>
          <w:sz w:val="32"/>
          <w:szCs w:val="32"/>
        </w:rPr>
        <w:t>《重庆市林业局关于设立重庆市白云寨森林公园的批复》（渝林产﹝2010﹞20号）,</w:t>
      </w:r>
      <w:r>
        <w:rPr>
          <w:rStyle w:val="21"/>
          <w:rFonts w:hint="eastAsia" w:ascii="Times New Roman" w:hAnsi="Times New Roman" w:eastAsia="方正仿宋_GBK"/>
          <w:b w:val="0"/>
          <w:sz w:val="32"/>
          <w:szCs w:val="32"/>
          <w:shd w:val="clear" w:color="auto" w:fill="FFFFFF"/>
        </w:rPr>
        <w:t>白云寨市级森林公园总面积为462公顷。</w:t>
      </w:r>
    </w:p>
    <w:p>
      <w:pPr>
        <w:spacing w:line="560" w:lineRule="exact"/>
        <w:ind w:left="3" w:firstLine="544"/>
        <w:rPr>
          <w:rFonts w:ascii="Times New Roman" w:hAnsi="Times New Roman" w:eastAsia="方正仿宋_GBK"/>
          <w:sz w:val="32"/>
          <w:szCs w:val="32"/>
        </w:rPr>
      </w:pPr>
      <w:r>
        <w:rPr>
          <w:rStyle w:val="21"/>
          <w:rFonts w:hint="eastAsia" w:ascii="Times New Roman" w:hAnsi="Times New Roman" w:eastAsia="方正仿宋_GBK"/>
          <w:b w:val="0"/>
          <w:sz w:val="32"/>
          <w:szCs w:val="32"/>
          <w:shd w:val="clear" w:color="auto" w:fill="FFFFFF"/>
        </w:rPr>
        <w:t>目前玉龙山国家森林公园、白云寨市级森林公园、宝林寺市级森林公园纳入禁养区面积为5.19 km</w:t>
      </w:r>
      <w:r>
        <w:rPr>
          <w:rStyle w:val="21"/>
          <w:rFonts w:ascii="Times New Roman" w:hAnsi="Times New Roman" w:eastAsia="方正仿宋_GBK" w:cs="Cambria"/>
          <w:b w:val="0"/>
          <w:sz w:val="32"/>
          <w:szCs w:val="32"/>
          <w:shd w:val="clear" w:color="auto" w:fill="FFFFFF"/>
        </w:rPr>
        <w:t>²</w:t>
      </w:r>
      <w:r>
        <w:rPr>
          <w:rStyle w:val="21"/>
          <w:rFonts w:hint="eastAsia" w:ascii="Times New Roman" w:hAnsi="Times New Roman" w:eastAsia="方正仿宋_GBK" w:cs="方正仿宋_GBK"/>
          <w:b w:val="0"/>
          <w:sz w:val="32"/>
          <w:szCs w:val="32"/>
          <w:shd w:val="clear" w:color="auto" w:fill="FFFFFF"/>
        </w:rPr>
        <w:t>。</w:t>
      </w:r>
    </w:p>
    <w:p>
      <w:pPr>
        <w:keepNext/>
        <w:rPr>
          <w:rFonts w:ascii="Times New Roman" w:hAnsi="Times New Roman" w:eastAsia="方正仿宋_GBK"/>
          <w:sz w:val="32"/>
          <w:szCs w:val="32"/>
        </w:rPr>
      </w:pPr>
      <w:r>
        <w:rPr>
          <w:rFonts w:hint="eastAsia" w:ascii="Times New Roman" w:hAnsi="Times New Roman" w:eastAsia="方正仿宋_GBK"/>
          <w:sz w:val="32"/>
          <w:szCs w:val="32"/>
        </w:rPr>
        <w:drawing>
          <wp:inline distT="0" distB="0" distL="85090" distR="85090">
            <wp:extent cx="5544820" cy="30568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rcRect t="9852" b="9706"/>
                    <a:stretch>
                      <a:fillRect/>
                    </a:stretch>
                  </pic:blipFill>
                  <pic:spPr>
                    <a:xfrm>
                      <a:off x="0" y="0"/>
                      <a:ext cx="5544820" cy="3056991"/>
                    </a:xfrm>
                    <a:prstGeom prst="rect">
                      <a:avLst/>
                    </a:prstGeom>
                    <a:noFill/>
                    <a:ln w="9525" cap="flat" cmpd="sng">
                      <a:noFill/>
                      <a:prstDash val="solid"/>
                      <a:miter/>
                    </a:ln>
                  </pic:spPr>
                </pic:pic>
              </a:graphicData>
            </a:graphic>
          </wp:inline>
        </w:drawing>
      </w:r>
    </w:p>
    <w:p>
      <w:pPr>
        <w:pStyle w:val="11"/>
        <w:ind w:firstLine="0" w:firstLineChars="0"/>
        <w:jc w:val="center"/>
        <w:rPr>
          <w:rFonts w:ascii="Times New Roman" w:hAnsi="Times New Roman" w:eastAsia="方正仿宋_GBK"/>
          <w:sz w:val="32"/>
          <w:szCs w:val="32"/>
        </w:rPr>
      </w:pPr>
      <w:r>
        <w:rPr>
          <w:rFonts w:hint="eastAsia" w:ascii="Times New Roman" w:hAnsi="Times New Roman" w:eastAsia="方正仿宋_GBK"/>
          <w:sz w:val="32"/>
          <w:szCs w:val="32"/>
        </w:rPr>
        <w:t xml:space="preserve">图 </w:t>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STYLEREF 1 \s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5</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noBreakHyphen/>
      </w:r>
      <w:r>
        <w:rPr>
          <w:rFonts w:hint="eastAsia" w:ascii="Times New Roman" w:hAnsi="Times New Roman" w:eastAsia="方正仿宋_GBK"/>
          <w:sz w:val="32"/>
          <w:szCs w:val="32"/>
        </w:rPr>
        <w:t>4森林公园核心景区分布图</w:t>
      </w:r>
    </w:p>
    <w:p>
      <w:pPr>
        <w:pStyle w:val="4"/>
        <w:numPr>
          <w:ilvl w:val="0"/>
          <w:numId w:val="0"/>
        </w:numPr>
        <w:spacing w:line="240" w:lineRule="auto"/>
        <w:ind w:firstLine="640" w:firstLineChars="200"/>
        <w:rPr>
          <w:rFonts w:ascii="Times New Roman" w:hAnsi="Times New Roman" w:eastAsia="方正仿宋_GBK"/>
          <w:b w:val="0"/>
          <w:bCs w:val="0"/>
          <w:sz w:val="32"/>
        </w:rPr>
      </w:pPr>
      <w:r>
        <w:rPr>
          <w:rFonts w:ascii="Times New Roman" w:hAnsi="Times New Roman" w:eastAsia="方正仿宋_GBK"/>
          <w:b w:val="0"/>
          <w:bCs w:val="0"/>
          <w:sz w:val="32"/>
        </w:rPr>
        <w:t>5</w:t>
      </w:r>
      <w:r>
        <w:rPr>
          <w:rFonts w:hint="eastAsia" w:ascii="Times New Roman" w:hAnsi="Times New Roman" w:eastAsia="方正仿宋_GBK"/>
          <w:b w:val="0"/>
          <w:bCs w:val="0"/>
          <w:sz w:val="32"/>
        </w:rPr>
        <w:t>．城镇居民区和文化教育科学研究区</w:t>
      </w:r>
    </w:p>
    <w:p>
      <w:pPr>
        <w:spacing w:line="560" w:lineRule="exact"/>
        <w:ind w:left="3" w:firstLine="544"/>
        <w:rPr>
          <w:rFonts w:ascii="Times New Roman" w:hAnsi="Times New Roman" w:eastAsia="方正仿宋_GBK"/>
          <w:sz w:val="32"/>
          <w:szCs w:val="32"/>
        </w:rPr>
      </w:pPr>
      <w:r>
        <w:rPr>
          <w:rFonts w:hint="eastAsia" w:ascii="Times New Roman" w:hAnsi="Times New Roman" w:eastAsia="方正仿宋_GBK"/>
          <w:sz w:val="32"/>
          <w:szCs w:val="32"/>
        </w:rPr>
        <w:t>本项目根据实际情况,以大足区土地利用现状调查数据为基础,将城区及各镇（街道）建成区范围作为禁养区,总面积为50.15 km</w:t>
      </w:r>
      <w:r>
        <w:rPr>
          <w:rFonts w:ascii="Times New Roman" w:hAnsi="Times New Roman" w:eastAsia="方正仿宋_GBK" w:cs="Cambria"/>
          <w:sz w:val="32"/>
          <w:szCs w:val="32"/>
        </w:rPr>
        <w:t>²</w:t>
      </w:r>
      <w:r>
        <w:rPr>
          <w:rFonts w:hint="eastAsia" w:ascii="Times New Roman" w:hAnsi="Times New Roman" w:eastAsia="方正仿宋_GBK" w:cs="方正仿宋_GBK"/>
          <w:sz w:val="32"/>
          <w:szCs w:val="32"/>
        </w:rPr>
        <w:t>。镇（街道）建成区范围以外的小学、中学等独立文教科研区域,规模较大的均已被建成区覆盖,其他面积小且分散的村小未纳入划定范围。</w:t>
      </w:r>
      <w:r>
        <w:rPr>
          <w:rFonts w:hint="eastAsia" w:ascii="Times New Roman" w:hAnsi="Times New Roman" w:eastAsia="方正仿宋_GBK"/>
          <w:sz w:val="32"/>
          <w:szCs w:val="32"/>
        </w:rPr>
        <w:t xml:space="preserve"> </w:t>
      </w:r>
    </w:p>
    <w:p>
      <w:pPr>
        <w:pStyle w:val="11"/>
        <w:keepNext/>
        <w:snapToGrid w:val="0"/>
        <w:ind w:firstLine="0" w:firstLineChars="0"/>
        <w:jc w:val="center"/>
        <w:rPr>
          <w:rFonts w:ascii="Times New Roman" w:hAnsi="Times New Roman" w:eastAsia="方正仿宋_GBK"/>
          <w:sz w:val="32"/>
          <w:szCs w:val="32"/>
        </w:rPr>
      </w:pPr>
      <w:r>
        <w:rPr>
          <w:rFonts w:hint="eastAsia" w:ascii="Times New Roman" w:hAnsi="Times New Roman" w:eastAsia="方正仿宋_GBK"/>
          <w:sz w:val="32"/>
          <w:szCs w:val="32"/>
        </w:rPr>
        <w:t xml:space="preserve">表 </w:t>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STYLEREF 1 \s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5</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noBreakHyphen/>
      </w:r>
      <w:r>
        <w:rPr>
          <w:rFonts w:ascii="Times New Roman" w:hAnsi="Times New Roman" w:eastAsia="方正仿宋_GBK"/>
          <w:sz w:val="32"/>
          <w:szCs w:val="32"/>
        </w:rPr>
        <w:t>2</w:t>
      </w:r>
      <w:r>
        <w:rPr>
          <w:rFonts w:hint="eastAsia" w:ascii="Times New Roman" w:hAnsi="Times New Roman" w:eastAsia="方正仿宋_GBK"/>
          <w:sz w:val="32"/>
          <w:szCs w:val="32"/>
        </w:rPr>
        <w:t xml:space="preserve"> 城镇居民区和文化教育科学研究区</w:t>
      </w:r>
    </w:p>
    <w:tbl>
      <w:tblPr>
        <w:tblStyle w:val="19"/>
        <w:tblW w:w="8947" w:type="dxa"/>
        <w:tblInd w:w="0" w:type="dxa"/>
        <w:tblLayout w:type="fixed"/>
        <w:tblCellMar>
          <w:top w:w="0" w:type="dxa"/>
          <w:left w:w="108" w:type="dxa"/>
          <w:bottom w:w="0" w:type="dxa"/>
          <w:right w:w="108" w:type="dxa"/>
        </w:tblCellMar>
      </w:tblPr>
      <w:tblGrid>
        <w:gridCol w:w="2093"/>
        <w:gridCol w:w="3873"/>
        <w:gridCol w:w="2981"/>
      </w:tblGrid>
      <w:tr>
        <w:tblPrEx>
          <w:tblCellMar>
            <w:top w:w="0" w:type="dxa"/>
            <w:left w:w="108" w:type="dxa"/>
            <w:bottom w:w="0" w:type="dxa"/>
            <w:right w:w="108" w:type="dxa"/>
          </w:tblCellMar>
        </w:tblPrEx>
        <w:trPr>
          <w:trHeight w:val="300" w:hRule="atLeast"/>
        </w:trPr>
        <w:tc>
          <w:tcPr>
            <w:tcW w:w="2093" w:type="dxa"/>
            <w:tcBorders>
              <w:top w:val="single" w:color="auto" w:sz="8" w:space="0"/>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序号</w:t>
            </w:r>
          </w:p>
        </w:tc>
        <w:tc>
          <w:tcPr>
            <w:tcW w:w="3873" w:type="dxa"/>
            <w:tcBorders>
              <w:top w:val="single" w:color="auto" w:sz="8" w:space="0"/>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镇（街道）</w:t>
            </w:r>
          </w:p>
        </w:tc>
        <w:tc>
          <w:tcPr>
            <w:tcW w:w="2981" w:type="dxa"/>
            <w:tcBorders>
              <w:top w:val="single" w:color="auto" w:sz="8" w:space="0"/>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面积（km</w:t>
            </w:r>
            <w:r>
              <w:rPr>
                <w:rFonts w:hint="eastAsia" w:ascii="Times New Roman" w:hAnsi="Times New Roman" w:cs="宋体"/>
                <w:color w:val="000000"/>
                <w:kern w:val="0"/>
                <w:sz w:val="24"/>
                <w:szCs w:val="32"/>
              </w:rPr>
              <w:t>²</w:t>
            </w:r>
            <w:r>
              <w:rPr>
                <w:rFonts w:hint="eastAsia" w:ascii="Times New Roman" w:hAnsi="Times New Roman" w:eastAsia="方正仿宋_GBK" w:cs="方正仿宋_GBK"/>
                <w:color w:val="000000"/>
                <w:kern w:val="0"/>
                <w:sz w:val="24"/>
                <w:szCs w:val="32"/>
              </w:rPr>
              <w:t>）</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棠香街道</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8.71</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龙岗街道</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3.42</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龙滩子街道</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3.11</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4</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双路街道</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7.07</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5</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通桥街道</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5.16</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6</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智凤街道</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1.23</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7</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龙水镇</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9.25</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8</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邮亭镇</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5.78</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9</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宝顶镇</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0.68</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10</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万古镇</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0.95</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11</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珠溪镇</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0.28</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12</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中敖镇</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0.39</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13</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三驱镇</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0.4</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14</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石马镇</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0.22</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15</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雍溪镇</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0.37</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16</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玉龙镇</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1.43</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17</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宝兴镇</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0.31</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18</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拾万镇</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0.11</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4"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19</w:t>
            </w:r>
          </w:p>
        </w:tc>
        <w:tc>
          <w:tcPr>
            <w:tcW w:w="3873" w:type="dxa"/>
            <w:tcBorders>
              <w:top w:val="nil"/>
              <w:left w:val="nil"/>
              <w:bottom w:val="single" w:color="auto" w:sz="4"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铁山镇</w:t>
            </w:r>
          </w:p>
        </w:tc>
        <w:tc>
          <w:tcPr>
            <w:tcW w:w="2981" w:type="dxa"/>
            <w:tcBorders>
              <w:top w:val="nil"/>
              <w:left w:val="nil"/>
              <w:bottom w:val="single" w:color="auto" w:sz="4"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0.32</w:t>
            </w:r>
          </w:p>
        </w:tc>
      </w:tr>
      <w:tr>
        <w:tblPrEx>
          <w:tblCellMar>
            <w:top w:w="0" w:type="dxa"/>
            <w:left w:w="108" w:type="dxa"/>
            <w:bottom w:w="0" w:type="dxa"/>
            <w:right w:w="108" w:type="dxa"/>
          </w:tblCellMar>
        </w:tblPrEx>
        <w:trPr>
          <w:trHeight w:val="300" w:hRule="atLeast"/>
        </w:trPr>
        <w:tc>
          <w:tcPr>
            <w:tcW w:w="2093"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20</w:t>
            </w:r>
          </w:p>
        </w:tc>
        <w:tc>
          <w:tcPr>
            <w:tcW w:w="3873"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回龙镇</w:t>
            </w:r>
          </w:p>
        </w:tc>
        <w:tc>
          <w:tcPr>
            <w:tcW w:w="2981"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0.13</w:t>
            </w:r>
          </w:p>
        </w:tc>
      </w:tr>
      <w:tr>
        <w:tblPrEx>
          <w:tblCellMar>
            <w:top w:w="0" w:type="dxa"/>
            <w:left w:w="108" w:type="dxa"/>
            <w:bottom w:w="0" w:type="dxa"/>
            <w:right w:w="108" w:type="dxa"/>
          </w:tblCellMar>
        </w:tblPrEx>
        <w:trPr>
          <w:trHeight w:val="300" w:hRule="atLeast"/>
        </w:trPr>
        <w:tc>
          <w:tcPr>
            <w:tcW w:w="2093"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21</w:t>
            </w:r>
          </w:p>
        </w:tc>
        <w:tc>
          <w:tcPr>
            <w:tcW w:w="3873"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国梁镇</w:t>
            </w:r>
          </w:p>
        </w:tc>
        <w:tc>
          <w:tcPr>
            <w:tcW w:w="2981"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0.12</w:t>
            </w:r>
          </w:p>
        </w:tc>
      </w:tr>
      <w:tr>
        <w:tblPrEx>
          <w:tblCellMar>
            <w:top w:w="0" w:type="dxa"/>
            <w:left w:w="108" w:type="dxa"/>
            <w:bottom w:w="0" w:type="dxa"/>
            <w:right w:w="108" w:type="dxa"/>
          </w:tblCellMar>
        </w:tblPrEx>
        <w:trPr>
          <w:trHeight w:val="300" w:hRule="atLeast"/>
        </w:trPr>
        <w:tc>
          <w:tcPr>
            <w:tcW w:w="2093"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22</w:t>
            </w:r>
          </w:p>
        </w:tc>
        <w:tc>
          <w:tcPr>
            <w:tcW w:w="3873"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金山镇</w:t>
            </w:r>
          </w:p>
        </w:tc>
        <w:tc>
          <w:tcPr>
            <w:tcW w:w="2981"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0.18</w:t>
            </w:r>
          </w:p>
        </w:tc>
      </w:tr>
      <w:tr>
        <w:tblPrEx>
          <w:tblCellMar>
            <w:top w:w="0" w:type="dxa"/>
            <w:left w:w="108" w:type="dxa"/>
            <w:bottom w:w="0" w:type="dxa"/>
            <w:right w:w="108" w:type="dxa"/>
          </w:tblCellMar>
        </w:tblPrEx>
        <w:trPr>
          <w:trHeight w:val="300" w:hRule="atLeast"/>
        </w:trPr>
        <w:tc>
          <w:tcPr>
            <w:tcW w:w="2093" w:type="dxa"/>
            <w:tcBorders>
              <w:top w:val="single" w:color="auto" w:sz="4" w:space="0"/>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23</w:t>
            </w:r>
          </w:p>
        </w:tc>
        <w:tc>
          <w:tcPr>
            <w:tcW w:w="3873" w:type="dxa"/>
            <w:tcBorders>
              <w:top w:val="single" w:color="auto" w:sz="4" w:space="0"/>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高升镇</w:t>
            </w:r>
          </w:p>
        </w:tc>
        <w:tc>
          <w:tcPr>
            <w:tcW w:w="2981" w:type="dxa"/>
            <w:tcBorders>
              <w:top w:val="single" w:color="auto" w:sz="4" w:space="0"/>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0.12</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24</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季家镇</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0.07</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25</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龙石镇</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0.14</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26</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高坪镇</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0.11</w:t>
            </w:r>
          </w:p>
        </w:tc>
      </w:tr>
      <w:tr>
        <w:tblPrEx>
          <w:tblCellMar>
            <w:top w:w="0" w:type="dxa"/>
            <w:left w:w="108" w:type="dxa"/>
            <w:bottom w:w="0" w:type="dxa"/>
            <w:right w:w="108" w:type="dxa"/>
          </w:tblCellMar>
        </w:tblPrEx>
        <w:trPr>
          <w:trHeight w:val="300" w:hRule="atLeast"/>
        </w:trPr>
        <w:tc>
          <w:tcPr>
            <w:tcW w:w="2093" w:type="dxa"/>
            <w:tcBorders>
              <w:top w:val="nil"/>
              <w:left w:val="single" w:color="auto" w:sz="8" w:space="0"/>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27</w:t>
            </w:r>
          </w:p>
        </w:tc>
        <w:tc>
          <w:tcPr>
            <w:tcW w:w="3873"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古龙镇</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0.09</w:t>
            </w:r>
          </w:p>
        </w:tc>
      </w:tr>
      <w:tr>
        <w:tblPrEx>
          <w:tblCellMar>
            <w:top w:w="0" w:type="dxa"/>
            <w:left w:w="108" w:type="dxa"/>
            <w:bottom w:w="0" w:type="dxa"/>
            <w:right w:w="108" w:type="dxa"/>
          </w:tblCellMar>
        </w:tblPrEx>
        <w:trPr>
          <w:trHeight w:val="300" w:hRule="atLeast"/>
        </w:trPr>
        <w:tc>
          <w:tcPr>
            <w:tcW w:w="5966" w:type="dxa"/>
            <w:gridSpan w:val="2"/>
            <w:tcBorders>
              <w:top w:val="single" w:color="auto" w:sz="8" w:space="0"/>
              <w:left w:val="single" w:color="auto" w:sz="8" w:space="0"/>
              <w:bottom w:val="single" w:color="auto" w:sz="8" w:space="0"/>
              <w:right w:val="single" w:color="000000"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总计</w:t>
            </w:r>
          </w:p>
        </w:tc>
        <w:tc>
          <w:tcPr>
            <w:tcW w:w="2981" w:type="dxa"/>
            <w:tcBorders>
              <w:top w:val="nil"/>
              <w:left w:val="nil"/>
              <w:bottom w:val="single" w:color="auto" w:sz="8" w:space="0"/>
              <w:right w:val="single" w:color="auto" w:sz="8"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50.15</w:t>
            </w:r>
          </w:p>
        </w:tc>
      </w:tr>
    </w:tbl>
    <w:p>
      <w:pPr>
        <w:rPr>
          <w:rFonts w:ascii="Times New Roman" w:hAnsi="Times New Roman"/>
        </w:rPr>
      </w:pPr>
    </w:p>
    <w:p>
      <w:pPr>
        <w:snapToGrid w:val="0"/>
        <w:rPr>
          <w:rFonts w:ascii="Times New Roman" w:hAnsi="Times New Roman" w:eastAsia="方正仿宋_GBK"/>
          <w:sz w:val="32"/>
          <w:szCs w:val="32"/>
        </w:rPr>
      </w:pPr>
    </w:p>
    <w:p>
      <w:pPr>
        <w:keepNext/>
        <w:rPr>
          <w:rFonts w:ascii="Times New Roman" w:hAnsi="Times New Roman" w:eastAsia="方正仿宋_GBK"/>
          <w:sz w:val="32"/>
          <w:szCs w:val="32"/>
        </w:rPr>
      </w:pPr>
      <w:r>
        <w:rPr>
          <w:rFonts w:hint="eastAsia" w:ascii="Times New Roman" w:hAnsi="Times New Roman" w:eastAsia="方正仿宋_GBK"/>
          <w:sz w:val="32"/>
          <w:szCs w:val="32"/>
        </w:rPr>
        <w:drawing>
          <wp:inline distT="0" distB="0" distL="85090" distR="85090">
            <wp:extent cx="5544820" cy="31426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rcRect t="9916" b="9835"/>
                    <a:stretch>
                      <a:fillRect/>
                    </a:stretch>
                  </pic:blipFill>
                  <pic:spPr>
                    <a:xfrm>
                      <a:off x="0" y="0"/>
                      <a:ext cx="5544820" cy="3143214"/>
                    </a:xfrm>
                    <a:prstGeom prst="rect">
                      <a:avLst/>
                    </a:prstGeom>
                    <a:noFill/>
                    <a:ln w="9525" cap="flat" cmpd="sng">
                      <a:noFill/>
                      <a:prstDash val="solid"/>
                      <a:miter/>
                    </a:ln>
                  </pic:spPr>
                </pic:pic>
              </a:graphicData>
            </a:graphic>
          </wp:inline>
        </w:drawing>
      </w:r>
    </w:p>
    <w:p>
      <w:pPr>
        <w:pStyle w:val="11"/>
        <w:ind w:firstLine="0" w:firstLineChars="0"/>
        <w:jc w:val="center"/>
        <w:rPr>
          <w:rFonts w:ascii="Times New Roman" w:hAnsi="Times New Roman" w:eastAsia="方正仿宋_GBK"/>
          <w:sz w:val="32"/>
          <w:szCs w:val="32"/>
        </w:rPr>
      </w:pPr>
      <w:r>
        <w:rPr>
          <w:rFonts w:hint="eastAsia" w:ascii="Times New Roman" w:hAnsi="Times New Roman" w:eastAsia="方正仿宋_GBK"/>
          <w:sz w:val="32"/>
          <w:szCs w:val="32"/>
        </w:rPr>
        <w:t xml:space="preserve">图 </w:t>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STYLEREF 1 \s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5</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noBreakHyphen/>
      </w:r>
      <w:r>
        <w:rPr>
          <w:rFonts w:hint="eastAsia" w:ascii="Times New Roman" w:hAnsi="Times New Roman" w:eastAsia="方正仿宋_GBK"/>
          <w:sz w:val="32"/>
          <w:szCs w:val="32"/>
        </w:rPr>
        <w:t>5 城镇居民区和文化教育科学研究区</w:t>
      </w:r>
    </w:p>
    <w:p>
      <w:pPr>
        <w:pStyle w:val="4"/>
        <w:numPr>
          <w:ilvl w:val="0"/>
          <w:numId w:val="0"/>
        </w:numPr>
        <w:spacing w:line="240" w:lineRule="auto"/>
        <w:ind w:firstLine="640" w:firstLineChars="200"/>
        <w:rPr>
          <w:rFonts w:ascii="Times New Roman" w:hAnsi="Times New Roman" w:eastAsia="方正仿宋_GBK"/>
          <w:b w:val="0"/>
          <w:bCs w:val="0"/>
          <w:sz w:val="32"/>
        </w:rPr>
      </w:pPr>
      <w:r>
        <w:rPr>
          <w:rFonts w:ascii="Times New Roman" w:hAnsi="Times New Roman" w:eastAsia="方正仿宋_GBK"/>
          <w:b w:val="0"/>
          <w:bCs w:val="0"/>
          <w:sz w:val="32"/>
        </w:rPr>
        <w:t>6</w:t>
      </w:r>
      <w:r>
        <w:rPr>
          <w:rFonts w:hint="eastAsia" w:ascii="Times New Roman" w:hAnsi="Times New Roman" w:eastAsia="方正仿宋_GBK"/>
          <w:b w:val="0"/>
          <w:bCs w:val="0"/>
          <w:sz w:val="32"/>
        </w:rPr>
        <w:t>．执行</w:t>
      </w:r>
      <w:r>
        <w:rPr>
          <w:rFonts w:hint="eastAsia" w:ascii="Times New Roman" w:hAnsi="Times New Roman" w:eastAsia="方正仿宋_GBK" w:cs="宋体"/>
          <w:b w:val="0"/>
          <w:bCs w:val="0"/>
          <w:sz w:val="32"/>
        </w:rPr>
        <w:t>Ⅰ</w:t>
      </w:r>
      <w:r>
        <w:rPr>
          <w:rFonts w:hint="eastAsia" w:ascii="Times New Roman" w:hAnsi="Times New Roman" w:eastAsia="方正仿宋_GBK"/>
          <w:b w:val="0"/>
          <w:bCs w:val="0"/>
          <w:sz w:val="32"/>
        </w:rPr>
        <w:t>类、</w:t>
      </w:r>
      <w:r>
        <w:rPr>
          <w:rFonts w:hint="eastAsia" w:ascii="Times New Roman" w:hAnsi="Times New Roman" w:eastAsia="方正仿宋_GBK" w:cs="宋体"/>
          <w:b w:val="0"/>
          <w:bCs w:val="0"/>
          <w:sz w:val="32"/>
        </w:rPr>
        <w:t>Ⅱ</w:t>
      </w:r>
      <w:r>
        <w:rPr>
          <w:rFonts w:hint="eastAsia" w:ascii="Times New Roman" w:hAnsi="Times New Roman" w:eastAsia="方正仿宋_GBK"/>
          <w:b w:val="0"/>
          <w:bCs w:val="0"/>
          <w:sz w:val="32"/>
        </w:rPr>
        <w:t>类水质标准的水域及其200米内的陆域</w:t>
      </w:r>
    </w:p>
    <w:p>
      <w:pPr>
        <w:spacing w:line="560" w:lineRule="exact"/>
        <w:ind w:left="3" w:firstLine="544"/>
        <w:rPr>
          <w:rFonts w:ascii="Times New Roman" w:hAnsi="Times New Roman" w:eastAsia="方正仿宋_GBK"/>
          <w:sz w:val="32"/>
          <w:szCs w:val="32"/>
        </w:rPr>
      </w:pPr>
      <w:r>
        <w:rPr>
          <w:rFonts w:hint="eastAsia" w:ascii="Times New Roman" w:hAnsi="Times New Roman" w:eastAsia="方正仿宋_GBK"/>
          <w:sz w:val="32"/>
          <w:szCs w:val="32"/>
        </w:rPr>
        <w:t>执行</w:t>
      </w:r>
      <w:r>
        <w:rPr>
          <w:rFonts w:hint="eastAsia" w:ascii="Times New Roman" w:hAnsi="Times New Roman" w:eastAsia="方正仿宋_GBK" w:cs="宋体"/>
          <w:sz w:val="32"/>
          <w:szCs w:val="32"/>
        </w:rPr>
        <w:t>Ⅰ</w:t>
      </w:r>
      <w:r>
        <w:rPr>
          <w:rFonts w:hint="eastAsia" w:ascii="Times New Roman" w:hAnsi="Times New Roman" w:eastAsia="方正仿宋_GBK"/>
          <w:sz w:val="32"/>
          <w:szCs w:val="32"/>
        </w:rPr>
        <w:t>类、</w:t>
      </w:r>
      <w:r>
        <w:rPr>
          <w:rFonts w:hint="eastAsia" w:ascii="Times New Roman" w:hAnsi="Times New Roman" w:eastAsia="方正仿宋_GBK" w:cs="宋体"/>
          <w:sz w:val="32"/>
          <w:szCs w:val="32"/>
        </w:rPr>
        <w:t>Ⅱ</w:t>
      </w:r>
      <w:r>
        <w:rPr>
          <w:rFonts w:hint="eastAsia" w:ascii="Times New Roman" w:hAnsi="Times New Roman" w:eastAsia="方正仿宋_GBK"/>
          <w:sz w:val="32"/>
          <w:szCs w:val="32"/>
        </w:rPr>
        <w:t>类水质标准的水域及其200米内的陆域。根据《重庆市人民政府批转重庆市地表水环境功能类别调整方案的通知》（渝府发〔2012〕4号）中长江重庆段流域面积100 km</w:t>
      </w:r>
      <w:r>
        <w:rPr>
          <w:rFonts w:hint="eastAsia" w:ascii="Times New Roman" w:hAnsi="Times New Roman" w:eastAsia="方正仿宋_GBK"/>
          <w:sz w:val="32"/>
          <w:szCs w:val="32"/>
          <w:vertAlign w:val="superscript"/>
        </w:rPr>
        <w:t>2</w:t>
      </w:r>
      <w:r>
        <w:rPr>
          <w:rFonts w:hint="eastAsia" w:ascii="Times New Roman" w:hAnsi="Times New Roman" w:eastAsia="方正仿宋_GBK"/>
          <w:sz w:val="32"/>
          <w:szCs w:val="32"/>
        </w:rPr>
        <w:t>以上一级支流水环境功能类别调整结果,大足区</w:t>
      </w:r>
      <w:r>
        <w:rPr>
          <w:rFonts w:hint="eastAsia" w:ascii="Times New Roman" w:hAnsi="Times New Roman" w:eastAsia="方正仿宋_GBK" w:cs="宋体"/>
          <w:sz w:val="32"/>
          <w:szCs w:val="32"/>
        </w:rPr>
        <w:t>Ⅰ</w:t>
      </w:r>
      <w:r>
        <w:rPr>
          <w:rFonts w:hint="eastAsia" w:ascii="Times New Roman" w:hAnsi="Times New Roman" w:eastAsia="方正仿宋_GBK"/>
          <w:sz w:val="32"/>
          <w:szCs w:val="32"/>
        </w:rPr>
        <w:t>类、</w:t>
      </w:r>
      <w:r>
        <w:rPr>
          <w:rFonts w:hint="eastAsia" w:ascii="Times New Roman" w:hAnsi="Times New Roman" w:eastAsia="方正仿宋_GBK" w:cs="宋体"/>
          <w:sz w:val="32"/>
          <w:szCs w:val="32"/>
        </w:rPr>
        <w:t>Ⅱ</w:t>
      </w:r>
      <w:r>
        <w:rPr>
          <w:rFonts w:hint="eastAsia" w:ascii="Times New Roman" w:hAnsi="Times New Roman" w:eastAsia="方正仿宋_GBK"/>
          <w:sz w:val="32"/>
          <w:szCs w:val="32"/>
        </w:rPr>
        <w:t>类水质标准的水域主要涉及胜天湖水库、响水滩水库,总面积为17.72 km</w:t>
      </w:r>
      <w:r>
        <w:rPr>
          <w:rFonts w:ascii="Times New Roman" w:hAnsi="Times New Roman" w:eastAsia="方正仿宋_GBK" w:cs="Cambria"/>
          <w:sz w:val="32"/>
          <w:szCs w:val="32"/>
        </w:rPr>
        <w:t>²</w:t>
      </w:r>
      <w:r>
        <w:rPr>
          <w:rFonts w:hint="eastAsia" w:ascii="Times New Roman" w:hAnsi="Times New Roman" w:eastAsia="方正仿宋_GBK" w:cs="方正仿宋_GBK"/>
          <w:sz w:val="32"/>
          <w:szCs w:val="32"/>
        </w:rPr>
        <w:t>。</w:t>
      </w:r>
    </w:p>
    <w:p>
      <w:pPr>
        <w:keepNext/>
        <w:rPr>
          <w:rFonts w:ascii="Times New Roman" w:hAnsi="Times New Roman" w:eastAsia="方正仿宋_GBK"/>
          <w:sz w:val="32"/>
          <w:szCs w:val="32"/>
        </w:rPr>
      </w:pPr>
      <w:r>
        <w:rPr>
          <w:rFonts w:hint="eastAsia" w:ascii="Times New Roman" w:hAnsi="Times New Roman" w:eastAsia="方正仿宋_GBK"/>
          <w:sz w:val="32"/>
          <w:szCs w:val="32"/>
        </w:rPr>
        <w:drawing>
          <wp:inline distT="0" distB="0" distL="85090" distR="85090">
            <wp:extent cx="5544820" cy="31508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rcRect t="9722" b="9901"/>
                    <a:stretch>
                      <a:fillRect/>
                    </a:stretch>
                  </pic:blipFill>
                  <pic:spPr>
                    <a:xfrm>
                      <a:off x="0" y="0"/>
                      <a:ext cx="5544820" cy="3151053"/>
                    </a:xfrm>
                    <a:prstGeom prst="rect">
                      <a:avLst/>
                    </a:prstGeom>
                    <a:noFill/>
                    <a:ln w="9525" cap="flat" cmpd="sng">
                      <a:noFill/>
                      <a:prstDash val="solid"/>
                      <a:miter/>
                    </a:ln>
                  </pic:spPr>
                </pic:pic>
              </a:graphicData>
            </a:graphic>
          </wp:inline>
        </w:drawing>
      </w:r>
    </w:p>
    <w:p>
      <w:pPr>
        <w:pStyle w:val="11"/>
        <w:ind w:firstLine="0" w:firstLineChars="0"/>
        <w:jc w:val="center"/>
        <w:rPr>
          <w:rFonts w:ascii="Times New Roman" w:hAnsi="Times New Roman" w:eastAsia="方正仿宋_GBK"/>
          <w:sz w:val="32"/>
          <w:szCs w:val="32"/>
        </w:rPr>
      </w:pPr>
      <w:r>
        <w:rPr>
          <w:rFonts w:hint="eastAsia" w:ascii="Times New Roman" w:hAnsi="Times New Roman" w:eastAsia="方正仿宋_GBK"/>
          <w:sz w:val="32"/>
          <w:szCs w:val="32"/>
        </w:rPr>
        <w:t xml:space="preserve">图 </w:t>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STYLEREF 1 \s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5</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noBreakHyphen/>
      </w:r>
      <w:r>
        <w:rPr>
          <w:rFonts w:hint="eastAsia" w:ascii="Times New Roman" w:hAnsi="Times New Roman" w:eastAsia="方正仿宋_GBK"/>
          <w:sz w:val="32"/>
          <w:szCs w:val="32"/>
        </w:rPr>
        <w:t>6执行</w:t>
      </w:r>
      <w:r>
        <w:rPr>
          <w:rFonts w:hint="eastAsia" w:ascii="Times New Roman" w:hAnsi="Times New Roman" w:eastAsia="方正仿宋_GBK" w:cs="宋体"/>
          <w:sz w:val="32"/>
          <w:szCs w:val="32"/>
        </w:rPr>
        <w:t>Ⅰ</w:t>
      </w:r>
      <w:r>
        <w:rPr>
          <w:rFonts w:hint="eastAsia" w:ascii="Times New Roman" w:hAnsi="Times New Roman" w:eastAsia="方正仿宋_GBK"/>
          <w:sz w:val="32"/>
          <w:szCs w:val="32"/>
        </w:rPr>
        <w:t>类、</w:t>
      </w:r>
      <w:r>
        <w:rPr>
          <w:rFonts w:hint="eastAsia" w:ascii="Times New Roman" w:hAnsi="Times New Roman" w:eastAsia="方正仿宋_GBK" w:cs="宋体"/>
          <w:sz w:val="32"/>
          <w:szCs w:val="32"/>
        </w:rPr>
        <w:t>Ⅱ</w:t>
      </w:r>
      <w:r>
        <w:rPr>
          <w:rFonts w:hint="eastAsia" w:ascii="Times New Roman" w:hAnsi="Times New Roman" w:eastAsia="方正仿宋_GBK"/>
          <w:sz w:val="32"/>
          <w:szCs w:val="32"/>
        </w:rPr>
        <w:t>类水质标准的水域及其200米内的陆域</w:t>
      </w:r>
    </w:p>
    <w:p>
      <w:pPr>
        <w:pStyle w:val="3"/>
        <w:numPr>
          <w:ilvl w:val="0"/>
          <w:numId w:val="0"/>
        </w:numPr>
        <w:spacing w:line="240" w:lineRule="auto"/>
        <w:ind w:firstLine="640" w:firstLineChars="200"/>
        <w:rPr>
          <w:rFonts w:ascii="Times New Roman" w:hAnsi="Times New Roman" w:eastAsia="方正楷体_GBK"/>
          <w:b w:val="0"/>
          <w:bCs w:val="0"/>
          <w:sz w:val="32"/>
        </w:rPr>
      </w:pPr>
      <w:bookmarkStart w:id="11" w:name="_Toc501875855"/>
      <w:r>
        <w:rPr>
          <w:rFonts w:hint="eastAsia" w:ascii="Times New Roman" w:hAnsi="Times New Roman" w:eastAsia="方正楷体_GBK"/>
          <w:b w:val="0"/>
          <w:bCs w:val="0"/>
          <w:sz w:val="32"/>
        </w:rPr>
        <w:t>（二）畜禽养殖限养区</w:t>
      </w:r>
      <w:bookmarkEnd w:id="11"/>
      <w:r>
        <w:rPr>
          <w:rFonts w:ascii="Times New Roman" w:hAnsi="Times New Roman" w:eastAsia="方正楷体_GBK"/>
          <w:b w:val="0"/>
          <w:bCs w:val="0"/>
          <w:sz w:val="32"/>
        </w:rPr>
        <w:t>。</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根据《畜禽规模养殖污染防治条例》（国务院令第643号）、《重庆市长江三峡水库库区及流域水污染防治条例》《环境保护部办公厅农业部办公厅关于印发畜禽养殖禁养区划定技术指南的通知》（环办水体〔2016〕99号）等规定,将以下区域划为畜禽养殖限养区。</w:t>
      </w:r>
    </w:p>
    <w:p>
      <w:pPr>
        <w:pStyle w:val="4"/>
        <w:numPr>
          <w:ilvl w:val="0"/>
          <w:numId w:val="0"/>
        </w:numPr>
        <w:spacing w:line="240" w:lineRule="auto"/>
        <w:ind w:firstLine="640" w:firstLineChars="200"/>
        <w:rPr>
          <w:rFonts w:ascii="Times New Roman" w:hAnsi="Times New Roman" w:eastAsia="方正仿宋_GBK"/>
          <w:b w:val="0"/>
          <w:bCs w:val="0"/>
          <w:sz w:val="32"/>
        </w:rPr>
      </w:pPr>
      <w:r>
        <w:rPr>
          <w:rFonts w:ascii="Times New Roman" w:hAnsi="Times New Roman" w:eastAsia="方正仿宋_GBK"/>
          <w:b w:val="0"/>
          <w:bCs w:val="0"/>
          <w:sz w:val="32"/>
        </w:rPr>
        <w:t>1</w:t>
      </w:r>
      <w:r>
        <w:rPr>
          <w:rFonts w:hint="eastAsia" w:ascii="Times New Roman" w:hAnsi="Times New Roman" w:eastAsia="方正仿宋_GBK"/>
          <w:b w:val="0"/>
          <w:bCs w:val="0"/>
          <w:sz w:val="32"/>
        </w:rPr>
        <w:t>．城市规划区及规划区以外的居民集中区、医疗区、文教科研区、工业区</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大足区城市规划区及规划区以外的居民集中区、医疗区、文教科研区、工业区,总面积为77.62 km</w:t>
      </w:r>
      <w:r>
        <w:rPr>
          <w:rFonts w:ascii="Times New Roman" w:hAnsi="Times New Roman" w:eastAsia="方正仿宋_GBK" w:cs="Cambria"/>
          <w:sz w:val="32"/>
          <w:szCs w:val="32"/>
        </w:rPr>
        <w:t>²</w:t>
      </w:r>
      <w:r>
        <w:rPr>
          <w:rFonts w:hint="eastAsia" w:ascii="Times New Roman" w:hAnsi="Times New Roman" w:eastAsia="方正仿宋_GBK" w:cs="方正仿宋_GBK"/>
          <w:sz w:val="32"/>
          <w:szCs w:val="32"/>
        </w:rPr>
        <w:t>。</w:t>
      </w:r>
    </w:p>
    <w:p>
      <w:pPr>
        <w:pStyle w:val="11"/>
        <w:keepNext/>
        <w:spacing w:line="240" w:lineRule="auto"/>
        <w:ind w:firstLine="0" w:firstLineChars="0"/>
        <w:jc w:val="center"/>
        <w:rPr>
          <w:rFonts w:ascii="Times New Roman" w:hAnsi="Times New Roman" w:eastAsia="方正仿宋_GBK"/>
          <w:sz w:val="32"/>
          <w:szCs w:val="32"/>
        </w:rPr>
      </w:pPr>
      <w:r>
        <w:rPr>
          <w:rFonts w:hint="eastAsia" w:ascii="Times New Roman" w:hAnsi="Times New Roman" w:eastAsia="方正仿宋_GBK"/>
          <w:sz w:val="32"/>
          <w:szCs w:val="32"/>
        </w:rPr>
        <w:t xml:space="preserve">表 </w:t>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STYLEREF 1 \s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5</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noBreakHyphen/>
      </w:r>
      <w:r>
        <w:rPr>
          <w:rFonts w:ascii="Times New Roman" w:hAnsi="Times New Roman" w:eastAsia="方正仿宋_GBK"/>
          <w:sz w:val="32"/>
          <w:szCs w:val="32"/>
        </w:rPr>
        <w:t>3</w:t>
      </w:r>
      <w:r>
        <w:rPr>
          <w:rFonts w:hint="eastAsia" w:ascii="Times New Roman" w:hAnsi="Times New Roman" w:eastAsia="方正仿宋_GBK"/>
          <w:sz w:val="32"/>
          <w:szCs w:val="32"/>
        </w:rPr>
        <w:t xml:space="preserve"> 城市规划区及规划区以外的</w:t>
      </w:r>
    </w:p>
    <w:p>
      <w:pPr>
        <w:pStyle w:val="11"/>
        <w:keepNext/>
        <w:spacing w:line="240" w:lineRule="auto"/>
        <w:ind w:firstLine="0" w:firstLineChars="0"/>
        <w:jc w:val="center"/>
        <w:rPr>
          <w:rFonts w:ascii="Times New Roman" w:hAnsi="Times New Roman" w:eastAsia="方正仿宋_GBK"/>
          <w:sz w:val="32"/>
          <w:szCs w:val="32"/>
        </w:rPr>
      </w:pPr>
      <w:r>
        <w:rPr>
          <w:rFonts w:hint="eastAsia" w:ascii="Times New Roman" w:hAnsi="Times New Roman" w:eastAsia="方正仿宋_GBK"/>
          <w:sz w:val="32"/>
          <w:szCs w:val="32"/>
        </w:rPr>
        <w:t>居民集中区、医疗区、文教科研区、工业区</w:t>
      </w:r>
    </w:p>
    <w:tbl>
      <w:tblPr>
        <w:tblStyle w:val="19"/>
        <w:tblW w:w="8947" w:type="dxa"/>
        <w:jc w:val="center"/>
        <w:tblLayout w:type="fixed"/>
        <w:tblCellMar>
          <w:top w:w="0" w:type="dxa"/>
          <w:left w:w="108" w:type="dxa"/>
          <w:bottom w:w="0" w:type="dxa"/>
          <w:right w:w="108" w:type="dxa"/>
        </w:tblCellMar>
      </w:tblPr>
      <w:tblGrid>
        <w:gridCol w:w="1527"/>
        <w:gridCol w:w="3260"/>
        <w:gridCol w:w="4160"/>
      </w:tblGrid>
      <w:tr>
        <w:tblPrEx>
          <w:tblCellMar>
            <w:top w:w="0" w:type="dxa"/>
            <w:left w:w="108" w:type="dxa"/>
            <w:bottom w:w="0" w:type="dxa"/>
            <w:right w:w="108" w:type="dxa"/>
          </w:tblCellMar>
        </w:tblPrEx>
        <w:trPr>
          <w:trHeight w:val="288" w:hRule="atLeast"/>
          <w:jc w:val="center"/>
        </w:trPr>
        <w:tc>
          <w:tcPr>
            <w:tcW w:w="1527"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序号</w:t>
            </w:r>
          </w:p>
        </w:tc>
        <w:tc>
          <w:tcPr>
            <w:tcW w:w="3260"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bookmarkStart w:id="12" w:name="RANGE!B1:B28"/>
            <w:bookmarkEnd w:id="12"/>
            <w:r>
              <w:rPr>
                <w:rFonts w:hint="eastAsia" w:ascii="Times New Roman" w:hAnsi="Times New Roman" w:eastAsia="方正仿宋_GBK"/>
                <w:color w:val="000000"/>
                <w:kern w:val="0"/>
                <w:sz w:val="24"/>
                <w:szCs w:val="24"/>
              </w:rPr>
              <w:t>镇（街道）</w:t>
            </w:r>
          </w:p>
        </w:tc>
        <w:tc>
          <w:tcPr>
            <w:tcW w:w="4160"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面积（km</w:t>
            </w:r>
            <w:r>
              <w:rPr>
                <w:rFonts w:ascii="Times New Roman" w:hAnsi="Times New Roman" w:eastAsia="方正仿宋_GBK" w:cs="Cambria"/>
                <w:color w:val="000000"/>
                <w:kern w:val="0"/>
                <w:sz w:val="24"/>
                <w:szCs w:val="24"/>
              </w:rPr>
              <w:t>²</w:t>
            </w:r>
            <w:r>
              <w:rPr>
                <w:rFonts w:hint="eastAsia" w:ascii="Times New Roman" w:hAnsi="Times New Roman" w:eastAsia="方正仿宋_GBK" w:cs="方正仿宋_GBK"/>
                <w:color w:val="000000"/>
                <w:kern w:val="0"/>
                <w:sz w:val="24"/>
                <w:szCs w:val="24"/>
              </w:rPr>
              <w:t>）</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1</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棠香街道</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ascii="Times New Roman" w:hAnsi="Times New Roman" w:eastAsia="方正仿宋_GBK"/>
                <w:color w:val="000000"/>
                <w:kern w:val="0"/>
                <w:sz w:val="24"/>
                <w:szCs w:val="24"/>
              </w:rPr>
              <w:t>13.33</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2</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龙岗街道</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5.63</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3</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龙滩子街道</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5.63</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4</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双路街道</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8.73</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5</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通桥街道</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6.29</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6</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智凤街道</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3.98</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7</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龙水镇</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18.14</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8</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邮亭镇</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3.4</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9</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宝顶镇</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1.53</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10</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万古镇</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0.93</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11</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珠溪镇</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0.83</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12</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中敖镇</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1.36</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13</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三驱镇</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1.31</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14</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石马镇</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0.86</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15</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雍溪镇</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0.87</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16</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玉龙镇</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1.23</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17</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宝兴镇</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1.22</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18</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拾万镇</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0.81</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19</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铁山镇</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0.21</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20</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回龙镇</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0.48</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21</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国梁镇</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0.4</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22</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金山镇</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0.67</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23</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高升镇</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0.52</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24</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季家镇</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0.36</w:t>
            </w:r>
          </w:p>
        </w:tc>
      </w:tr>
      <w:tr>
        <w:tblPrEx>
          <w:tblCellMar>
            <w:top w:w="0" w:type="dxa"/>
            <w:left w:w="108" w:type="dxa"/>
            <w:bottom w:w="0" w:type="dxa"/>
            <w:right w:w="108" w:type="dxa"/>
          </w:tblCellMar>
        </w:tblPrEx>
        <w:trPr>
          <w:trHeight w:val="288" w:hRule="atLeast"/>
          <w:jc w:val="center"/>
        </w:trPr>
        <w:tc>
          <w:tcPr>
            <w:tcW w:w="1527"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25</w:t>
            </w:r>
          </w:p>
        </w:tc>
        <w:tc>
          <w:tcPr>
            <w:tcW w:w="32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龙石镇</w:t>
            </w:r>
          </w:p>
        </w:tc>
        <w:tc>
          <w:tcPr>
            <w:tcW w:w="416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0.86</w:t>
            </w:r>
          </w:p>
        </w:tc>
      </w:tr>
      <w:tr>
        <w:tblPrEx>
          <w:tblCellMar>
            <w:top w:w="0" w:type="dxa"/>
            <w:left w:w="108" w:type="dxa"/>
            <w:bottom w:w="0" w:type="dxa"/>
            <w:right w:w="108" w:type="dxa"/>
          </w:tblCellMar>
        </w:tblPrEx>
        <w:trPr>
          <w:trHeight w:val="288" w:hRule="atLeast"/>
          <w:jc w:val="center"/>
        </w:trPr>
        <w:tc>
          <w:tcPr>
            <w:tcW w:w="1527"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26</w:t>
            </w:r>
          </w:p>
        </w:tc>
        <w:tc>
          <w:tcPr>
            <w:tcW w:w="326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高坪镇</w:t>
            </w:r>
          </w:p>
        </w:tc>
        <w:tc>
          <w:tcPr>
            <w:tcW w:w="416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0.25</w:t>
            </w:r>
          </w:p>
        </w:tc>
      </w:tr>
      <w:tr>
        <w:tblPrEx>
          <w:tblCellMar>
            <w:top w:w="0" w:type="dxa"/>
            <w:left w:w="108" w:type="dxa"/>
            <w:bottom w:w="0" w:type="dxa"/>
            <w:right w:w="108" w:type="dxa"/>
          </w:tblCellMar>
        </w:tblPrEx>
        <w:trPr>
          <w:trHeight w:val="288" w:hRule="atLeast"/>
          <w:jc w:val="center"/>
        </w:trPr>
        <w:tc>
          <w:tcPr>
            <w:tcW w:w="1527"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27</w:t>
            </w:r>
          </w:p>
        </w:tc>
        <w:tc>
          <w:tcPr>
            <w:tcW w:w="326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古龙镇</w:t>
            </w:r>
          </w:p>
        </w:tc>
        <w:tc>
          <w:tcPr>
            <w:tcW w:w="4160"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0.3</w:t>
            </w:r>
          </w:p>
        </w:tc>
      </w:tr>
      <w:tr>
        <w:tblPrEx>
          <w:tblCellMar>
            <w:top w:w="0" w:type="dxa"/>
            <w:left w:w="108" w:type="dxa"/>
            <w:bottom w:w="0" w:type="dxa"/>
            <w:right w:w="108" w:type="dxa"/>
          </w:tblCellMar>
        </w:tblPrEx>
        <w:trPr>
          <w:trHeight w:val="288" w:hRule="atLeast"/>
          <w:jc w:val="center"/>
        </w:trPr>
        <w:tc>
          <w:tcPr>
            <w:tcW w:w="4787" w:type="dxa"/>
            <w:gridSpan w:val="2"/>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总计</w:t>
            </w:r>
          </w:p>
        </w:tc>
        <w:tc>
          <w:tcPr>
            <w:tcW w:w="4160"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4"/>
              </w:rPr>
            </w:pPr>
            <w:r>
              <w:rPr>
                <w:rFonts w:hint="eastAsia" w:ascii="Times New Roman" w:hAnsi="Times New Roman" w:eastAsia="方正仿宋_GBK"/>
                <w:color w:val="000000"/>
                <w:kern w:val="0"/>
                <w:sz w:val="24"/>
                <w:szCs w:val="24"/>
              </w:rPr>
              <w:t>77.62</w:t>
            </w:r>
          </w:p>
        </w:tc>
      </w:tr>
    </w:tbl>
    <w:p>
      <w:pPr>
        <w:snapToGrid w:val="0"/>
        <w:rPr>
          <w:rFonts w:ascii="Times New Roman" w:hAnsi="Times New Roman" w:eastAsia="方正仿宋_GBK"/>
          <w:sz w:val="32"/>
          <w:szCs w:val="32"/>
        </w:rPr>
      </w:pPr>
    </w:p>
    <w:p>
      <w:pPr>
        <w:snapToGrid w:val="0"/>
        <w:rPr>
          <w:rFonts w:ascii="Times New Roman" w:hAnsi="Times New Roman" w:eastAsia="方正仿宋_GBK"/>
          <w:sz w:val="32"/>
          <w:szCs w:val="32"/>
        </w:rPr>
      </w:pPr>
    </w:p>
    <w:p>
      <w:pPr>
        <w:keepNext/>
        <w:jc w:val="center"/>
        <w:rPr>
          <w:rFonts w:ascii="Times New Roman" w:hAnsi="Times New Roman" w:eastAsia="方正仿宋_GBK"/>
          <w:sz w:val="32"/>
          <w:szCs w:val="32"/>
        </w:rPr>
      </w:pPr>
      <w:r>
        <w:rPr>
          <w:rFonts w:hint="eastAsia" w:ascii="Times New Roman" w:hAnsi="Times New Roman" w:eastAsia="方正仿宋_GBK"/>
          <w:sz w:val="32"/>
          <w:szCs w:val="32"/>
        </w:rPr>
        <w:drawing>
          <wp:inline distT="0" distB="0" distL="85090" distR="85090">
            <wp:extent cx="5544820" cy="31388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a:srcRect t="9933" b="9950"/>
                    <a:stretch>
                      <a:fillRect/>
                    </a:stretch>
                  </pic:blipFill>
                  <pic:spPr>
                    <a:xfrm>
                      <a:off x="0" y="0"/>
                      <a:ext cx="5544820" cy="3139295"/>
                    </a:xfrm>
                    <a:prstGeom prst="rect">
                      <a:avLst/>
                    </a:prstGeom>
                    <a:noFill/>
                    <a:ln w="9525" cap="flat" cmpd="sng">
                      <a:noFill/>
                      <a:prstDash val="solid"/>
                      <a:miter/>
                    </a:ln>
                  </pic:spPr>
                </pic:pic>
              </a:graphicData>
            </a:graphic>
          </wp:inline>
        </w:drawing>
      </w:r>
    </w:p>
    <w:p>
      <w:pPr>
        <w:pStyle w:val="11"/>
        <w:spacing w:line="240" w:lineRule="auto"/>
        <w:ind w:firstLine="0" w:firstLineChars="0"/>
        <w:jc w:val="center"/>
        <w:rPr>
          <w:rFonts w:ascii="Times New Roman" w:hAnsi="Times New Roman" w:eastAsia="方正仿宋_GBK"/>
          <w:sz w:val="32"/>
          <w:szCs w:val="32"/>
        </w:rPr>
      </w:pPr>
      <w:r>
        <w:rPr>
          <w:rFonts w:hint="eastAsia" w:ascii="Times New Roman" w:hAnsi="Times New Roman" w:eastAsia="方正仿宋_GBK"/>
          <w:sz w:val="32"/>
          <w:szCs w:val="32"/>
        </w:rPr>
        <w:t xml:space="preserve">图 </w:t>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STYLEREF 1 \s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5</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noBreakHyphen/>
      </w:r>
      <w:r>
        <w:rPr>
          <w:rFonts w:hint="eastAsia" w:ascii="Times New Roman" w:hAnsi="Times New Roman" w:eastAsia="方正仿宋_GBK"/>
          <w:sz w:val="32"/>
          <w:szCs w:val="32"/>
        </w:rPr>
        <w:t>7 城市规划区及规划区以外的</w:t>
      </w:r>
    </w:p>
    <w:p>
      <w:pPr>
        <w:pStyle w:val="11"/>
        <w:spacing w:line="240" w:lineRule="auto"/>
        <w:ind w:firstLine="0" w:firstLineChars="0"/>
        <w:jc w:val="center"/>
        <w:rPr>
          <w:rFonts w:ascii="Times New Roman" w:hAnsi="Times New Roman" w:eastAsia="方正仿宋_GBK"/>
          <w:sz w:val="32"/>
          <w:szCs w:val="32"/>
        </w:rPr>
      </w:pPr>
      <w:r>
        <w:rPr>
          <w:rFonts w:hint="eastAsia" w:ascii="Times New Roman" w:hAnsi="Times New Roman" w:eastAsia="方正仿宋_GBK"/>
          <w:sz w:val="32"/>
          <w:szCs w:val="32"/>
        </w:rPr>
        <w:t>居民集中区、医疗区、文教科研区、工业区</w:t>
      </w:r>
    </w:p>
    <w:p>
      <w:pPr>
        <w:pStyle w:val="4"/>
        <w:numPr>
          <w:ilvl w:val="0"/>
          <w:numId w:val="0"/>
        </w:numPr>
        <w:spacing w:line="240" w:lineRule="auto"/>
        <w:ind w:firstLine="640" w:firstLineChars="200"/>
        <w:rPr>
          <w:rFonts w:ascii="Times New Roman" w:hAnsi="Times New Roman" w:eastAsia="方正仿宋_GBK"/>
          <w:b w:val="0"/>
          <w:bCs w:val="0"/>
          <w:sz w:val="32"/>
        </w:rPr>
      </w:pPr>
      <w:r>
        <w:rPr>
          <w:rFonts w:ascii="Times New Roman" w:hAnsi="Times New Roman" w:eastAsia="方正仿宋_GBK"/>
          <w:b w:val="0"/>
          <w:bCs w:val="0"/>
          <w:sz w:val="32"/>
        </w:rPr>
        <w:t>2</w:t>
      </w:r>
      <w:r>
        <w:rPr>
          <w:rFonts w:hint="eastAsia" w:ascii="Times New Roman" w:hAnsi="Times New Roman" w:eastAsia="方正仿宋_GBK"/>
          <w:b w:val="0"/>
          <w:bCs w:val="0"/>
          <w:sz w:val="32"/>
        </w:rPr>
        <w:t>．执行</w:t>
      </w:r>
      <w:r>
        <w:rPr>
          <w:rFonts w:hint="eastAsia" w:ascii="Times New Roman" w:hAnsi="Times New Roman" w:eastAsia="方正仿宋_GBK" w:cs="宋体"/>
          <w:b w:val="0"/>
          <w:bCs w:val="0"/>
          <w:sz w:val="32"/>
        </w:rPr>
        <w:t>Ⅲ</w:t>
      </w:r>
      <w:r>
        <w:rPr>
          <w:rFonts w:hint="eastAsia" w:ascii="Times New Roman" w:hAnsi="Times New Roman" w:eastAsia="方正仿宋_GBK"/>
          <w:b w:val="0"/>
          <w:bCs w:val="0"/>
          <w:sz w:val="32"/>
        </w:rPr>
        <w:t>类水质标准的水域及其200米内的陆域</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执行</w:t>
      </w:r>
      <w:r>
        <w:rPr>
          <w:rFonts w:hint="eastAsia" w:ascii="Times New Roman" w:hAnsi="Times New Roman" w:eastAsia="方正仿宋_GBK" w:cs="宋体"/>
          <w:sz w:val="32"/>
          <w:szCs w:val="32"/>
        </w:rPr>
        <w:t>Ⅲ</w:t>
      </w:r>
      <w:r>
        <w:rPr>
          <w:rFonts w:hint="eastAsia" w:ascii="Times New Roman" w:hAnsi="Times New Roman" w:eastAsia="方正仿宋_GBK"/>
          <w:sz w:val="32"/>
          <w:szCs w:val="32"/>
        </w:rPr>
        <w:t>类水质标准的水域及其200米内的陆域包括塘坝河、淮远河、濑溪河、平滩河和小安溪及其周边200米的陆域范围。总面积为76.91 km</w:t>
      </w:r>
      <w:r>
        <w:rPr>
          <w:rFonts w:ascii="Times New Roman" w:hAnsi="Times New Roman" w:eastAsia="方正仿宋_GBK" w:cs="Cambria"/>
          <w:sz w:val="32"/>
          <w:szCs w:val="32"/>
        </w:rPr>
        <w:t>²</w:t>
      </w:r>
      <w:r>
        <w:rPr>
          <w:rFonts w:hint="eastAsia" w:ascii="Times New Roman" w:hAnsi="Times New Roman" w:eastAsia="方正仿宋_GBK" w:cs="方正仿宋_GBK"/>
          <w:sz w:val="32"/>
          <w:szCs w:val="32"/>
        </w:rPr>
        <w:t>。</w:t>
      </w:r>
    </w:p>
    <w:p>
      <w:pPr>
        <w:pStyle w:val="11"/>
        <w:keepNext/>
        <w:spacing w:line="240" w:lineRule="auto"/>
        <w:ind w:firstLine="0" w:firstLineChars="0"/>
        <w:jc w:val="center"/>
        <w:rPr>
          <w:rFonts w:ascii="Times New Roman" w:hAnsi="Times New Roman" w:eastAsia="方正仿宋_GBK"/>
          <w:sz w:val="32"/>
          <w:szCs w:val="32"/>
        </w:rPr>
      </w:pPr>
      <w:r>
        <w:rPr>
          <w:rFonts w:hint="eastAsia" w:ascii="Times New Roman" w:hAnsi="Times New Roman" w:eastAsia="方正仿宋_GBK"/>
          <w:sz w:val="32"/>
          <w:szCs w:val="32"/>
        </w:rPr>
        <w:t xml:space="preserve">表 </w:t>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STYLEREF 1 \s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5</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noBreakHyphen/>
      </w:r>
      <w:r>
        <w:rPr>
          <w:rFonts w:ascii="Times New Roman" w:hAnsi="Times New Roman" w:eastAsia="方正仿宋_GBK"/>
          <w:sz w:val="32"/>
          <w:szCs w:val="32"/>
        </w:rPr>
        <w:t>4</w:t>
      </w:r>
      <w:r>
        <w:rPr>
          <w:rFonts w:hint="eastAsia" w:ascii="Times New Roman" w:hAnsi="Times New Roman" w:eastAsia="方正仿宋_GBK"/>
          <w:sz w:val="32"/>
          <w:szCs w:val="32"/>
        </w:rPr>
        <w:t xml:space="preserve"> 执行Ⅲ类水质标准的水域及其200米内的陆域</w:t>
      </w:r>
    </w:p>
    <w:tbl>
      <w:tblPr>
        <w:tblStyle w:val="19"/>
        <w:tblW w:w="8947" w:type="dxa"/>
        <w:tblInd w:w="0" w:type="dxa"/>
        <w:tblLayout w:type="fixed"/>
        <w:tblCellMar>
          <w:top w:w="0" w:type="dxa"/>
          <w:left w:w="108" w:type="dxa"/>
          <w:bottom w:w="0" w:type="dxa"/>
          <w:right w:w="108" w:type="dxa"/>
        </w:tblCellMar>
      </w:tblPr>
      <w:tblGrid>
        <w:gridCol w:w="959"/>
        <w:gridCol w:w="1134"/>
        <w:gridCol w:w="1417"/>
        <w:gridCol w:w="5437"/>
      </w:tblGrid>
      <w:tr>
        <w:tblPrEx>
          <w:tblCellMar>
            <w:top w:w="0" w:type="dxa"/>
            <w:left w:w="108" w:type="dxa"/>
            <w:bottom w:w="0" w:type="dxa"/>
            <w:right w:w="108" w:type="dxa"/>
          </w:tblCellMar>
        </w:tblPrEx>
        <w:trPr>
          <w:trHeight w:val="336" w:hRule="atLeast"/>
        </w:trPr>
        <w:tc>
          <w:tcPr>
            <w:tcW w:w="959"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olor w:val="000000"/>
                <w:kern w:val="0"/>
                <w:sz w:val="24"/>
                <w:szCs w:val="28"/>
              </w:rPr>
              <w:t>序号</w:t>
            </w:r>
          </w:p>
        </w:tc>
        <w:tc>
          <w:tcPr>
            <w:tcW w:w="1134"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olor w:val="000000"/>
                <w:kern w:val="0"/>
                <w:sz w:val="24"/>
                <w:szCs w:val="28"/>
              </w:rPr>
              <w:t>名称</w:t>
            </w:r>
          </w:p>
        </w:tc>
        <w:tc>
          <w:tcPr>
            <w:tcW w:w="1417"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olor w:val="000000"/>
                <w:kern w:val="0"/>
                <w:sz w:val="24"/>
                <w:szCs w:val="28"/>
              </w:rPr>
              <w:t>水质类别</w:t>
            </w:r>
          </w:p>
        </w:tc>
        <w:tc>
          <w:tcPr>
            <w:tcW w:w="5437"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olor w:val="000000"/>
                <w:kern w:val="0"/>
                <w:sz w:val="24"/>
                <w:szCs w:val="28"/>
              </w:rPr>
              <w:t>所在镇（街道）</w:t>
            </w:r>
          </w:p>
        </w:tc>
      </w:tr>
      <w:tr>
        <w:tblPrEx>
          <w:tblCellMar>
            <w:top w:w="0" w:type="dxa"/>
            <w:left w:w="108" w:type="dxa"/>
            <w:bottom w:w="0" w:type="dxa"/>
            <w:right w:w="108" w:type="dxa"/>
          </w:tblCellMar>
        </w:tblPrEx>
        <w:trPr>
          <w:trHeight w:val="300" w:hRule="atLeast"/>
        </w:trPr>
        <w:tc>
          <w:tcPr>
            <w:tcW w:w="959"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olor w:val="000000"/>
                <w:kern w:val="0"/>
                <w:sz w:val="24"/>
                <w:szCs w:val="28"/>
              </w:rPr>
              <w:t>1</w:t>
            </w:r>
          </w:p>
        </w:tc>
        <w:tc>
          <w:tcPr>
            <w:tcW w:w="1134"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olor w:val="000000"/>
                <w:kern w:val="0"/>
                <w:sz w:val="24"/>
                <w:szCs w:val="28"/>
              </w:rPr>
              <w:t>塘坝河</w:t>
            </w:r>
          </w:p>
        </w:tc>
        <w:tc>
          <w:tcPr>
            <w:tcW w:w="14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s="宋体"/>
                <w:color w:val="000000"/>
                <w:kern w:val="0"/>
                <w:sz w:val="24"/>
                <w:szCs w:val="28"/>
              </w:rPr>
              <w:t>Ⅲ</w:t>
            </w:r>
            <w:r>
              <w:rPr>
                <w:rFonts w:hint="eastAsia" w:ascii="Times New Roman" w:hAnsi="Times New Roman" w:eastAsia="方正仿宋_GBK"/>
                <w:color w:val="000000"/>
                <w:kern w:val="0"/>
                <w:sz w:val="24"/>
                <w:szCs w:val="28"/>
              </w:rPr>
              <w:t>类</w:t>
            </w:r>
          </w:p>
        </w:tc>
        <w:tc>
          <w:tcPr>
            <w:tcW w:w="543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olor w:val="000000"/>
                <w:kern w:val="0"/>
                <w:sz w:val="24"/>
                <w:szCs w:val="28"/>
              </w:rPr>
              <w:t>高坪镇</w:t>
            </w:r>
          </w:p>
        </w:tc>
      </w:tr>
      <w:tr>
        <w:tblPrEx>
          <w:tblCellMar>
            <w:top w:w="0" w:type="dxa"/>
            <w:left w:w="108" w:type="dxa"/>
            <w:bottom w:w="0" w:type="dxa"/>
            <w:right w:w="108" w:type="dxa"/>
          </w:tblCellMar>
        </w:tblPrEx>
        <w:trPr>
          <w:trHeight w:val="288" w:hRule="atLeast"/>
        </w:trPr>
        <w:tc>
          <w:tcPr>
            <w:tcW w:w="959"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olor w:val="000000"/>
                <w:kern w:val="0"/>
                <w:sz w:val="24"/>
                <w:szCs w:val="28"/>
              </w:rPr>
              <w:t>2</w:t>
            </w:r>
          </w:p>
        </w:tc>
        <w:tc>
          <w:tcPr>
            <w:tcW w:w="1134"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olor w:val="000000"/>
                <w:kern w:val="0"/>
                <w:sz w:val="24"/>
                <w:szCs w:val="28"/>
              </w:rPr>
              <w:t>淮远河</w:t>
            </w:r>
          </w:p>
        </w:tc>
        <w:tc>
          <w:tcPr>
            <w:tcW w:w="14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s="宋体"/>
                <w:color w:val="000000"/>
                <w:kern w:val="0"/>
                <w:sz w:val="24"/>
                <w:szCs w:val="28"/>
              </w:rPr>
              <w:t>Ⅲ</w:t>
            </w:r>
            <w:r>
              <w:rPr>
                <w:rFonts w:hint="eastAsia" w:ascii="Times New Roman" w:hAnsi="Times New Roman" w:eastAsia="方正仿宋_GBK"/>
                <w:color w:val="000000"/>
                <w:kern w:val="0"/>
                <w:sz w:val="24"/>
                <w:szCs w:val="28"/>
              </w:rPr>
              <w:t>类</w:t>
            </w:r>
          </w:p>
        </w:tc>
        <w:tc>
          <w:tcPr>
            <w:tcW w:w="543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olor w:val="000000"/>
                <w:kern w:val="0"/>
                <w:sz w:val="24"/>
                <w:szCs w:val="28"/>
              </w:rPr>
              <w:t>拾万镇、万古镇、雍溪镇</w:t>
            </w:r>
          </w:p>
        </w:tc>
      </w:tr>
      <w:tr>
        <w:tblPrEx>
          <w:tblCellMar>
            <w:top w:w="0" w:type="dxa"/>
            <w:left w:w="108" w:type="dxa"/>
            <w:bottom w:w="0" w:type="dxa"/>
            <w:right w:w="108" w:type="dxa"/>
          </w:tblCellMar>
        </w:tblPrEx>
        <w:trPr>
          <w:trHeight w:val="288" w:hRule="atLeast"/>
        </w:trPr>
        <w:tc>
          <w:tcPr>
            <w:tcW w:w="959"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olor w:val="000000"/>
                <w:kern w:val="0"/>
                <w:sz w:val="24"/>
                <w:szCs w:val="28"/>
              </w:rPr>
              <w:t>3</w:t>
            </w:r>
          </w:p>
        </w:tc>
        <w:tc>
          <w:tcPr>
            <w:tcW w:w="1134"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olor w:val="000000"/>
                <w:kern w:val="0"/>
                <w:sz w:val="24"/>
                <w:szCs w:val="28"/>
              </w:rPr>
              <w:t>濑溪河</w:t>
            </w:r>
          </w:p>
        </w:tc>
        <w:tc>
          <w:tcPr>
            <w:tcW w:w="14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s="宋体"/>
                <w:color w:val="000000"/>
                <w:kern w:val="0"/>
                <w:sz w:val="24"/>
                <w:szCs w:val="28"/>
              </w:rPr>
              <w:t>Ⅲ</w:t>
            </w:r>
            <w:r>
              <w:rPr>
                <w:rFonts w:hint="eastAsia" w:ascii="Times New Roman" w:hAnsi="Times New Roman" w:eastAsia="方正仿宋_GBK"/>
                <w:color w:val="000000"/>
                <w:kern w:val="0"/>
                <w:sz w:val="24"/>
                <w:szCs w:val="28"/>
              </w:rPr>
              <w:t>类</w:t>
            </w:r>
          </w:p>
        </w:tc>
        <w:tc>
          <w:tcPr>
            <w:tcW w:w="543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spacing w:val="-6"/>
                <w:kern w:val="0"/>
                <w:sz w:val="24"/>
                <w:szCs w:val="28"/>
              </w:rPr>
            </w:pPr>
            <w:r>
              <w:rPr>
                <w:rFonts w:hint="eastAsia" w:ascii="Times New Roman" w:hAnsi="Times New Roman" w:eastAsia="方正仿宋_GBK"/>
                <w:color w:val="000000"/>
                <w:spacing w:val="-6"/>
                <w:kern w:val="0"/>
                <w:sz w:val="24"/>
                <w:szCs w:val="28"/>
              </w:rPr>
              <w:t>宝兴镇、季家镇、龙岗街道、龙水镇、三驱镇、棠香街道、铁山镇、玉龙镇、智凤街道、中敖镇、珠溪镇</w:t>
            </w:r>
          </w:p>
        </w:tc>
      </w:tr>
      <w:tr>
        <w:tblPrEx>
          <w:tblCellMar>
            <w:top w:w="0" w:type="dxa"/>
            <w:left w:w="108" w:type="dxa"/>
            <w:bottom w:w="0" w:type="dxa"/>
            <w:right w:w="108" w:type="dxa"/>
          </w:tblCellMar>
        </w:tblPrEx>
        <w:trPr>
          <w:trHeight w:val="288" w:hRule="atLeast"/>
        </w:trPr>
        <w:tc>
          <w:tcPr>
            <w:tcW w:w="959"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olor w:val="000000"/>
                <w:kern w:val="0"/>
                <w:sz w:val="24"/>
                <w:szCs w:val="28"/>
              </w:rPr>
              <w:t>4</w:t>
            </w:r>
          </w:p>
        </w:tc>
        <w:tc>
          <w:tcPr>
            <w:tcW w:w="1134"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olor w:val="000000"/>
                <w:kern w:val="0"/>
                <w:sz w:val="24"/>
                <w:szCs w:val="28"/>
              </w:rPr>
              <w:t>平滩河</w:t>
            </w:r>
          </w:p>
        </w:tc>
        <w:tc>
          <w:tcPr>
            <w:tcW w:w="14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s="宋体"/>
                <w:color w:val="000000"/>
                <w:kern w:val="0"/>
                <w:sz w:val="24"/>
                <w:szCs w:val="28"/>
              </w:rPr>
              <w:t>Ⅲ</w:t>
            </w:r>
            <w:r>
              <w:rPr>
                <w:rFonts w:hint="eastAsia" w:ascii="Times New Roman" w:hAnsi="Times New Roman" w:eastAsia="方正仿宋_GBK"/>
                <w:color w:val="000000"/>
                <w:kern w:val="0"/>
                <w:sz w:val="24"/>
                <w:szCs w:val="28"/>
              </w:rPr>
              <w:t>类</w:t>
            </w:r>
          </w:p>
        </w:tc>
        <w:tc>
          <w:tcPr>
            <w:tcW w:w="543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olor w:val="000000"/>
                <w:kern w:val="0"/>
                <w:sz w:val="24"/>
                <w:szCs w:val="28"/>
              </w:rPr>
              <w:t>宝顶镇、回龙镇</w:t>
            </w:r>
          </w:p>
        </w:tc>
      </w:tr>
      <w:tr>
        <w:tblPrEx>
          <w:tblCellMar>
            <w:top w:w="0" w:type="dxa"/>
            <w:left w:w="108" w:type="dxa"/>
            <w:bottom w:w="0" w:type="dxa"/>
            <w:right w:w="108" w:type="dxa"/>
          </w:tblCellMar>
        </w:tblPrEx>
        <w:trPr>
          <w:trHeight w:val="364" w:hRule="atLeast"/>
        </w:trPr>
        <w:tc>
          <w:tcPr>
            <w:tcW w:w="959"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olor w:val="000000"/>
                <w:kern w:val="0"/>
                <w:sz w:val="24"/>
                <w:szCs w:val="28"/>
              </w:rPr>
              <w:t>5</w:t>
            </w:r>
          </w:p>
        </w:tc>
        <w:tc>
          <w:tcPr>
            <w:tcW w:w="1134"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olor w:val="000000"/>
                <w:kern w:val="0"/>
                <w:sz w:val="24"/>
                <w:szCs w:val="28"/>
              </w:rPr>
              <w:t>小安溪</w:t>
            </w:r>
          </w:p>
        </w:tc>
        <w:tc>
          <w:tcPr>
            <w:tcW w:w="141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s="宋体"/>
                <w:color w:val="000000"/>
                <w:kern w:val="0"/>
                <w:sz w:val="24"/>
                <w:szCs w:val="28"/>
              </w:rPr>
              <w:t>Ⅲ</w:t>
            </w:r>
            <w:r>
              <w:rPr>
                <w:rFonts w:hint="eastAsia" w:ascii="Times New Roman" w:hAnsi="Times New Roman" w:eastAsia="方正仿宋_GBK"/>
                <w:color w:val="000000"/>
                <w:kern w:val="0"/>
                <w:sz w:val="24"/>
                <w:szCs w:val="28"/>
              </w:rPr>
              <w:t>类</w:t>
            </w:r>
          </w:p>
        </w:tc>
        <w:tc>
          <w:tcPr>
            <w:tcW w:w="543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olor w:val="000000"/>
                <w:kern w:val="0"/>
                <w:sz w:val="24"/>
                <w:szCs w:val="28"/>
              </w:rPr>
            </w:pPr>
            <w:r>
              <w:rPr>
                <w:rFonts w:hint="eastAsia" w:ascii="Times New Roman" w:hAnsi="Times New Roman" w:eastAsia="方正仿宋_GBK"/>
                <w:color w:val="000000"/>
                <w:kern w:val="0"/>
                <w:sz w:val="24"/>
                <w:szCs w:val="28"/>
              </w:rPr>
              <w:t>邮亭镇、通桥街道、双路街道、龙滩子街道</w:t>
            </w:r>
          </w:p>
        </w:tc>
      </w:tr>
    </w:tbl>
    <w:p>
      <w:pPr>
        <w:snapToGrid w:val="0"/>
        <w:jc w:val="center"/>
        <w:rPr>
          <w:rFonts w:ascii="Times New Roman" w:hAnsi="Times New Roman" w:eastAsia="方正仿宋_GBK"/>
          <w:sz w:val="32"/>
          <w:szCs w:val="32"/>
        </w:rPr>
      </w:pPr>
    </w:p>
    <w:p>
      <w:pPr>
        <w:keepNext/>
        <w:jc w:val="center"/>
        <w:rPr>
          <w:rFonts w:ascii="Times New Roman" w:hAnsi="Times New Roman" w:eastAsia="方正仿宋_GBK"/>
          <w:sz w:val="32"/>
          <w:szCs w:val="32"/>
        </w:rPr>
      </w:pPr>
      <w:r>
        <w:rPr>
          <w:rFonts w:hint="eastAsia" w:ascii="Times New Roman" w:hAnsi="Times New Roman" w:eastAsia="方正仿宋_GBK"/>
          <w:sz w:val="32"/>
          <w:szCs w:val="32"/>
        </w:rPr>
        <w:drawing>
          <wp:inline distT="0" distB="0" distL="85090" distR="85090">
            <wp:extent cx="5544820" cy="31426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rcRect t="9901" b="9901"/>
                    <a:stretch>
                      <a:fillRect/>
                    </a:stretch>
                  </pic:blipFill>
                  <pic:spPr>
                    <a:xfrm>
                      <a:off x="0" y="0"/>
                      <a:ext cx="5544820" cy="3143214"/>
                    </a:xfrm>
                    <a:prstGeom prst="rect">
                      <a:avLst/>
                    </a:prstGeom>
                    <a:noFill/>
                    <a:ln w="9525" cap="flat" cmpd="sng">
                      <a:noFill/>
                      <a:prstDash val="solid"/>
                      <a:miter/>
                    </a:ln>
                  </pic:spPr>
                </pic:pic>
              </a:graphicData>
            </a:graphic>
          </wp:inline>
        </w:drawing>
      </w:r>
    </w:p>
    <w:p>
      <w:pPr>
        <w:pStyle w:val="11"/>
        <w:ind w:firstLine="0" w:firstLineChars="0"/>
        <w:jc w:val="center"/>
        <w:rPr>
          <w:rFonts w:ascii="Times New Roman" w:hAnsi="Times New Roman" w:eastAsia="方正仿宋_GBK"/>
          <w:color w:val="FF0000"/>
          <w:sz w:val="32"/>
          <w:szCs w:val="32"/>
        </w:rPr>
      </w:pPr>
      <w:r>
        <w:rPr>
          <w:rFonts w:hint="eastAsia" w:ascii="Times New Roman" w:hAnsi="Times New Roman" w:eastAsia="方正仿宋_GBK"/>
          <w:sz w:val="32"/>
          <w:szCs w:val="32"/>
        </w:rPr>
        <w:t xml:space="preserve">图 </w:t>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STYLEREF 1 \s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5</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noBreakHyphen/>
      </w:r>
      <w:r>
        <w:rPr>
          <w:rFonts w:hint="eastAsia" w:ascii="Times New Roman" w:hAnsi="Times New Roman" w:eastAsia="方正仿宋_GBK"/>
          <w:sz w:val="32"/>
          <w:szCs w:val="32"/>
        </w:rPr>
        <w:t>8执行</w:t>
      </w:r>
      <w:r>
        <w:rPr>
          <w:rFonts w:hint="eastAsia" w:ascii="Times New Roman" w:hAnsi="Times New Roman" w:eastAsia="方正仿宋_GBK" w:cs="宋体"/>
          <w:sz w:val="32"/>
          <w:szCs w:val="32"/>
        </w:rPr>
        <w:t>Ⅲ</w:t>
      </w:r>
      <w:r>
        <w:rPr>
          <w:rFonts w:hint="eastAsia" w:ascii="Times New Roman" w:hAnsi="Times New Roman" w:eastAsia="方正仿宋_GBK"/>
          <w:sz w:val="32"/>
          <w:szCs w:val="32"/>
        </w:rPr>
        <w:t>类水质标准的水域及其200米内的陆域</w:t>
      </w:r>
    </w:p>
    <w:p>
      <w:pPr>
        <w:pStyle w:val="4"/>
        <w:numPr>
          <w:ilvl w:val="0"/>
          <w:numId w:val="0"/>
        </w:numPr>
        <w:spacing w:line="240" w:lineRule="auto"/>
        <w:ind w:firstLine="640" w:firstLineChars="200"/>
        <w:rPr>
          <w:rFonts w:ascii="Times New Roman" w:hAnsi="Times New Roman" w:eastAsia="方正仿宋_GBK"/>
          <w:b w:val="0"/>
          <w:bCs w:val="0"/>
          <w:sz w:val="32"/>
        </w:rPr>
      </w:pPr>
      <w:r>
        <w:rPr>
          <w:rFonts w:ascii="Times New Roman" w:hAnsi="Times New Roman" w:eastAsia="方正仿宋_GBK"/>
          <w:b w:val="0"/>
          <w:bCs w:val="0"/>
          <w:sz w:val="32"/>
        </w:rPr>
        <w:t>3.</w:t>
      </w:r>
      <w:r>
        <w:rPr>
          <w:rFonts w:hint="eastAsia" w:ascii="Times New Roman" w:hAnsi="Times New Roman" w:eastAsia="方正仿宋_GBK"/>
          <w:b w:val="0"/>
          <w:bCs w:val="0"/>
          <w:sz w:val="32"/>
        </w:rPr>
        <w:t>自然保护区的实验区</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自然保护区的实验区包括西山桫椤县级自然保护区的实验区。总面积为4.99 km</w:t>
      </w:r>
      <w:r>
        <w:rPr>
          <w:rFonts w:ascii="Times New Roman" w:hAnsi="Times New Roman" w:eastAsia="方正仿宋_GBK" w:cs="Cambria"/>
          <w:sz w:val="32"/>
          <w:szCs w:val="32"/>
        </w:rPr>
        <w:t>²</w:t>
      </w:r>
      <w:r>
        <w:rPr>
          <w:rFonts w:hint="eastAsia" w:ascii="Times New Roman" w:hAnsi="Times New Roman" w:eastAsia="方正仿宋_GBK" w:cs="方正仿宋_GBK"/>
          <w:sz w:val="32"/>
          <w:szCs w:val="32"/>
        </w:rPr>
        <w:t>。</w:t>
      </w:r>
    </w:p>
    <w:p>
      <w:pPr>
        <w:snapToGrid w:val="0"/>
        <w:rPr>
          <w:rFonts w:ascii="Times New Roman" w:hAnsi="Times New Roman" w:eastAsia="方正仿宋_GBK"/>
          <w:sz w:val="32"/>
          <w:szCs w:val="32"/>
        </w:rPr>
      </w:pPr>
    </w:p>
    <w:p>
      <w:pPr>
        <w:keepNext/>
        <w:jc w:val="center"/>
        <w:rPr>
          <w:rFonts w:ascii="Times New Roman" w:hAnsi="Times New Roman" w:eastAsia="方正仿宋_GBK"/>
          <w:sz w:val="32"/>
          <w:szCs w:val="32"/>
        </w:rPr>
      </w:pPr>
      <w:r>
        <w:rPr>
          <w:rFonts w:hint="eastAsia" w:ascii="Times New Roman" w:hAnsi="Times New Roman" w:eastAsia="方正仿宋_GBK"/>
          <w:sz w:val="32"/>
          <w:szCs w:val="32"/>
        </w:rPr>
        <w:drawing>
          <wp:inline distT="0" distB="0" distL="85090" distR="85090">
            <wp:extent cx="5544820" cy="314261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srcRect t="9884" b="9965"/>
                    <a:stretch>
                      <a:fillRect/>
                    </a:stretch>
                  </pic:blipFill>
                  <pic:spPr>
                    <a:xfrm>
                      <a:off x="0" y="0"/>
                      <a:ext cx="5544820" cy="3143214"/>
                    </a:xfrm>
                    <a:prstGeom prst="rect">
                      <a:avLst/>
                    </a:prstGeom>
                    <a:noFill/>
                    <a:ln w="9525" cap="flat" cmpd="sng">
                      <a:noFill/>
                      <a:prstDash val="solid"/>
                      <a:miter/>
                    </a:ln>
                  </pic:spPr>
                </pic:pic>
              </a:graphicData>
            </a:graphic>
          </wp:inline>
        </w:drawing>
      </w:r>
    </w:p>
    <w:p>
      <w:pPr>
        <w:pStyle w:val="11"/>
        <w:ind w:firstLine="0" w:firstLineChars="0"/>
        <w:jc w:val="center"/>
        <w:rPr>
          <w:rFonts w:ascii="Times New Roman" w:hAnsi="Times New Roman" w:eastAsia="方正仿宋_GBK"/>
          <w:sz w:val="32"/>
          <w:szCs w:val="32"/>
        </w:rPr>
      </w:pPr>
      <w:r>
        <w:rPr>
          <w:rFonts w:hint="eastAsia" w:ascii="Times New Roman" w:hAnsi="Times New Roman" w:eastAsia="方正仿宋_GBK"/>
          <w:sz w:val="32"/>
          <w:szCs w:val="32"/>
        </w:rPr>
        <w:t xml:space="preserve">图 </w:t>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STYLEREF 1 \s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5</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noBreakHyphen/>
      </w:r>
      <w:r>
        <w:rPr>
          <w:rFonts w:hint="eastAsia" w:ascii="Times New Roman" w:hAnsi="Times New Roman" w:eastAsia="方正仿宋_GBK"/>
          <w:sz w:val="32"/>
          <w:szCs w:val="32"/>
        </w:rPr>
        <w:t>9 自然保护区的实验区</w:t>
      </w:r>
    </w:p>
    <w:p>
      <w:pPr>
        <w:pStyle w:val="4"/>
        <w:numPr>
          <w:ilvl w:val="0"/>
          <w:numId w:val="0"/>
        </w:numPr>
        <w:spacing w:line="240" w:lineRule="auto"/>
        <w:ind w:firstLine="640" w:firstLineChars="200"/>
        <w:rPr>
          <w:rFonts w:ascii="Times New Roman" w:hAnsi="Times New Roman" w:eastAsia="方正仿宋_GBK"/>
          <w:b w:val="0"/>
          <w:bCs w:val="0"/>
          <w:sz w:val="32"/>
        </w:rPr>
      </w:pPr>
      <w:r>
        <w:rPr>
          <w:rFonts w:ascii="Times New Roman" w:hAnsi="Times New Roman" w:eastAsia="方正仿宋_GBK"/>
          <w:b w:val="0"/>
          <w:bCs w:val="0"/>
          <w:sz w:val="32"/>
        </w:rPr>
        <w:t>4.</w:t>
      </w:r>
      <w:r>
        <w:rPr>
          <w:rFonts w:hint="eastAsia" w:ascii="Times New Roman" w:hAnsi="Times New Roman" w:eastAsia="方正仿宋_GBK"/>
          <w:b w:val="0"/>
          <w:bCs w:val="0"/>
          <w:sz w:val="32"/>
        </w:rPr>
        <w:t>森林公园重要景点和核心景区以外的其他区域</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森林公园重要景点和核心景区以外的其他区域。主要包括玉龙山国家森林公园核心景区以外的区域。总面积为25 km</w:t>
      </w:r>
      <w:r>
        <w:rPr>
          <w:rFonts w:ascii="Times New Roman" w:hAnsi="Times New Roman" w:eastAsia="方正仿宋_GBK" w:cs="Cambria"/>
          <w:sz w:val="32"/>
          <w:szCs w:val="32"/>
        </w:rPr>
        <w:t>²</w:t>
      </w:r>
      <w:r>
        <w:rPr>
          <w:rFonts w:hint="eastAsia" w:ascii="Times New Roman" w:hAnsi="Times New Roman" w:eastAsia="方正仿宋_GBK" w:cs="方正仿宋_GBK"/>
          <w:sz w:val="32"/>
          <w:szCs w:val="32"/>
        </w:rPr>
        <w:t>。</w:t>
      </w:r>
    </w:p>
    <w:p>
      <w:pPr>
        <w:keepNext/>
        <w:jc w:val="center"/>
        <w:rPr>
          <w:rFonts w:ascii="Times New Roman" w:hAnsi="Times New Roman" w:eastAsia="方正仿宋_GBK"/>
          <w:sz w:val="32"/>
          <w:szCs w:val="32"/>
        </w:rPr>
      </w:pPr>
      <w:r>
        <w:rPr>
          <w:rFonts w:hint="eastAsia" w:ascii="Times New Roman" w:hAnsi="Times New Roman" w:eastAsia="方正仿宋_GBK"/>
          <w:sz w:val="32"/>
          <w:szCs w:val="32"/>
        </w:rPr>
        <w:drawing>
          <wp:inline distT="0" distB="0" distL="85090" distR="85090">
            <wp:extent cx="5544820" cy="31470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srcRect t="9869" b="9852"/>
                    <a:stretch>
                      <a:fillRect/>
                    </a:stretch>
                  </pic:blipFill>
                  <pic:spPr>
                    <a:xfrm>
                      <a:off x="0" y="0"/>
                      <a:ext cx="5544820" cy="3147134"/>
                    </a:xfrm>
                    <a:prstGeom prst="rect">
                      <a:avLst/>
                    </a:prstGeom>
                    <a:noFill/>
                    <a:ln w="9525" cap="flat" cmpd="sng">
                      <a:noFill/>
                      <a:prstDash val="solid"/>
                      <a:miter/>
                    </a:ln>
                  </pic:spPr>
                </pic:pic>
              </a:graphicData>
            </a:graphic>
          </wp:inline>
        </w:drawing>
      </w:r>
    </w:p>
    <w:p>
      <w:pPr>
        <w:pStyle w:val="11"/>
        <w:spacing w:line="240" w:lineRule="auto"/>
        <w:ind w:firstLine="0" w:firstLineChars="0"/>
        <w:jc w:val="center"/>
        <w:rPr>
          <w:rFonts w:ascii="Times New Roman" w:hAnsi="Times New Roman" w:eastAsia="方正仿宋_GBK"/>
          <w:sz w:val="32"/>
          <w:szCs w:val="32"/>
        </w:rPr>
      </w:pPr>
      <w:r>
        <w:rPr>
          <w:rFonts w:hint="eastAsia" w:ascii="Times New Roman" w:hAnsi="Times New Roman" w:eastAsia="方正仿宋_GBK"/>
          <w:sz w:val="32"/>
          <w:szCs w:val="32"/>
        </w:rPr>
        <w:t xml:space="preserve">图 </w:t>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STYLEREF 1 \s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5</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noBreakHyphen/>
      </w:r>
      <w:r>
        <w:rPr>
          <w:rFonts w:hint="eastAsia" w:ascii="Times New Roman" w:hAnsi="Times New Roman" w:eastAsia="方正仿宋_GBK"/>
          <w:sz w:val="32"/>
          <w:szCs w:val="32"/>
        </w:rPr>
        <w:t>10 森林公园核心景区以外区域分布图</w:t>
      </w:r>
    </w:p>
    <w:p>
      <w:pPr>
        <w:pStyle w:val="4"/>
        <w:numPr>
          <w:ilvl w:val="0"/>
          <w:numId w:val="0"/>
        </w:numPr>
        <w:spacing w:line="240" w:lineRule="auto"/>
        <w:ind w:firstLine="640" w:firstLineChars="200"/>
        <w:rPr>
          <w:rFonts w:ascii="Times New Roman" w:hAnsi="Times New Roman" w:eastAsia="方正仿宋_GBK"/>
          <w:b w:val="0"/>
          <w:bCs w:val="0"/>
          <w:sz w:val="32"/>
        </w:rPr>
      </w:pPr>
      <w:r>
        <w:rPr>
          <w:rFonts w:ascii="Times New Roman" w:hAnsi="Times New Roman" w:eastAsia="方正仿宋_GBK"/>
          <w:b w:val="0"/>
          <w:bCs w:val="0"/>
          <w:sz w:val="32"/>
        </w:rPr>
        <w:t>5.</w:t>
      </w:r>
      <w:r>
        <w:rPr>
          <w:rFonts w:hint="eastAsia" w:ascii="Times New Roman" w:hAnsi="Times New Roman" w:eastAsia="方正仿宋_GBK"/>
          <w:b w:val="0"/>
          <w:bCs w:val="0"/>
          <w:sz w:val="32"/>
        </w:rPr>
        <w:t>风景名胜区外围保护地带</w:t>
      </w:r>
    </w:p>
    <w:p>
      <w:pPr>
        <w:ind w:firstLine="640" w:firstLineChars="200"/>
        <w:rPr>
          <w:rFonts w:ascii="Times New Roman" w:hAnsi="Times New Roman"/>
        </w:rPr>
      </w:pPr>
      <w:r>
        <w:rPr>
          <w:rFonts w:hint="eastAsia" w:ascii="Times New Roman" w:hAnsi="Times New Roman" w:eastAsia="方正仿宋_GBK"/>
          <w:sz w:val="32"/>
          <w:szCs w:val="32"/>
        </w:rPr>
        <w:t>风景名胜区外围保护地带。主要指大足石刻市级风景名胜区的外围保护地带,根据大足石刻旅游开发区管委会提供的数据,该外围保护地带面积范围暂未划定,所涉范围面积以相应规划出台为准。</w:t>
      </w:r>
    </w:p>
    <w:p>
      <w:pPr>
        <w:pStyle w:val="3"/>
        <w:numPr>
          <w:ilvl w:val="0"/>
          <w:numId w:val="0"/>
        </w:numPr>
        <w:spacing w:line="240" w:lineRule="auto"/>
        <w:ind w:firstLine="640" w:firstLineChars="200"/>
        <w:rPr>
          <w:rFonts w:ascii="Times New Roman" w:hAnsi="Times New Roman" w:eastAsia="方正楷体_GBK"/>
          <w:b w:val="0"/>
          <w:bCs w:val="0"/>
          <w:sz w:val="32"/>
        </w:rPr>
      </w:pPr>
      <w:r>
        <w:rPr>
          <w:rFonts w:hint="eastAsia" w:ascii="Times New Roman" w:hAnsi="Times New Roman" w:eastAsia="方正楷体_GBK"/>
          <w:b w:val="0"/>
          <w:bCs w:val="0"/>
          <w:sz w:val="32"/>
        </w:rPr>
        <w:t>（三）畜禽养殖禁养区</w:t>
      </w:r>
      <w:bookmarkStart w:id="13" w:name="_Toc501875856"/>
      <w:r>
        <w:rPr>
          <w:rFonts w:hint="eastAsia" w:ascii="Times New Roman" w:hAnsi="Times New Roman" w:eastAsia="方正楷体_GBK"/>
          <w:b w:val="0"/>
          <w:bCs w:val="0"/>
          <w:sz w:val="32"/>
        </w:rPr>
        <w:t>、限养区划定结果</w:t>
      </w:r>
      <w:bookmarkEnd w:id="13"/>
      <w:r>
        <w:rPr>
          <w:rFonts w:ascii="Times New Roman" w:hAnsi="Times New Roman" w:eastAsia="方正楷体_GBK"/>
          <w:b w:val="0"/>
          <w:bCs w:val="0"/>
          <w:sz w:val="32"/>
        </w:rPr>
        <w:t>。</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按照上述禁养区和限养区的范围顺序进行叠加扣重,重叠面积不重复计算,大足区畜禽养殖禁养区、限养区总面积为283.37 km</w:t>
      </w:r>
      <w:r>
        <w:rPr>
          <w:rFonts w:ascii="Times New Roman" w:hAnsi="Times New Roman" w:eastAsia="方正仿宋_GBK" w:cs="Cambria"/>
          <w:sz w:val="32"/>
          <w:szCs w:val="32"/>
        </w:rPr>
        <w:t>²</w:t>
      </w:r>
      <w:r>
        <w:rPr>
          <w:rFonts w:hint="eastAsia" w:ascii="Times New Roman" w:hAnsi="Times New Roman" w:eastAsia="方正仿宋_GBK" w:cs="方正仿宋_GBK"/>
          <w:sz w:val="32"/>
          <w:szCs w:val="32"/>
        </w:rPr>
        <w:t>,占大足区幅员面积的19</w:t>
      </w:r>
      <w:r>
        <w:rPr>
          <w:rFonts w:hint="eastAsia" w:ascii="Times New Roman" w:hAnsi="Times New Roman" w:eastAsia="方正仿宋_GBK"/>
          <w:sz w:val="32"/>
          <w:szCs w:val="32"/>
        </w:rPr>
        <w:t>.75%,其中禁养区和限养区面积分别为172.03 km</w:t>
      </w:r>
      <w:r>
        <w:rPr>
          <w:rFonts w:ascii="Times New Roman" w:hAnsi="Times New Roman" w:eastAsia="方正仿宋_GBK" w:cs="Cambria"/>
          <w:sz w:val="32"/>
          <w:szCs w:val="32"/>
        </w:rPr>
        <w:t>²</w:t>
      </w:r>
      <w:r>
        <w:rPr>
          <w:rFonts w:hint="eastAsia" w:ascii="Times New Roman" w:hAnsi="Times New Roman" w:eastAsia="方正仿宋_GBK" w:cs="方正仿宋_GBK"/>
          <w:sz w:val="32"/>
          <w:szCs w:val="32"/>
        </w:rPr>
        <w:t>和</w:t>
      </w:r>
      <w:r>
        <w:rPr>
          <w:rFonts w:hint="eastAsia" w:ascii="Times New Roman" w:hAnsi="Times New Roman" w:eastAsia="方正仿宋_GBK"/>
          <w:sz w:val="32"/>
          <w:szCs w:val="32"/>
        </w:rPr>
        <w:t>111.34 km</w:t>
      </w:r>
      <w:r>
        <w:rPr>
          <w:rFonts w:ascii="Times New Roman" w:hAnsi="Times New Roman" w:eastAsia="方正仿宋_GBK" w:cs="Cambria"/>
          <w:sz w:val="32"/>
          <w:szCs w:val="32"/>
        </w:rPr>
        <w:t>²</w:t>
      </w:r>
      <w:r>
        <w:rPr>
          <w:rFonts w:hint="eastAsia" w:ascii="Times New Roman" w:hAnsi="Times New Roman" w:eastAsia="方正仿宋_GBK" w:cs="方正仿宋_GBK"/>
          <w:sz w:val="32"/>
          <w:szCs w:val="32"/>
        </w:rPr>
        <w:t>,分别占大足区幅员面积的</w:t>
      </w:r>
      <w:r>
        <w:rPr>
          <w:rFonts w:hint="eastAsia" w:ascii="Times New Roman" w:hAnsi="Times New Roman" w:eastAsia="方正仿宋_GBK"/>
          <w:sz w:val="32"/>
          <w:szCs w:val="32"/>
        </w:rPr>
        <w:t>11.99%、7.76%,各镇（街道）均有分布,共</w:t>
      </w:r>
      <w:r>
        <w:rPr>
          <w:rFonts w:ascii="Times New Roman" w:hAnsi="Times New Roman" w:eastAsia="方正仿宋_GBK"/>
          <w:sz w:val="32"/>
          <w:szCs w:val="32"/>
        </w:rPr>
        <w:t>60</w:t>
      </w:r>
      <w:r>
        <w:rPr>
          <w:rFonts w:hint="eastAsia" w:ascii="Times New Roman" w:hAnsi="Times New Roman" w:eastAsia="方正仿宋_GBK"/>
          <w:sz w:val="32"/>
          <w:szCs w:val="32"/>
        </w:rPr>
        <w:t>个独立斑块。</w:t>
      </w:r>
    </w:p>
    <w:p>
      <w:pPr>
        <w:keepNext/>
        <w:jc w:val="center"/>
        <w:rPr>
          <w:rFonts w:ascii="Times New Roman" w:hAnsi="Times New Roman" w:eastAsia="方正仿宋_GBK"/>
          <w:sz w:val="32"/>
          <w:szCs w:val="32"/>
        </w:rPr>
      </w:pPr>
      <w:r>
        <w:rPr>
          <w:rFonts w:ascii="Times New Roman" w:hAnsi="Times New Roman"/>
        </w:rPr>
        <w:drawing>
          <wp:anchor distT="0" distB="0" distL="114300" distR="114300" simplePos="0" relativeHeight="251659264" behindDoc="0" locked="0" layoutInCell="1" allowOverlap="1">
            <wp:simplePos x="0" y="0"/>
            <wp:positionH relativeFrom="column">
              <wp:posOffset>635</wp:posOffset>
            </wp:positionH>
            <wp:positionV relativeFrom="paragraph">
              <wp:posOffset>9525</wp:posOffset>
            </wp:positionV>
            <wp:extent cx="5616575" cy="5334000"/>
            <wp:effectExtent l="0" t="0" r="317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16575" cy="5334000"/>
                    </a:xfrm>
                    <a:prstGeom prst="rect">
                      <a:avLst/>
                    </a:prstGeom>
                  </pic:spPr>
                </pic:pic>
              </a:graphicData>
            </a:graphic>
          </wp:anchor>
        </w:drawing>
      </w:r>
      <w:r>
        <w:rPr>
          <w:rFonts w:hint="eastAsia" w:ascii="Times New Roman" w:hAnsi="Times New Roman" w:eastAsia="方正仿宋_GBK"/>
          <w:sz w:val="32"/>
          <w:szCs w:val="32"/>
        </w:rPr>
        <w:t xml:space="preserve">图 </w:t>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STYLEREF 1 \s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5</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noBreakHyphen/>
      </w:r>
      <w:r>
        <w:rPr>
          <w:rFonts w:hint="eastAsia" w:ascii="Times New Roman" w:hAnsi="Times New Roman" w:eastAsia="方正仿宋_GBK"/>
          <w:sz w:val="32"/>
          <w:szCs w:val="32"/>
        </w:rPr>
        <w:t>11畜禽养殖禁养区限养区空间分布图</w:t>
      </w:r>
    </w:p>
    <w:p>
      <w:pPr>
        <w:keepNext/>
        <w:jc w:val="center"/>
        <w:rPr>
          <w:rFonts w:hint="eastAsia" w:ascii="Times New Roman" w:hAnsi="Times New Roman" w:eastAsia="方正仿宋_GBK"/>
          <w:sz w:val="32"/>
          <w:szCs w:val="32"/>
        </w:rPr>
      </w:pPr>
    </w:p>
    <w:p>
      <w:pPr>
        <w:pStyle w:val="11"/>
        <w:keepNext/>
        <w:snapToGrid w:val="0"/>
        <w:ind w:firstLine="0" w:firstLineChars="0"/>
        <w:jc w:val="center"/>
        <w:rPr>
          <w:rFonts w:ascii="Times New Roman" w:hAnsi="Times New Roman" w:eastAsia="方正仿宋_GBK"/>
          <w:sz w:val="32"/>
          <w:szCs w:val="32"/>
        </w:rPr>
      </w:pPr>
      <w:r>
        <w:rPr>
          <w:rFonts w:hint="eastAsia" w:ascii="Times New Roman" w:hAnsi="Times New Roman" w:eastAsia="方正仿宋_GBK"/>
          <w:sz w:val="32"/>
          <w:szCs w:val="32"/>
        </w:rPr>
        <w:t xml:space="preserve">表 </w:t>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STYLEREF 1 \s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5</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noBreakHyphen/>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SEQ 表 \* ARABIC \s 1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5</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t xml:space="preserve"> 大足区畜禽养殖禁养区划分情况</w:t>
      </w:r>
    </w:p>
    <w:tbl>
      <w:tblPr>
        <w:tblStyle w:val="19"/>
        <w:tblW w:w="9356" w:type="dxa"/>
        <w:tblInd w:w="-176" w:type="dxa"/>
        <w:tblLayout w:type="fixed"/>
        <w:tblCellMar>
          <w:top w:w="0" w:type="dxa"/>
          <w:left w:w="108" w:type="dxa"/>
          <w:bottom w:w="0" w:type="dxa"/>
          <w:right w:w="108" w:type="dxa"/>
        </w:tblCellMar>
      </w:tblPr>
      <w:tblGrid>
        <w:gridCol w:w="1135"/>
        <w:gridCol w:w="6662"/>
        <w:gridCol w:w="1559"/>
      </w:tblGrid>
      <w:tr>
        <w:tblPrEx>
          <w:tblCellMar>
            <w:top w:w="0" w:type="dxa"/>
            <w:left w:w="108" w:type="dxa"/>
            <w:bottom w:w="0" w:type="dxa"/>
            <w:right w:w="108" w:type="dxa"/>
          </w:tblCellMar>
        </w:tblPrEx>
        <w:trPr>
          <w:trHeight w:val="288" w:hRule="atLeast"/>
        </w:trPr>
        <w:tc>
          <w:tcPr>
            <w:tcW w:w="1135"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划分结果</w:t>
            </w:r>
          </w:p>
        </w:tc>
        <w:tc>
          <w:tcPr>
            <w:tcW w:w="6662"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8"/>
                <w:szCs w:val="32"/>
              </w:rPr>
            </w:pPr>
            <w:bookmarkStart w:id="14" w:name="RANGE!B1:B11"/>
            <w:bookmarkEnd w:id="14"/>
            <w:r>
              <w:rPr>
                <w:rFonts w:hint="eastAsia" w:ascii="Times New Roman" w:hAnsi="Times New Roman" w:eastAsia="方正仿宋_GBK" w:cs="宋体"/>
                <w:color w:val="000000"/>
                <w:kern w:val="0"/>
                <w:sz w:val="28"/>
                <w:szCs w:val="32"/>
              </w:rPr>
              <w:t>构成类型</w:t>
            </w:r>
          </w:p>
        </w:tc>
        <w:tc>
          <w:tcPr>
            <w:tcW w:w="1559"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面积（km</w:t>
            </w:r>
            <w:r>
              <w:rPr>
                <w:rFonts w:hint="eastAsia" w:ascii="Times New Roman" w:hAnsi="Times New Roman" w:cs="宋体"/>
                <w:color w:val="000000"/>
                <w:kern w:val="0"/>
                <w:sz w:val="28"/>
                <w:szCs w:val="32"/>
              </w:rPr>
              <w:t>²</w:t>
            </w:r>
            <w:r>
              <w:rPr>
                <w:rFonts w:hint="eastAsia" w:ascii="Times New Roman" w:hAnsi="Times New Roman" w:eastAsia="方正仿宋_GBK" w:cs="宋体"/>
                <w:color w:val="000000"/>
                <w:kern w:val="0"/>
                <w:sz w:val="28"/>
                <w:szCs w:val="32"/>
              </w:rPr>
              <w:t>）</w:t>
            </w:r>
          </w:p>
        </w:tc>
      </w:tr>
      <w:tr>
        <w:tblPrEx>
          <w:tblCellMar>
            <w:top w:w="0" w:type="dxa"/>
            <w:left w:w="108" w:type="dxa"/>
            <w:bottom w:w="0" w:type="dxa"/>
            <w:right w:w="108" w:type="dxa"/>
          </w:tblCellMar>
        </w:tblPrEx>
        <w:trPr>
          <w:trHeight w:val="288" w:hRule="atLeast"/>
        </w:trPr>
        <w:tc>
          <w:tcPr>
            <w:tcW w:w="1135"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禁养区</w:t>
            </w:r>
          </w:p>
        </w:tc>
        <w:tc>
          <w:tcPr>
            <w:tcW w:w="6662"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饮用水水源保护区</w:t>
            </w:r>
          </w:p>
        </w:tc>
        <w:tc>
          <w:tcPr>
            <w:tcW w:w="1559"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 xml:space="preserve">29.73 </w:t>
            </w:r>
          </w:p>
        </w:tc>
      </w:tr>
      <w:tr>
        <w:tblPrEx>
          <w:tblCellMar>
            <w:top w:w="0" w:type="dxa"/>
            <w:left w:w="108" w:type="dxa"/>
            <w:bottom w:w="0" w:type="dxa"/>
            <w:right w:w="108" w:type="dxa"/>
          </w:tblCellMar>
        </w:tblPrEx>
        <w:trPr>
          <w:trHeight w:val="288" w:hRule="atLeast"/>
        </w:trPr>
        <w:tc>
          <w:tcPr>
            <w:tcW w:w="113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rPr>
                <w:rFonts w:ascii="Times New Roman" w:hAnsi="Times New Roman"/>
              </w:rPr>
            </w:pPr>
          </w:p>
        </w:tc>
        <w:tc>
          <w:tcPr>
            <w:tcW w:w="6662"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自然保护区核心区、缓冲区</w:t>
            </w:r>
          </w:p>
        </w:tc>
        <w:tc>
          <w:tcPr>
            <w:tcW w:w="1559"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 xml:space="preserve">4.86 </w:t>
            </w:r>
          </w:p>
        </w:tc>
      </w:tr>
      <w:tr>
        <w:tblPrEx>
          <w:tblCellMar>
            <w:top w:w="0" w:type="dxa"/>
            <w:left w:w="108" w:type="dxa"/>
            <w:bottom w:w="0" w:type="dxa"/>
            <w:right w:w="108" w:type="dxa"/>
          </w:tblCellMar>
        </w:tblPrEx>
        <w:trPr>
          <w:trHeight w:val="288" w:hRule="atLeast"/>
        </w:trPr>
        <w:tc>
          <w:tcPr>
            <w:tcW w:w="113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rPr>
                <w:rFonts w:ascii="Times New Roman" w:hAnsi="Times New Roman"/>
              </w:rPr>
            </w:pPr>
          </w:p>
        </w:tc>
        <w:tc>
          <w:tcPr>
            <w:tcW w:w="6662"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风景名胜区</w:t>
            </w:r>
          </w:p>
        </w:tc>
        <w:tc>
          <w:tcPr>
            <w:tcW w:w="1559"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 xml:space="preserve">70.84 </w:t>
            </w:r>
          </w:p>
        </w:tc>
      </w:tr>
      <w:tr>
        <w:tblPrEx>
          <w:tblCellMar>
            <w:top w:w="0" w:type="dxa"/>
            <w:left w:w="108" w:type="dxa"/>
            <w:bottom w:w="0" w:type="dxa"/>
            <w:right w:w="108" w:type="dxa"/>
          </w:tblCellMar>
        </w:tblPrEx>
        <w:trPr>
          <w:trHeight w:val="288" w:hRule="atLeast"/>
        </w:trPr>
        <w:tc>
          <w:tcPr>
            <w:tcW w:w="113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rPr>
                <w:rFonts w:ascii="Times New Roman" w:hAnsi="Times New Roman"/>
              </w:rPr>
            </w:pPr>
          </w:p>
        </w:tc>
        <w:tc>
          <w:tcPr>
            <w:tcW w:w="6662"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森林公园核心景区</w:t>
            </w:r>
          </w:p>
        </w:tc>
        <w:tc>
          <w:tcPr>
            <w:tcW w:w="1559"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 xml:space="preserve">4.46 </w:t>
            </w:r>
          </w:p>
        </w:tc>
      </w:tr>
      <w:tr>
        <w:tblPrEx>
          <w:tblCellMar>
            <w:top w:w="0" w:type="dxa"/>
            <w:left w:w="108" w:type="dxa"/>
            <w:bottom w:w="0" w:type="dxa"/>
            <w:right w:w="108" w:type="dxa"/>
          </w:tblCellMar>
        </w:tblPrEx>
        <w:trPr>
          <w:trHeight w:val="288" w:hRule="atLeast"/>
        </w:trPr>
        <w:tc>
          <w:tcPr>
            <w:tcW w:w="113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rPr>
                <w:rFonts w:ascii="Times New Roman" w:hAnsi="Times New Roman"/>
              </w:rPr>
            </w:pPr>
          </w:p>
        </w:tc>
        <w:tc>
          <w:tcPr>
            <w:tcW w:w="6662"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城镇居民区和文化教育科学研究区</w:t>
            </w:r>
          </w:p>
        </w:tc>
        <w:tc>
          <w:tcPr>
            <w:tcW w:w="1559"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 xml:space="preserve">50.69 </w:t>
            </w:r>
          </w:p>
        </w:tc>
      </w:tr>
      <w:tr>
        <w:tblPrEx>
          <w:tblCellMar>
            <w:top w:w="0" w:type="dxa"/>
            <w:left w:w="108" w:type="dxa"/>
            <w:bottom w:w="0" w:type="dxa"/>
            <w:right w:w="108" w:type="dxa"/>
          </w:tblCellMar>
        </w:tblPrEx>
        <w:trPr>
          <w:trHeight w:val="288" w:hRule="atLeast"/>
        </w:trPr>
        <w:tc>
          <w:tcPr>
            <w:tcW w:w="113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rPr>
                <w:rFonts w:ascii="Times New Roman" w:hAnsi="Times New Roman"/>
              </w:rPr>
            </w:pPr>
          </w:p>
        </w:tc>
        <w:tc>
          <w:tcPr>
            <w:tcW w:w="6662"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执行Ⅰ类、Ⅱ类水质标准的水域及其200米内的陆域</w:t>
            </w:r>
          </w:p>
        </w:tc>
        <w:tc>
          <w:tcPr>
            <w:tcW w:w="1559"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 xml:space="preserve">11.45 </w:t>
            </w:r>
          </w:p>
        </w:tc>
      </w:tr>
      <w:tr>
        <w:tblPrEx>
          <w:tblCellMar>
            <w:top w:w="0" w:type="dxa"/>
            <w:left w:w="108" w:type="dxa"/>
            <w:bottom w:w="0" w:type="dxa"/>
            <w:right w:w="108" w:type="dxa"/>
          </w:tblCellMar>
        </w:tblPrEx>
        <w:trPr>
          <w:trHeight w:val="288" w:hRule="atLeast"/>
        </w:trPr>
        <w:tc>
          <w:tcPr>
            <w:tcW w:w="1135"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限养区</w:t>
            </w:r>
          </w:p>
        </w:tc>
        <w:tc>
          <w:tcPr>
            <w:tcW w:w="6662"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城市规划区及规划区以外的居民集中区、医疗区、文教科研区、工业区</w:t>
            </w:r>
          </w:p>
        </w:tc>
        <w:tc>
          <w:tcPr>
            <w:tcW w:w="1559"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 xml:space="preserve">43.39 </w:t>
            </w:r>
          </w:p>
        </w:tc>
      </w:tr>
      <w:tr>
        <w:tblPrEx>
          <w:tblCellMar>
            <w:top w:w="0" w:type="dxa"/>
            <w:left w:w="108" w:type="dxa"/>
            <w:bottom w:w="0" w:type="dxa"/>
            <w:right w:w="108" w:type="dxa"/>
          </w:tblCellMar>
        </w:tblPrEx>
        <w:trPr>
          <w:trHeight w:val="288" w:hRule="atLeast"/>
        </w:trPr>
        <w:tc>
          <w:tcPr>
            <w:tcW w:w="113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rPr>
                <w:rFonts w:ascii="Times New Roman" w:hAnsi="Times New Roman"/>
              </w:rPr>
            </w:pPr>
          </w:p>
        </w:tc>
        <w:tc>
          <w:tcPr>
            <w:tcW w:w="6662"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执行Ⅲ类水质标准的水域及其200米内的陆域</w:t>
            </w:r>
          </w:p>
        </w:tc>
        <w:tc>
          <w:tcPr>
            <w:tcW w:w="1559"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 xml:space="preserve">63.52 </w:t>
            </w:r>
          </w:p>
        </w:tc>
      </w:tr>
      <w:tr>
        <w:tblPrEx>
          <w:tblCellMar>
            <w:top w:w="0" w:type="dxa"/>
            <w:left w:w="108" w:type="dxa"/>
            <w:bottom w:w="0" w:type="dxa"/>
            <w:right w:w="108" w:type="dxa"/>
          </w:tblCellMar>
        </w:tblPrEx>
        <w:trPr>
          <w:trHeight w:val="288" w:hRule="atLeast"/>
        </w:trPr>
        <w:tc>
          <w:tcPr>
            <w:tcW w:w="113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rPr>
                <w:rFonts w:ascii="Times New Roman" w:hAnsi="Times New Roman"/>
              </w:rPr>
            </w:pPr>
          </w:p>
        </w:tc>
        <w:tc>
          <w:tcPr>
            <w:tcW w:w="6662"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自然保护区实验区</w:t>
            </w:r>
          </w:p>
        </w:tc>
        <w:tc>
          <w:tcPr>
            <w:tcW w:w="1559"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 xml:space="preserve">0.16 </w:t>
            </w:r>
          </w:p>
        </w:tc>
      </w:tr>
      <w:tr>
        <w:tblPrEx>
          <w:tblCellMar>
            <w:top w:w="0" w:type="dxa"/>
            <w:left w:w="108" w:type="dxa"/>
            <w:bottom w:w="0" w:type="dxa"/>
            <w:right w:w="108" w:type="dxa"/>
          </w:tblCellMar>
        </w:tblPrEx>
        <w:trPr>
          <w:trHeight w:val="288" w:hRule="atLeast"/>
        </w:trPr>
        <w:tc>
          <w:tcPr>
            <w:tcW w:w="1135" w:type="dxa"/>
            <w:vMerge w:val="continue"/>
            <w:tcBorders>
              <w:top w:val="nil"/>
              <w:left w:val="single" w:color="auto" w:sz="4" w:space="0"/>
              <w:bottom w:val="single" w:color="auto" w:sz="4" w:space="0"/>
              <w:right w:val="single" w:color="auto" w:sz="4" w:space="0"/>
              <w:tl2br w:val="nil"/>
              <w:tr2bl w:val="nil"/>
            </w:tcBorders>
            <w:vAlign w:val="center"/>
          </w:tcPr>
          <w:p>
            <w:pPr>
              <w:rPr>
                <w:rFonts w:ascii="Times New Roman" w:hAnsi="Times New Roman"/>
              </w:rPr>
            </w:pPr>
          </w:p>
        </w:tc>
        <w:tc>
          <w:tcPr>
            <w:tcW w:w="6662"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森林公园核心景区以外区域</w:t>
            </w:r>
          </w:p>
        </w:tc>
        <w:tc>
          <w:tcPr>
            <w:tcW w:w="1559" w:type="dxa"/>
            <w:tcBorders>
              <w:top w:val="single" w:color="auto" w:sz="4" w:space="0"/>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 xml:space="preserve">4.28 </w:t>
            </w:r>
          </w:p>
        </w:tc>
      </w:tr>
      <w:tr>
        <w:tblPrEx>
          <w:tblCellMar>
            <w:top w:w="0" w:type="dxa"/>
            <w:left w:w="108" w:type="dxa"/>
            <w:bottom w:w="0" w:type="dxa"/>
            <w:right w:w="108" w:type="dxa"/>
          </w:tblCellMar>
        </w:tblPrEx>
        <w:trPr>
          <w:trHeight w:val="288" w:hRule="atLeast"/>
        </w:trPr>
        <w:tc>
          <w:tcPr>
            <w:tcW w:w="1135"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总计</w:t>
            </w:r>
          </w:p>
        </w:tc>
        <w:tc>
          <w:tcPr>
            <w:tcW w:w="6662"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8"/>
                <w:szCs w:val="32"/>
              </w:rPr>
            </w:pPr>
          </w:p>
        </w:tc>
        <w:tc>
          <w:tcPr>
            <w:tcW w:w="1559"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8"/>
                <w:szCs w:val="32"/>
              </w:rPr>
            </w:pPr>
            <w:r>
              <w:rPr>
                <w:rFonts w:hint="eastAsia" w:ascii="Times New Roman" w:hAnsi="Times New Roman" w:eastAsia="方正仿宋_GBK" w:cs="宋体"/>
                <w:color w:val="000000"/>
                <w:kern w:val="0"/>
                <w:sz w:val="28"/>
                <w:szCs w:val="32"/>
              </w:rPr>
              <w:t>283.37</w:t>
            </w:r>
          </w:p>
        </w:tc>
      </w:tr>
    </w:tbl>
    <w:p>
      <w:pPr>
        <w:snapToGrid w:val="0"/>
        <w:rPr>
          <w:rFonts w:ascii="Times New Roman" w:hAnsi="Times New Roman" w:eastAsia="方正仿宋_GBK"/>
          <w:sz w:val="32"/>
          <w:szCs w:val="32"/>
        </w:rPr>
      </w:pPr>
    </w:p>
    <w:p>
      <w:pPr>
        <w:pStyle w:val="11"/>
        <w:keepNext/>
        <w:snapToGrid w:val="0"/>
        <w:ind w:firstLine="0" w:firstLineChars="0"/>
        <w:jc w:val="center"/>
        <w:rPr>
          <w:rFonts w:ascii="Times New Roman" w:hAnsi="Times New Roman" w:eastAsia="方正仿宋_GBK"/>
          <w:sz w:val="32"/>
          <w:szCs w:val="32"/>
        </w:rPr>
      </w:pPr>
      <w:r>
        <w:rPr>
          <w:rFonts w:hint="eastAsia" w:ascii="Times New Roman" w:hAnsi="Times New Roman" w:eastAsia="方正仿宋_GBK"/>
          <w:sz w:val="32"/>
          <w:szCs w:val="32"/>
        </w:rPr>
        <w:t xml:space="preserve">表 </w:t>
      </w: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STYLEREF 1 \s </w:instrText>
      </w:r>
      <w:r>
        <w:rPr>
          <w:rFonts w:hint="eastAsia" w:ascii="Times New Roman" w:hAnsi="Times New Roman" w:eastAsia="方正仿宋_GBK"/>
          <w:sz w:val="32"/>
          <w:szCs w:val="32"/>
        </w:rPr>
        <w:fldChar w:fldCharType="separate"/>
      </w:r>
      <w:r>
        <w:rPr>
          <w:rFonts w:ascii="Times New Roman" w:hAnsi="Times New Roman" w:eastAsia="方正仿宋_GBK"/>
          <w:sz w:val="32"/>
          <w:szCs w:val="32"/>
        </w:rPr>
        <w:t>5</w:t>
      </w:r>
      <w:r>
        <w:rPr>
          <w:rFonts w:hint="eastAsia" w:ascii="Times New Roman" w:hAnsi="Times New Roman" w:eastAsia="方正仿宋_GBK"/>
          <w:sz w:val="32"/>
          <w:szCs w:val="32"/>
        </w:rPr>
        <w:fldChar w:fldCharType="end"/>
      </w:r>
      <w:r>
        <w:rPr>
          <w:rFonts w:hint="eastAsia" w:ascii="Times New Roman" w:hAnsi="Times New Roman" w:eastAsia="方正仿宋_GBK"/>
          <w:sz w:val="32"/>
          <w:szCs w:val="32"/>
        </w:rPr>
        <w:noBreakHyphen/>
      </w:r>
      <w:r>
        <w:rPr>
          <w:rFonts w:ascii="Times New Roman" w:hAnsi="Times New Roman" w:eastAsia="方正仿宋_GBK"/>
          <w:sz w:val="32"/>
          <w:szCs w:val="32"/>
        </w:rPr>
        <w:t>6</w:t>
      </w:r>
      <w:r>
        <w:rPr>
          <w:rFonts w:hint="eastAsia" w:ascii="Times New Roman" w:hAnsi="Times New Roman" w:eastAsia="方正仿宋_GBK"/>
          <w:sz w:val="32"/>
          <w:szCs w:val="32"/>
        </w:rPr>
        <w:t xml:space="preserve"> 各镇（街道）畜禽养殖区域划分分布情况</w:t>
      </w:r>
    </w:p>
    <w:tbl>
      <w:tblPr>
        <w:tblStyle w:val="19"/>
        <w:tblW w:w="8947" w:type="dxa"/>
        <w:tblInd w:w="0" w:type="dxa"/>
        <w:tblLayout w:type="fixed"/>
        <w:tblCellMar>
          <w:top w:w="0" w:type="dxa"/>
          <w:left w:w="108" w:type="dxa"/>
          <w:bottom w:w="0" w:type="dxa"/>
          <w:right w:w="108" w:type="dxa"/>
        </w:tblCellMar>
      </w:tblPr>
      <w:tblGrid>
        <w:gridCol w:w="1526"/>
        <w:gridCol w:w="1090"/>
        <w:gridCol w:w="1320"/>
        <w:gridCol w:w="1296"/>
        <w:gridCol w:w="1310"/>
        <w:gridCol w:w="1018"/>
        <w:gridCol w:w="1387"/>
      </w:tblGrid>
      <w:tr>
        <w:tblPrEx>
          <w:tblCellMar>
            <w:top w:w="0" w:type="dxa"/>
            <w:left w:w="108" w:type="dxa"/>
            <w:bottom w:w="0" w:type="dxa"/>
            <w:right w:w="108" w:type="dxa"/>
          </w:tblCellMar>
        </w:tblPrEx>
        <w:trPr>
          <w:trHeight w:val="288" w:hRule="atLeast"/>
        </w:trPr>
        <w:tc>
          <w:tcPr>
            <w:tcW w:w="1526" w:type="dxa"/>
            <w:tcBorders>
              <w:top w:val="single" w:color="auto" w:sz="4" w:space="0"/>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镇（街道）</w:t>
            </w:r>
          </w:p>
        </w:tc>
        <w:tc>
          <w:tcPr>
            <w:tcW w:w="1090"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禁养区面积（km</w:t>
            </w:r>
            <w:r>
              <w:rPr>
                <w:rFonts w:hint="eastAsia" w:ascii="Times New Roman" w:hAnsi="Times New Roman" w:cs="宋体"/>
                <w:color w:val="000000"/>
                <w:kern w:val="0"/>
                <w:sz w:val="24"/>
                <w:szCs w:val="32"/>
              </w:rPr>
              <w:t>²</w:t>
            </w:r>
            <w:r>
              <w:rPr>
                <w:rFonts w:hint="eastAsia" w:ascii="Times New Roman" w:hAnsi="Times New Roman" w:eastAsia="方正仿宋_GBK" w:cs="宋体"/>
                <w:color w:val="000000"/>
                <w:kern w:val="0"/>
                <w:sz w:val="24"/>
                <w:szCs w:val="32"/>
              </w:rPr>
              <w:t>）</w:t>
            </w:r>
          </w:p>
        </w:tc>
        <w:tc>
          <w:tcPr>
            <w:tcW w:w="1320"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占幅员面积比例（%）</w:t>
            </w:r>
          </w:p>
        </w:tc>
        <w:tc>
          <w:tcPr>
            <w:tcW w:w="1296"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限养区面积（km</w:t>
            </w:r>
            <w:r>
              <w:rPr>
                <w:rFonts w:hint="eastAsia" w:ascii="Times New Roman" w:hAnsi="Times New Roman" w:cs="宋体"/>
                <w:color w:val="000000"/>
                <w:kern w:val="0"/>
                <w:sz w:val="24"/>
                <w:szCs w:val="32"/>
              </w:rPr>
              <w:t>²</w:t>
            </w:r>
            <w:r>
              <w:rPr>
                <w:rFonts w:hint="eastAsia" w:ascii="Times New Roman" w:hAnsi="Times New Roman" w:eastAsia="方正仿宋_GBK" w:cs="宋体"/>
                <w:color w:val="000000"/>
                <w:kern w:val="0"/>
                <w:sz w:val="24"/>
                <w:szCs w:val="32"/>
              </w:rPr>
              <w:t>）</w:t>
            </w:r>
          </w:p>
        </w:tc>
        <w:tc>
          <w:tcPr>
            <w:tcW w:w="1310"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占幅员面积比例（</w:t>
            </w:r>
            <w:r>
              <w:rPr>
                <w:rFonts w:ascii="Times New Roman" w:hAnsi="Times New Roman" w:eastAsia="方正仿宋_GBK" w:cs="宋体"/>
                <w:color w:val="000000"/>
                <w:kern w:val="0"/>
                <w:sz w:val="24"/>
                <w:szCs w:val="32"/>
              </w:rPr>
              <w:t>%</w:t>
            </w:r>
            <w:r>
              <w:rPr>
                <w:rFonts w:hint="eastAsia" w:ascii="Times New Roman" w:hAnsi="Times New Roman" w:eastAsia="方正仿宋_GBK" w:cs="宋体"/>
                <w:color w:val="000000"/>
                <w:kern w:val="0"/>
                <w:sz w:val="24"/>
                <w:szCs w:val="32"/>
              </w:rPr>
              <w:t>）</w:t>
            </w:r>
          </w:p>
        </w:tc>
        <w:tc>
          <w:tcPr>
            <w:tcW w:w="1018"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总面积（km</w:t>
            </w:r>
            <w:r>
              <w:rPr>
                <w:rFonts w:hint="eastAsia" w:ascii="Times New Roman" w:hAnsi="Times New Roman" w:cs="宋体"/>
                <w:color w:val="000000"/>
                <w:kern w:val="0"/>
                <w:sz w:val="24"/>
                <w:szCs w:val="32"/>
              </w:rPr>
              <w:t>²</w:t>
            </w:r>
            <w:r>
              <w:rPr>
                <w:rFonts w:hint="eastAsia" w:ascii="Times New Roman" w:hAnsi="Times New Roman" w:eastAsia="方正仿宋_GBK" w:cs="宋体"/>
                <w:color w:val="000000"/>
                <w:kern w:val="0"/>
                <w:sz w:val="24"/>
                <w:szCs w:val="32"/>
              </w:rPr>
              <w:t>）</w:t>
            </w:r>
          </w:p>
        </w:tc>
        <w:tc>
          <w:tcPr>
            <w:tcW w:w="1387" w:type="dxa"/>
            <w:tcBorders>
              <w:top w:val="single" w:color="auto" w:sz="4" w:space="0"/>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占幅员面积比例（%）</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棠香街道</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10.13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19.77</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5.06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9.87</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15.19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29.64</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龙岗街道</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5.77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12.92</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4.31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9.65</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10.07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22.57</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通桥街道</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10.20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55.16</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2.99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16.16</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13.19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71.31</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智凤街道</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2.93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4.33</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5.24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7.73</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8.18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12.06</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双路街道</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7.15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57.14</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1.94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15.52</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9.10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72.65</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龙滩子街道</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5.78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49.64</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2.09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17.95</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7.87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67.59</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宝顶镇</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26.96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40.63</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2.21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3.33</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29.17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43.96</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宝兴镇</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1.29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2.21</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3.60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6.15</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4.89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8.36</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高坪镇</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0.41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0.79</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1.18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2.30</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1.59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3.09</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高升镇</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0.64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1.29</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0.44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0.90</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1.08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2.19</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古龙镇</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0.14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0.78</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0.31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1.79</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0.45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2.57</w:t>
            </w:r>
          </w:p>
        </w:tc>
      </w:tr>
      <w:tr>
        <w:tblPrEx>
          <w:tblCellMar>
            <w:top w:w="0" w:type="dxa"/>
            <w:left w:w="108" w:type="dxa"/>
            <w:bottom w:w="0" w:type="dxa"/>
            <w:right w:w="108" w:type="dxa"/>
          </w:tblCellMar>
        </w:tblPrEx>
        <w:trPr>
          <w:trHeight w:val="288" w:hRule="atLeast"/>
        </w:trPr>
        <w:tc>
          <w:tcPr>
            <w:tcW w:w="1526"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国梁镇</w:t>
            </w:r>
          </w:p>
        </w:tc>
        <w:tc>
          <w:tcPr>
            <w:tcW w:w="1090"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0.12 </w:t>
            </w:r>
          </w:p>
        </w:tc>
        <w:tc>
          <w:tcPr>
            <w:tcW w:w="1320"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0.31</w:t>
            </w:r>
          </w:p>
        </w:tc>
        <w:tc>
          <w:tcPr>
            <w:tcW w:w="1296"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0.40 </w:t>
            </w:r>
          </w:p>
        </w:tc>
        <w:tc>
          <w:tcPr>
            <w:tcW w:w="1310"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1.06</w:t>
            </w:r>
          </w:p>
        </w:tc>
        <w:tc>
          <w:tcPr>
            <w:tcW w:w="1018"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0.51 </w:t>
            </w:r>
          </w:p>
        </w:tc>
        <w:tc>
          <w:tcPr>
            <w:tcW w:w="1387"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1.37</w:t>
            </w:r>
          </w:p>
        </w:tc>
      </w:tr>
      <w:tr>
        <w:tblPrEx>
          <w:tblCellMar>
            <w:top w:w="0" w:type="dxa"/>
            <w:left w:w="108" w:type="dxa"/>
            <w:bottom w:w="0" w:type="dxa"/>
            <w:right w:w="108" w:type="dxa"/>
          </w:tblCellMar>
        </w:tblPrEx>
        <w:trPr>
          <w:trHeight w:val="288" w:hRule="atLeast"/>
        </w:trPr>
        <w:tc>
          <w:tcPr>
            <w:tcW w:w="1526"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回龙镇</w:t>
            </w:r>
          </w:p>
        </w:tc>
        <w:tc>
          <w:tcPr>
            <w:tcW w:w="1090" w:type="dxa"/>
            <w:tcBorders>
              <w:top w:val="single" w:color="auto" w:sz="4" w:space="0"/>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2.76 </w:t>
            </w:r>
          </w:p>
        </w:tc>
        <w:tc>
          <w:tcPr>
            <w:tcW w:w="1320" w:type="dxa"/>
            <w:tcBorders>
              <w:top w:val="single" w:color="auto" w:sz="4" w:space="0"/>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5.38</w:t>
            </w:r>
          </w:p>
        </w:tc>
        <w:tc>
          <w:tcPr>
            <w:tcW w:w="1296" w:type="dxa"/>
            <w:tcBorders>
              <w:top w:val="single" w:color="auto" w:sz="4" w:space="0"/>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3.32 </w:t>
            </w:r>
          </w:p>
        </w:tc>
        <w:tc>
          <w:tcPr>
            <w:tcW w:w="1310" w:type="dxa"/>
            <w:tcBorders>
              <w:top w:val="single" w:color="auto" w:sz="4" w:space="0"/>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6.45</w:t>
            </w:r>
          </w:p>
        </w:tc>
        <w:tc>
          <w:tcPr>
            <w:tcW w:w="1018" w:type="dxa"/>
            <w:tcBorders>
              <w:top w:val="single" w:color="auto" w:sz="4" w:space="0"/>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6.08 </w:t>
            </w:r>
          </w:p>
        </w:tc>
        <w:tc>
          <w:tcPr>
            <w:tcW w:w="1387" w:type="dxa"/>
            <w:tcBorders>
              <w:top w:val="single" w:color="auto" w:sz="4" w:space="0"/>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11.82</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季家镇</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14.09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26.44</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0.67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1.26</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14.77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27.71</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金山镇</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0.92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2.63</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0.54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1.56</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1.46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4.19</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龙石镇</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0.31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0.99</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0.65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2.07</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0.96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3.05</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龙水镇</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12.22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12.38</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18.02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18.25</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30.24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30.63</w:t>
            </w:r>
          </w:p>
        </w:tc>
      </w:tr>
      <w:tr>
        <w:tblPrEx>
          <w:tblCellMar>
            <w:top w:w="0" w:type="dxa"/>
            <w:left w:w="108" w:type="dxa"/>
            <w:bottom w:w="0" w:type="dxa"/>
            <w:right w:w="108" w:type="dxa"/>
          </w:tblCellMar>
        </w:tblPrEx>
        <w:trPr>
          <w:trHeight w:val="288" w:hRule="atLeast"/>
        </w:trPr>
        <w:tc>
          <w:tcPr>
            <w:tcW w:w="1526"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三驱镇</w:t>
            </w:r>
          </w:p>
        </w:tc>
        <w:tc>
          <w:tcPr>
            <w:tcW w:w="1090"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4.09 </w:t>
            </w:r>
          </w:p>
        </w:tc>
        <w:tc>
          <w:tcPr>
            <w:tcW w:w="1320"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5.35</w:t>
            </w:r>
          </w:p>
        </w:tc>
        <w:tc>
          <w:tcPr>
            <w:tcW w:w="1296"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8.19 </w:t>
            </w:r>
          </w:p>
        </w:tc>
        <w:tc>
          <w:tcPr>
            <w:tcW w:w="1310"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10.71</w:t>
            </w:r>
          </w:p>
        </w:tc>
        <w:tc>
          <w:tcPr>
            <w:tcW w:w="1018"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12.29 </w:t>
            </w:r>
          </w:p>
        </w:tc>
        <w:tc>
          <w:tcPr>
            <w:tcW w:w="1387"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16.07</w:t>
            </w:r>
          </w:p>
        </w:tc>
      </w:tr>
      <w:tr>
        <w:tblPrEx>
          <w:tblCellMar>
            <w:top w:w="0" w:type="dxa"/>
            <w:left w:w="108" w:type="dxa"/>
            <w:bottom w:w="0" w:type="dxa"/>
            <w:right w:w="108" w:type="dxa"/>
          </w:tblCellMar>
        </w:tblPrEx>
        <w:trPr>
          <w:trHeight w:val="288" w:hRule="atLeast"/>
        </w:trPr>
        <w:tc>
          <w:tcPr>
            <w:tcW w:w="1526"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石马镇</w:t>
            </w:r>
          </w:p>
        </w:tc>
        <w:tc>
          <w:tcPr>
            <w:tcW w:w="1090"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9.87 </w:t>
            </w:r>
          </w:p>
        </w:tc>
        <w:tc>
          <w:tcPr>
            <w:tcW w:w="1320"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19.12</w:t>
            </w:r>
          </w:p>
        </w:tc>
        <w:tc>
          <w:tcPr>
            <w:tcW w:w="1296"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0.65 </w:t>
            </w:r>
          </w:p>
        </w:tc>
        <w:tc>
          <w:tcPr>
            <w:tcW w:w="1310"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1.27</w:t>
            </w:r>
          </w:p>
        </w:tc>
        <w:tc>
          <w:tcPr>
            <w:tcW w:w="1018"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10.53 </w:t>
            </w:r>
          </w:p>
        </w:tc>
        <w:tc>
          <w:tcPr>
            <w:tcW w:w="1387"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20.39</w:t>
            </w:r>
          </w:p>
        </w:tc>
      </w:tr>
      <w:tr>
        <w:tblPrEx>
          <w:tblCellMar>
            <w:top w:w="0" w:type="dxa"/>
            <w:left w:w="108" w:type="dxa"/>
            <w:bottom w:w="0" w:type="dxa"/>
            <w:right w:w="108" w:type="dxa"/>
          </w:tblCellMar>
        </w:tblPrEx>
        <w:trPr>
          <w:trHeight w:val="288" w:hRule="atLeast"/>
        </w:trPr>
        <w:tc>
          <w:tcPr>
            <w:tcW w:w="1526"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拾万镇</w:t>
            </w:r>
          </w:p>
        </w:tc>
        <w:tc>
          <w:tcPr>
            <w:tcW w:w="1090"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18.19 </w:t>
            </w:r>
          </w:p>
        </w:tc>
        <w:tc>
          <w:tcPr>
            <w:tcW w:w="1320"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36.42</w:t>
            </w:r>
          </w:p>
        </w:tc>
        <w:tc>
          <w:tcPr>
            <w:tcW w:w="1296"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5.86 </w:t>
            </w:r>
          </w:p>
        </w:tc>
        <w:tc>
          <w:tcPr>
            <w:tcW w:w="1310"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11.72</w:t>
            </w:r>
          </w:p>
        </w:tc>
        <w:tc>
          <w:tcPr>
            <w:tcW w:w="1018"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24.05 </w:t>
            </w:r>
          </w:p>
        </w:tc>
        <w:tc>
          <w:tcPr>
            <w:tcW w:w="1387"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48.14</w:t>
            </w:r>
          </w:p>
        </w:tc>
      </w:tr>
      <w:tr>
        <w:tblPrEx>
          <w:tblCellMar>
            <w:top w:w="0" w:type="dxa"/>
            <w:left w:w="108" w:type="dxa"/>
            <w:bottom w:w="0" w:type="dxa"/>
            <w:right w:w="108" w:type="dxa"/>
          </w:tblCellMar>
        </w:tblPrEx>
        <w:trPr>
          <w:trHeight w:val="288" w:hRule="atLeast"/>
        </w:trPr>
        <w:tc>
          <w:tcPr>
            <w:tcW w:w="1526"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铁山镇</w:t>
            </w:r>
          </w:p>
        </w:tc>
        <w:tc>
          <w:tcPr>
            <w:tcW w:w="1090"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0.99 </w:t>
            </w:r>
          </w:p>
        </w:tc>
        <w:tc>
          <w:tcPr>
            <w:tcW w:w="1320"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1.65</w:t>
            </w:r>
          </w:p>
        </w:tc>
        <w:tc>
          <w:tcPr>
            <w:tcW w:w="1296"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4.56 </w:t>
            </w:r>
          </w:p>
        </w:tc>
        <w:tc>
          <w:tcPr>
            <w:tcW w:w="1310"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7.61</w:t>
            </w:r>
          </w:p>
        </w:tc>
        <w:tc>
          <w:tcPr>
            <w:tcW w:w="1018"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5.55 </w:t>
            </w:r>
          </w:p>
        </w:tc>
        <w:tc>
          <w:tcPr>
            <w:tcW w:w="1387"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9.26</w:t>
            </w:r>
          </w:p>
        </w:tc>
      </w:tr>
      <w:tr>
        <w:tblPrEx>
          <w:tblCellMar>
            <w:top w:w="0" w:type="dxa"/>
            <w:left w:w="108" w:type="dxa"/>
            <w:bottom w:w="0" w:type="dxa"/>
            <w:right w:w="108" w:type="dxa"/>
          </w:tblCellMar>
        </w:tblPrEx>
        <w:trPr>
          <w:trHeight w:val="288" w:hRule="atLeast"/>
        </w:trPr>
        <w:tc>
          <w:tcPr>
            <w:tcW w:w="1526" w:type="dxa"/>
            <w:tcBorders>
              <w:top w:val="single" w:color="auto" w:sz="4" w:space="0"/>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万古镇</w:t>
            </w:r>
          </w:p>
        </w:tc>
        <w:tc>
          <w:tcPr>
            <w:tcW w:w="1090" w:type="dxa"/>
            <w:tcBorders>
              <w:top w:val="single" w:color="auto" w:sz="4" w:space="0"/>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9.17 </w:t>
            </w:r>
          </w:p>
        </w:tc>
        <w:tc>
          <w:tcPr>
            <w:tcW w:w="1320" w:type="dxa"/>
            <w:tcBorders>
              <w:top w:val="single" w:color="auto" w:sz="4" w:space="0"/>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13.75</w:t>
            </w:r>
          </w:p>
        </w:tc>
        <w:tc>
          <w:tcPr>
            <w:tcW w:w="1296" w:type="dxa"/>
            <w:tcBorders>
              <w:top w:val="single" w:color="auto" w:sz="4" w:space="0"/>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10.95 </w:t>
            </w:r>
          </w:p>
        </w:tc>
        <w:tc>
          <w:tcPr>
            <w:tcW w:w="1310" w:type="dxa"/>
            <w:tcBorders>
              <w:top w:val="single" w:color="auto" w:sz="4" w:space="0"/>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16.41</w:t>
            </w:r>
          </w:p>
        </w:tc>
        <w:tc>
          <w:tcPr>
            <w:tcW w:w="1018" w:type="dxa"/>
            <w:tcBorders>
              <w:top w:val="single" w:color="auto" w:sz="4" w:space="0"/>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20.12 </w:t>
            </w:r>
          </w:p>
        </w:tc>
        <w:tc>
          <w:tcPr>
            <w:tcW w:w="1387" w:type="dxa"/>
            <w:tcBorders>
              <w:top w:val="single" w:color="auto" w:sz="4" w:space="0"/>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30.16</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雍溪镇</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0.53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1.32</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4.24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10.59</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4.77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11.91</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邮亭镇</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6.04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6.52</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8.98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9.68</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15.02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16.20</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玉龙镇</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11.10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28.29</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5.49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14.00</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16.59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42.29</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中敖镇</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3.20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2.95</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5.23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4.81</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8.44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7.75</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珠溪镇</w:t>
            </w:r>
          </w:p>
        </w:tc>
        <w:tc>
          <w:tcPr>
            <w:tcW w:w="109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7.01 </w:t>
            </w:r>
          </w:p>
        </w:tc>
        <w:tc>
          <w:tcPr>
            <w:tcW w:w="132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7.53</w:t>
            </w:r>
          </w:p>
        </w:tc>
        <w:tc>
          <w:tcPr>
            <w:tcW w:w="1296"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4.22 </w:t>
            </w:r>
          </w:p>
        </w:tc>
        <w:tc>
          <w:tcPr>
            <w:tcW w:w="1310"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4.53</w:t>
            </w:r>
          </w:p>
        </w:tc>
        <w:tc>
          <w:tcPr>
            <w:tcW w:w="1018"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 xml:space="preserve">11.23 </w:t>
            </w:r>
          </w:p>
        </w:tc>
        <w:tc>
          <w:tcPr>
            <w:tcW w:w="1387" w:type="dxa"/>
            <w:tcBorders>
              <w:top w:val="nil"/>
              <w:left w:val="nil"/>
              <w:bottom w:val="single" w:color="auto" w:sz="4" w:space="0"/>
              <w:right w:val="single" w:color="auto" w:sz="4" w:space="0"/>
              <w:tl2br w:val="nil"/>
              <w:tr2bl w:val="nil"/>
            </w:tcBorders>
            <w:vAlign w:val="bottom"/>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29.64</w:t>
            </w:r>
          </w:p>
        </w:tc>
      </w:tr>
      <w:tr>
        <w:tblPrEx>
          <w:tblCellMar>
            <w:top w:w="0" w:type="dxa"/>
            <w:left w:w="108" w:type="dxa"/>
            <w:bottom w:w="0" w:type="dxa"/>
            <w:right w:w="108" w:type="dxa"/>
          </w:tblCellMar>
        </w:tblPrEx>
        <w:trPr>
          <w:trHeight w:val="288" w:hRule="atLeast"/>
        </w:trPr>
        <w:tc>
          <w:tcPr>
            <w:tcW w:w="1526" w:type="dxa"/>
            <w:tcBorders>
              <w:top w:val="nil"/>
              <w:left w:val="single" w:color="auto" w:sz="4" w:space="0"/>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总计</w:t>
            </w:r>
          </w:p>
        </w:tc>
        <w:tc>
          <w:tcPr>
            <w:tcW w:w="109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ascii="Times New Roman" w:hAnsi="Times New Roman" w:eastAsia="方正仿宋_GBK" w:cs="宋体"/>
                <w:color w:val="000000"/>
                <w:kern w:val="0"/>
                <w:sz w:val="24"/>
                <w:szCs w:val="32"/>
              </w:rPr>
              <w:t>172.03</w:t>
            </w:r>
          </w:p>
        </w:tc>
        <w:tc>
          <w:tcPr>
            <w:tcW w:w="132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ascii="Times New Roman" w:hAnsi="Times New Roman" w:eastAsia="方正仿宋_GBK" w:cs="宋体"/>
                <w:color w:val="000000"/>
                <w:kern w:val="0"/>
                <w:sz w:val="24"/>
                <w:szCs w:val="32"/>
              </w:rPr>
              <w:t>11.99</w:t>
            </w:r>
          </w:p>
        </w:tc>
        <w:tc>
          <w:tcPr>
            <w:tcW w:w="1296"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ascii="Times New Roman" w:hAnsi="Times New Roman" w:eastAsia="方正仿宋_GBK" w:cs="宋体"/>
                <w:color w:val="000000"/>
                <w:kern w:val="0"/>
                <w:sz w:val="24"/>
                <w:szCs w:val="32"/>
              </w:rPr>
              <w:t>111.34</w:t>
            </w:r>
          </w:p>
        </w:tc>
        <w:tc>
          <w:tcPr>
            <w:tcW w:w="1310"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ascii="Times New Roman" w:hAnsi="Times New Roman" w:eastAsia="方正仿宋_GBK" w:cs="宋体"/>
                <w:color w:val="000000"/>
                <w:kern w:val="0"/>
                <w:sz w:val="24"/>
                <w:szCs w:val="32"/>
              </w:rPr>
              <w:t>7.76</w:t>
            </w:r>
          </w:p>
        </w:tc>
        <w:tc>
          <w:tcPr>
            <w:tcW w:w="1018"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283.37</w:t>
            </w:r>
          </w:p>
        </w:tc>
        <w:tc>
          <w:tcPr>
            <w:tcW w:w="1387" w:type="dxa"/>
            <w:tcBorders>
              <w:top w:val="nil"/>
              <w:left w:val="nil"/>
              <w:bottom w:val="single" w:color="auto" w:sz="4" w:space="0"/>
              <w:right w:val="single" w:color="auto" w:sz="4" w:space="0"/>
              <w:tl2br w:val="nil"/>
              <w:tr2bl w:val="nil"/>
            </w:tcBorders>
            <w:vAlign w:val="center"/>
          </w:tcPr>
          <w:p>
            <w:pPr>
              <w:widowControl/>
              <w:snapToGrid w:val="0"/>
              <w:jc w:val="center"/>
              <w:rPr>
                <w:rFonts w:ascii="Times New Roman" w:hAnsi="Times New Roman" w:eastAsia="方正仿宋_GBK" w:cs="宋体"/>
                <w:color w:val="000000"/>
                <w:kern w:val="0"/>
                <w:sz w:val="24"/>
                <w:szCs w:val="32"/>
              </w:rPr>
            </w:pPr>
            <w:r>
              <w:rPr>
                <w:rFonts w:hint="eastAsia" w:ascii="Times New Roman" w:hAnsi="Times New Roman" w:eastAsia="方正仿宋_GBK" w:cs="宋体"/>
                <w:color w:val="000000"/>
                <w:kern w:val="0"/>
                <w:sz w:val="24"/>
                <w:szCs w:val="32"/>
              </w:rPr>
              <w:t>19.75</w:t>
            </w:r>
          </w:p>
        </w:tc>
      </w:tr>
    </w:tbl>
    <w:p>
      <w:pPr>
        <w:snapToGrid w:val="0"/>
        <w:rPr>
          <w:rFonts w:ascii="Times New Roman" w:hAnsi="Times New Roman" w:eastAsia="方正仿宋_GBK"/>
          <w:sz w:val="32"/>
          <w:szCs w:val="32"/>
        </w:rPr>
      </w:pPr>
    </w:p>
    <w:p>
      <w:pPr>
        <w:pStyle w:val="2"/>
        <w:numPr>
          <w:ilvl w:val="0"/>
          <w:numId w:val="0"/>
        </w:numPr>
        <w:spacing w:line="240" w:lineRule="auto"/>
        <w:ind w:firstLine="640" w:firstLineChars="200"/>
        <w:rPr>
          <w:rFonts w:ascii="Times New Roman" w:hAnsi="Times New Roman" w:eastAsia="方正黑体_GBK"/>
          <w:b w:val="0"/>
          <w:bCs w:val="0"/>
          <w:szCs w:val="32"/>
        </w:rPr>
      </w:pPr>
      <w:bookmarkStart w:id="15" w:name="_Toc501875857"/>
      <w:r>
        <w:rPr>
          <w:rFonts w:hint="eastAsia" w:ascii="Times New Roman" w:hAnsi="Times New Roman" w:eastAsia="方正黑体_GBK"/>
          <w:b w:val="0"/>
          <w:bCs w:val="0"/>
          <w:szCs w:val="32"/>
        </w:rPr>
        <w:t>六、组织实施</w:t>
      </w:r>
      <w:bookmarkEnd w:id="15"/>
    </w:p>
    <w:p>
      <w:pPr>
        <w:pStyle w:val="3"/>
        <w:numPr>
          <w:ilvl w:val="0"/>
          <w:numId w:val="0"/>
        </w:numPr>
        <w:spacing w:line="240" w:lineRule="auto"/>
        <w:ind w:firstLine="640" w:firstLineChars="200"/>
        <w:rPr>
          <w:rFonts w:ascii="Times New Roman" w:hAnsi="Times New Roman" w:eastAsia="方正楷体_GBK"/>
          <w:b w:val="0"/>
          <w:bCs w:val="0"/>
          <w:sz w:val="32"/>
        </w:rPr>
      </w:pPr>
      <w:bookmarkStart w:id="16" w:name="_Toc500506451"/>
      <w:bookmarkStart w:id="17" w:name="_Toc501875858"/>
      <w:r>
        <w:rPr>
          <w:rFonts w:hint="eastAsia" w:ascii="Times New Roman" w:hAnsi="Times New Roman" w:eastAsia="方正楷体_GBK"/>
          <w:b w:val="0"/>
          <w:bCs w:val="0"/>
          <w:sz w:val="32"/>
        </w:rPr>
        <w:t>（一）严把准入关口</w:t>
      </w:r>
      <w:bookmarkEnd w:id="16"/>
      <w:bookmarkEnd w:id="17"/>
      <w:r>
        <w:rPr>
          <w:rFonts w:hint="eastAsia" w:ascii="Times New Roman" w:hAnsi="Times New Roman" w:eastAsia="方正楷体_GBK"/>
          <w:b w:val="0"/>
          <w:bCs w:val="0"/>
          <w:sz w:val="32"/>
        </w:rPr>
        <w:t>。</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各镇（街道）应严格按照本方案,结合本辖区畜禽养殖业发展规划,把好畜禽规模养殖户发展关口,加强日常监督管理,实现畜禽养殖业健康、适度发展,严禁出现“先污染,后治理”现象。区发展改革、国土房管、规划、环保、农业等部门在规划、立项、审批畜禽养殖项目时,应根据本方案要求严格审批。严禁在禁养区和超过总量控制指标的限养区内新建、改建、扩建各类畜禽养殖场。</w:t>
      </w:r>
    </w:p>
    <w:p>
      <w:pPr>
        <w:pStyle w:val="3"/>
        <w:numPr>
          <w:ilvl w:val="0"/>
          <w:numId w:val="0"/>
        </w:numPr>
        <w:spacing w:line="240" w:lineRule="auto"/>
        <w:ind w:firstLine="640" w:firstLineChars="200"/>
        <w:rPr>
          <w:rFonts w:ascii="Times New Roman" w:hAnsi="Times New Roman" w:eastAsia="方正楷体_GBK"/>
          <w:b w:val="0"/>
          <w:bCs w:val="0"/>
          <w:sz w:val="32"/>
        </w:rPr>
      </w:pPr>
      <w:bookmarkStart w:id="18" w:name="_Toc501875859"/>
      <w:bookmarkStart w:id="19" w:name="_Toc500506452"/>
      <w:r>
        <w:rPr>
          <w:rFonts w:hint="eastAsia" w:ascii="Times New Roman" w:hAnsi="Times New Roman" w:eastAsia="方正楷体_GBK"/>
          <w:b w:val="0"/>
          <w:bCs w:val="0"/>
          <w:sz w:val="32"/>
        </w:rPr>
        <w:t>（二）开展污染整治</w:t>
      </w:r>
      <w:bookmarkEnd w:id="18"/>
      <w:bookmarkEnd w:id="19"/>
      <w:r>
        <w:rPr>
          <w:rFonts w:hint="eastAsia" w:ascii="Times New Roman" w:hAnsi="Times New Roman" w:eastAsia="方正楷体_GBK"/>
          <w:b w:val="0"/>
          <w:bCs w:val="0"/>
          <w:sz w:val="32"/>
        </w:rPr>
        <w:t>。</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禁养区内现有的畜禽养殖场应当按计划限期关停、转产或搬迁；因划定禁养区确需关闭或者搬迁的现有畜禽养殖场,致使畜禽养殖者遭受经济损失的,由区人民政府依法予以补偿,具体办法由区农业、环保部门提出。限养区内现有的畜禽养殖场必须配套建设畜禽养殖污染治理设施并保持正常运行。其他区域内的各类畜禽养殖场,必须满足区政府批准实施的畜禽养殖发展规划要</w:t>
      </w:r>
      <w:r>
        <w:rPr>
          <w:rFonts w:hint="eastAsia" w:ascii="Times New Roman" w:hAnsi="Times New Roman" w:eastAsia="方正仿宋_GBK"/>
          <w:spacing w:val="-6"/>
          <w:sz w:val="32"/>
          <w:szCs w:val="32"/>
        </w:rPr>
        <w:t>求,并按照建设项目环境保护管理规定采取有效的污染防治措施。</w:t>
      </w:r>
    </w:p>
    <w:p>
      <w:pPr>
        <w:pStyle w:val="3"/>
        <w:numPr>
          <w:ilvl w:val="0"/>
          <w:numId w:val="0"/>
        </w:numPr>
        <w:spacing w:line="240" w:lineRule="auto"/>
        <w:ind w:firstLine="640" w:firstLineChars="200"/>
        <w:rPr>
          <w:rFonts w:ascii="Times New Roman" w:hAnsi="Times New Roman" w:eastAsia="方正楷体_GBK"/>
          <w:b w:val="0"/>
          <w:bCs w:val="0"/>
          <w:sz w:val="32"/>
        </w:rPr>
      </w:pPr>
      <w:bookmarkStart w:id="20" w:name="_Toc501875860"/>
      <w:bookmarkStart w:id="21" w:name="_Toc500506453"/>
      <w:r>
        <w:rPr>
          <w:rFonts w:hint="eastAsia" w:ascii="Times New Roman" w:hAnsi="Times New Roman" w:eastAsia="方正楷体_GBK"/>
          <w:b w:val="0"/>
          <w:bCs w:val="0"/>
          <w:sz w:val="32"/>
        </w:rPr>
        <w:t>（三）落实监管责任</w:t>
      </w:r>
      <w:bookmarkEnd w:id="20"/>
      <w:bookmarkEnd w:id="21"/>
      <w:r>
        <w:rPr>
          <w:rFonts w:hint="eastAsia" w:ascii="Times New Roman" w:hAnsi="Times New Roman" w:eastAsia="方正楷体_GBK"/>
          <w:b w:val="0"/>
          <w:bCs w:val="0"/>
          <w:sz w:val="32"/>
        </w:rPr>
        <w:t>。</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把畜禽养殖区域划分方案执行情况纳入对各镇（街道）、相关职能部门落实环保责任目标考核内容。各镇（街道）和相关职能部门要落实工作责任、严格执行方案,定期通报工作情况、解决存在的问题,形成各司其职、各负其责、共同参与、齐抓共管的良好工作格局,坚决杜绝推诿扯皮、我行我素的现象。要采取通告等方式加强宣传,让人民群众了解、支持畜禽养殖区域划分工作,自觉遵守划分规定。</w:t>
      </w:r>
    </w:p>
    <w:p>
      <w:pPr>
        <w:pStyle w:val="3"/>
        <w:numPr>
          <w:ilvl w:val="0"/>
          <w:numId w:val="0"/>
        </w:numPr>
        <w:spacing w:line="240" w:lineRule="auto"/>
        <w:ind w:firstLine="640" w:firstLineChars="200"/>
        <w:rPr>
          <w:rFonts w:ascii="Times New Roman" w:hAnsi="Times New Roman" w:eastAsia="方正楷体_GBK"/>
          <w:b w:val="0"/>
          <w:bCs w:val="0"/>
          <w:sz w:val="32"/>
        </w:rPr>
      </w:pPr>
      <w:bookmarkStart w:id="22" w:name="_Toc501875861"/>
      <w:bookmarkStart w:id="23" w:name="_Toc500506454"/>
      <w:r>
        <w:rPr>
          <w:rFonts w:hint="eastAsia" w:ascii="Times New Roman" w:hAnsi="Times New Roman" w:eastAsia="方正楷体_GBK"/>
          <w:b w:val="0"/>
          <w:bCs w:val="0"/>
          <w:sz w:val="32"/>
        </w:rPr>
        <w:t>（四）严格修改程序</w:t>
      </w:r>
      <w:bookmarkEnd w:id="22"/>
      <w:bookmarkEnd w:id="23"/>
      <w:r>
        <w:rPr>
          <w:rFonts w:hint="eastAsia" w:ascii="Times New Roman" w:hAnsi="Times New Roman" w:eastAsia="方正楷体_GBK"/>
          <w:b w:val="0"/>
          <w:bCs w:val="0"/>
          <w:sz w:val="32"/>
        </w:rPr>
        <w:t>。</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与本方案配套的畜禽养殖禁养区边界范围图（含矢量图）及其坐标、拐点等电子信息是本方案的组成部分,与本方案具有同等法律效力。</w:t>
      </w:r>
    </w:p>
    <w:p>
      <w:pPr>
        <w:ind w:firstLine="640" w:firstLineChars="200"/>
        <w:rPr>
          <w:rFonts w:hint="eastAsia" w:ascii="Times New Roman" w:eastAsia="方正仿宋_GBK" w:cs="Times New Roman"/>
          <w:color w:val="000000"/>
          <w:sz w:val="32"/>
          <w:szCs w:val="32"/>
          <w:lang w:val="en-US" w:eastAsia="zh-CN"/>
        </w:rPr>
      </w:pPr>
      <w:r>
        <w:rPr>
          <w:rFonts w:hint="eastAsia" w:ascii="Times New Roman" w:eastAsia="方正仿宋_GBK" w:cs="Times New Roman"/>
          <w:color w:val="000000"/>
          <w:sz w:val="32"/>
          <w:szCs w:val="32"/>
          <w:lang w:val="en-US" w:eastAsia="zh-CN"/>
        </w:rPr>
        <w:t>该文件自印发之日起施行，原《重庆市大足区人民政府关于印发大足区畜禽养殖区域划分方案的通知》（大足府发〔2018〕36号）同时废止。</w:t>
      </w:r>
    </w:p>
    <w:p>
      <w:pPr>
        <w:ind w:firstLine="640" w:firstLineChars="200"/>
        <w:rPr>
          <w:rFonts w:hint="eastAsia" w:ascii="Times New Roman" w:hAnsi="Times New Roman" w:eastAsia="方正仿宋_GBK"/>
          <w:sz w:val="32"/>
          <w:szCs w:val="32"/>
        </w:rPr>
      </w:pPr>
    </w:p>
    <w:p>
      <w:pPr>
        <w:spacing w:line="560" w:lineRule="exact"/>
        <w:ind w:firstLine="624"/>
        <w:rPr>
          <w:rFonts w:ascii="Times New Roman" w:hAnsi="Times New Roman" w:eastAsia="方正仿宋_GBK"/>
          <w:sz w:val="32"/>
          <w:szCs w:val="32"/>
        </w:rPr>
      </w:pPr>
    </w:p>
    <w:p>
      <w:pPr>
        <w:spacing w:line="560" w:lineRule="exact"/>
        <w:ind w:firstLine="624"/>
        <w:rPr>
          <w:rFonts w:ascii="Times New Roman" w:hAnsi="Times New Roman" w:eastAsia="方正仿宋_GBK"/>
          <w:sz w:val="32"/>
          <w:szCs w:val="32"/>
        </w:rPr>
      </w:pPr>
    </w:p>
    <w:sectPr>
      <w:pgSz w:w="11907" w:h="16840"/>
      <w:pgMar w:top="2098" w:right="1474" w:bottom="1985" w:left="1588" w:header="851" w:footer="1588"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ind w:firstLine="560"/>
      <w:rPr>
        <w:rFonts w:ascii="宋体" w:eastAsia="宋体"/>
        <w:sz w:val="28"/>
        <w:szCs w:val="28"/>
      </w:rPr>
    </w:pPr>
    <w:r>
      <w:rPr>
        <w:rStyle w:val="22"/>
        <w:rFonts w:hint="eastAsia" w:ascii="宋体" w:eastAsia="宋体"/>
        <w:sz w:val="28"/>
        <w:szCs w:val="28"/>
      </w:rPr>
      <w:t xml:space="preserve">— </w:t>
    </w:r>
    <w:r>
      <w:rPr>
        <w:rStyle w:val="22"/>
        <w:rFonts w:hint="eastAsia" w:ascii="宋体" w:eastAsia="宋体"/>
        <w:sz w:val="28"/>
        <w:szCs w:val="28"/>
      </w:rPr>
      <w:fldChar w:fldCharType="begin"/>
    </w:r>
    <w:r>
      <w:rPr>
        <w:rStyle w:val="22"/>
        <w:rFonts w:hint="eastAsia" w:ascii="宋体" w:eastAsia="宋体"/>
        <w:sz w:val="28"/>
        <w:szCs w:val="28"/>
      </w:rPr>
      <w:instrText xml:space="preserve">Page</w:instrText>
    </w:r>
    <w:r>
      <w:rPr>
        <w:rStyle w:val="22"/>
        <w:rFonts w:hint="eastAsia" w:ascii="宋体" w:eastAsia="宋体"/>
        <w:sz w:val="28"/>
        <w:szCs w:val="28"/>
      </w:rPr>
      <w:fldChar w:fldCharType="separate"/>
    </w:r>
    <w:r>
      <w:rPr>
        <w:rStyle w:val="22"/>
        <w:rFonts w:hint="eastAsia" w:ascii="宋体" w:eastAsia="宋体"/>
        <w:sz w:val="28"/>
        <w:szCs w:val="28"/>
      </w:rPr>
      <w:t>1</w:t>
    </w:r>
    <w:r>
      <w:rPr>
        <w:rStyle w:val="22"/>
        <w:rFonts w:hint="eastAsia" w:ascii="宋体" w:eastAsia="宋体"/>
        <w:sz w:val="28"/>
        <w:szCs w:val="28"/>
      </w:rPr>
      <w:fldChar w:fldCharType="end"/>
    </w:r>
    <w:r>
      <w:rPr>
        <w:rStyle w:val="22"/>
        <w:rFonts w:hint="eastAsia" w:ascii="宋体" w:eastAsia="宋体"/>
        <w:sz w:val="28"/>
        <w:szCs w:val="28"/>
      </w:rPr>
      <w:t xml:space="preserve"> —</w:t>
    </w:r>
  </w:p>
  <w:p>
    <w:pPr>
      <w:pStyle w:val="14"/>
      <w:ind w:right="360" w:firstLine="360" w:firstLineChars="0"/>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ind w:firstLine="360"/>
    </w:pPr>
    <w:r>
      <w:rPr>
        <w:rStyle w:val="22"/>
      </w:rPr>
      <w:fldChar w:fldCharType="begin"/>
    </w:r>
    <w:r>
      <w:rPr>
        <w:rStyle w:val="22"/>
      </w:rPr>
      <w:instrText xml:space="preserve">Page</w:instrText>
    </w:r>
    <w:r>
      <w:rPr>
        <w:rStyle w:val="22"/>
      </w:rPr>
      <w:fldChar w:fldCharType="separate"/>
    </w:r>
    <w:r>
      <w:rPr>
        <w:rStyle w:val="22"/>
      </w:rPr>
      <w:t>1</w:t>
    </w:r>
    <w:r>
      <w:rPr>
        <w:rStyle w:val="22"/>
      </w:rPr>
      <w:fldChar w:fldCharType="end"/>
    </w:r>
  </w:p>
  <w:p>
    <w:pPr>
      <w:pStyle w:val="14"/>
      <w:framePr w:wrap="around" w:vAnchor="text" w:hAnchor="margin" w:xAlign="outside" w:y="1"/>
      <w:ind w:right="360" w:firstLine="360" w:firstLineChars="0"/>
    </w:pPr>
    <w:r>
      <w:rPr>
        <w:rStyle w:val="22"/>
      </w:rPr>
      <w:fldChar w:fldCharType="begin"/>
    </w:r>
    <w:r>
      <w:rPr>
        <w:rStyle w:val="22"/>
      </w:rPr>
      <w:instrText xml:space="preserve">Page</w:instrText>
    </w:r>
    <w:r>
      <w:rPr>
        <w:rStyle w:val="22"/>
      </w:rPr>
      <w:fldChar w:fldCharType="separate"/>
    </w:r>
    <w:r>
      <w:rPr>
        <w:rStyle w:val="22"/>
      </w:rPr>
      <w:t>1</w:t>
    </w:r>
    <w:r>
      <w:rPr>
        <w:rStyle w:val="22"/>
      </w:rPr>
      <w:fldChar w:fldCharType="end"/>
    </w:r>
  </w:p>
  <w:p>
    <w:pPr>
      <w:pStyle w:val="14"/>
      <w:framePr w:wrap="around" w:vAnchor="text" w:hAnchor="margin" w:xAlign="outside" w:y="1"/>
      <w:ind w:right="360" w:firstLine="360" w:firstLineChars="0"/>
    </w:pPr>
    <w:r>
      <w:rPr>
        <w:rStyle w:val="22"/>
      </w:rPr>
      <w:fldChar w:fldCharType="begin"/>
    </w:r>
    <w:r>
      <w:rPr>
        <w:rStyle w:val="22"/>
      </w:rPr>
      <w:instrText xml:space="preserve">Page</w:instrText>
    </w:r>
    <w:r>
      <w:rPr>
        <w:rStyle w:val="22"/>
      </w:rPr>
      <w:fldChar w:fldCharType="separate"/>
    </w:r>
    <w:r>
      <w:rPr>
        <w:rStyle w:val="22"/>
      </w:rPr>
      <w:t>1</w:t>
    </w:r>
    <w:r>
      <w:rPr>
        <w:rStyle w:val="22"/>
      </w:rPr>
      <w:fldChar w:fldCharType="end"/>
    </w:r>
  </w:p>
  <w:p>
    <w:pPr>
      <w:pStyle w:val="14"/>
      <w:framePr w:wrap="around" w:vAnchor="text" w:hAnchor="margin" w:xAlign="outside" w:y="1"/>
      <w:ind w:right="360" w:firstLine="360" w:firstLineChars="0"/>
    </w:pPr>
    <w:r>
      <w:rPr>
        <w:rStyle w:val="22"/>
      </w:rPr>
      <w:fldChar w:fldCharType="begin"/>
    </w:r>
    <w:r>
      <w:rPr>
        <w:rStyle w:val="22"/>
      </w:rPr>
      <w:instrText xml:space="preserve">Page</w:instrText>
    </w:r>
    <w:r>
      <w:rPr>
        <w:rStyle w:val="22"/>
      </w:rPr>
      <w:fldChar w:fldCharType="separate"/>
    </w:r>
    <w:r>
      <w:rPr>
        <w:rStyle w:val="22"/>
      </w:rPr>
      <w:t>1</w:t>
    </w:r>
    <w:r>
      <w:rPr>
        <w:rStyle w:val="22"/>
      </w:rPr>
      <w:fldChar w:fldCharType="end"/>
    </w:r>
  </w:p>
  <w:p>
    <w:pPr>
      <w:pStyle w:val="14"/>
      <w:framePr w:wrap="around" w:vAnchor="text" w:hAnchor="margin" w:xAlign="outside" w:y="1"/>
      <w:ind w:right="360" w:firstLine="360" w:firstLineChars="0"/>
    </w:pPr>
    <w:r>
      <w:rPr>
        <w:rStyle w:val="22"/>
      </w:rPr>
      <w:fldChar w:fldCharType="begin"/>
    </w:r>
    <w:r>
      <w:rPr>
        <w:rStyle w:val="22"/>
      </w:rPr>
      <w:instrText xml:space="preserve">Page</w:instrText>
    </w:r>
    <w:r>
      <w:rPr>
        <w:rStyle w:val="22"/>
      </w:rPr>
      <w:fldChar w:fldCharType="separate"/>
    </w:r>
    <w:r>
      <w:rPr>
        <w:rStyle w:val="22"/>
      </w:rPr>
      <w:t>1</w:t>
    </w:r>
    <w:r>
      <w:rPr>
        <w:rStyle w:val="22"/>
      </w:rPr>
      <w:fldChar w:fldCharType="end"/>
    </w:r>
  </w:p>
  <w:p>
    <w:pPr>
      <w:pStyle w:val="14"/>
      <w:framePr w:wrap="around" w:vAnchor="text" w:hAnchor="margin" w:xAlign="outside" w:y="1"/>
      <w:ind w:right="360" w:firstLine="360" w:firstLineChars="0"/>
      <w:rPr>
        <w:rStyle w:val="22"/>
      </w:rPr>
    </w:pPr>
    <w:r>
      <w:rPr>
        <w:rStyle w:val="22"/>
      </w:rPr>
      <w:fldChar w:fldCharType="begin"/>
    </w:r>
    <w:r>
      <w:rPr>
        <w:rStyle w:val="22"/>
      </w:rPr>
      <w:instrText xml:space="preserve">PAGE  </w:instrText>
    </w:r>
    <w:r>
      <w:rPr>
        <w:rStyle w:val="22"/>
      </w:rPr>
      <w:fldChar w:fldCharType="separate"/>
    </w:r>
    <w:r>
      <w:rPr>
        <w:rStyle w:val="22"/>
        <w:vanish/>
      </w:rPr>
      <w:t xml:space="preserve"> </w:t>
    </w:r>
    <w:r>
      <w:rPr>
        <w:rStyle w:val="22"/>
      </w:rP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fldChar w:fldCharType="begin"/>
    </w:r>
    <w:r>
      <w:instrText xml:space="preserve">PAGE   \* MERGEFORMAT</w:instrText>
    </w:r>
    <w:r>
      <w:fldChar w:fldCharType="separate"/>
    </w:r>
    <w:r>
      <w:rPr>
        <w:lang w:val="zh-CN"/>
      </w:rPr>
      <w:t>30</w:t>
    </w:r>
    <w:r>
      <w:fldChar w:fldCharType="end"/>
    </w:r>
  </w:p>
  <w:p>
    <w:pPr>
      <w:pStyle w:val="1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F0AFC1"/>
    <w:multiLevelType w:val="multilevel"/>
    <w:tmpl w:val="2DF0AFC1"/>
    <w:lvl w:ilvl="0" w:tentative="0">
      <w:start w:val="1"/>
      <w:numFmt w:val="decimal"/>
      <w:pStyle w:val="2"/>
      <w:lvlText w:val="%1"/>
      <w:lvlJc w:val="left"/>
      <w:pPr>
        <w:tabs>
          <w:tab w:val="left" w:pos="0"/>
        </w:tabs>
        <w:ind w:left="432" w:hanging="432"/>
      </w:pPr>
      <w:rPr>
        <w:rFonts w:cs="Times New Roman"/>
      </w:rPr>
    </w:lvl>
    <w:lvl w:ilvl="1" w:tentative="0">
      <w:start w:val="1"/>
      <w:numFmt w:val="decimal"/>
      <w:pStyle w:val="3"/>
      <w:lvlText w:val="%1.%2"/>
      <w:lvlJc w:val="left"/>
      <w:pPr>
        <w:tabs>
          <w:tab w:val="left" w:pos="0"/>
        </w:tabs>
        <w:ind w:left="984" w:hanging="576"/>
      </w:pPr>
      <w:rPr>
        <w:rFonts w:cs="Times New Roman"/>
      </w:rPr>
    </w:lvl>
    <w:lvl w:ilvl="2" w:tentative="0">
      <w:start w:val="1"/>
      <w:numFmt w:val="decimal"/>
      <w:pStyle w:val="4"/>
      <w:lvlText w:val="%1.%2.%3"/>
      <w:lvlJc w:val="left"/>
      <w:pPr>
        <w:tabs>
          <w:tab w:val="left" w:pos="0"/>
        </w:tabs>
        <w:ind w:left="720" w:hanging="720"/>
      </w:pPr>
      <w:rPr>
        <w:rFonts w:cs="Times New Roman"/>
      </w:rPr>
    </w:lvl>
    <w:lvl w:ilvl="3" w:tentative="0">
      <w:start w:val="1"/>
      <w:numFmt w:val="decimal"/>
      <w:pStyle w:val="5"/>
      <w:lvlText w:val="%1.%2.%3.%4"/>
      <w:lvlJc w:val="left"/>
      <w:pPr>
        <w:tabs>
          <w:tab w:val="left" w:pos="0"/>
        </w:tabs>
        <w:ind w:left="864" w:hanging="864"/>
      </w:pPr>
      <w:rPr>
        <w:rFonts w:cs="Times New Roman"/>
      </w:rPr>
    </w:lvl>
    <w:lvl w:ilvl="4" w:tentative="0">
      <w:start w:val="1"/>
      <w:numFmt w:val="decimal"/>
      <w:pStyle w:val="6"/>
      <w:lvlText w:val="%1.%2.%3.%4.%5"/>
      <w:lvlJc w:val="left"/>
      <w:pPr>
        <w:tabs>
          <w:tab w:val="left" w:pos="0"/>
        </w:tabs>
        <w:ind w:left="1008" w:hanging="1008"/>
      </w:pPr>
      <w:rPr>
        <w:rFonts w:cs="Times New Roman"/>
      </w:rPr>
    </w:lvl>
    <w:lvl w:ilvl="5" w:tentative="0">
      <w:start w:val="1"/>
      <w:numFmt w:val="decimal"/>
      <w:pStyle w:val="7"/>
      <w:lvlText w:val="%1.%2.%3.%4.%5.%6"/>
      <w:lvlJc w:val="left"/>
      <w:pPr>
        <w:tabs>
          <w:tab w:val="left" w:pos="0"/>
        </w:tabs>
        <w:ind w:left="1152" w:hanging="1152"/>
      </w:pPr>
      <w:rPr>
        <w:rFonts w:cs="Times New Roman"/>
      </w:rPr>
    </w:lvl>
    <w:lvl w:ilvl="6" w:tentative="0">
      <w:start w:val="1"/>
      <w:numFmt w:val="decimal"/>
      <w:pStyle w:val="8"/>
      <w:lvlText w:val="%1.%2.%3.%4.%5.%6.%7"/>
      <w:lvlJc w:val="left"/>
      <w:pPr>
        <w:tabs>
          <w:tab w:val="left" w:pos="0"/>
        </w:tabs>
        <w:ind w:left="1296" w:hanging="1296"/>
      </w:pPr>
      <w:rPr>
        <w:rFonts w:cs="Times New Roman"/>
      </w:rPr>
    </w:lvl>
    <w:lvl w:ilvl="7" w:tentative="0">
      <w:start w:val="1"/>
      <w:numFmt w:val="decimal"/>
      <w:pStyle w:val="9"/>
      <w:lvlText w:val="%1.%2.%3.%4.%5.%6.%7.%8"/>
      <w:lvlJc w:val="left"/>
      <w:pPr>
        <w:tabs>
          <w:tab w:val="left" w:pos="0"/>
        </w:tabs>
        <w:ind w:left="1440" w:hanging="1440"/>
      </w:pPr>
      <w:rPr>
        <w:rFonts w:cs="Times New Roman"/>
      </w:rPr>
    </w:lvl>
    <w:lvl w:ilvl="8" w:tentative="0">
      <w:start w:val="1"/>
      <w:numFmt w:val="decimal"/>
      <w:pStyle w:val="10"/>
      <w:lvlText w:val="%1.%2.%3.%4.%5.%6.%7.%8.%9"/>
      <w:lvlJc w:val="left"/>
      <w:pPr>
        <w:tabs>
          <w:tab w:val="left" w:pos="0"/>
        </w:tabs>
        <w:ind w:left="1584" w:hanging="1584"/>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characterSpacingControl w:val="compressPunctuation"/>
  <w:compat>
    <w:spaceForUL/>
    <w:balanceSingleByteDoubleByteWidth/>
    <w:ulTrailSpace/>
    <w:doNotExpandShiftReturn/>
    <w:adjustLineHeightInTable/>
    <w:growAutofit/>
    <w:useFELayout/>
    <w:doNotUseIndentAsNumberingTabStop/>
    <w:useAltKinsokuLineBreakRules/>
    <w:splitPgBreakAndParaMark/>
    <w:compatSetting w:name="compatibilityMode" w:uri="http://schemas.microsoft.com/office/word" w:val="14"/>
  </w:compat>
  <w:docVars>
    <w:docVar w:name="commondata" w:val="eyJoZGlkIjoiZDNiOTViOWFhODBiODY0Mzg2Y2Y0YjZmNmY3MWM3MTgifQ=="/>
  </w:docVars>
  <w:rsids>
    <w:rsidRoot w:val="007F0CE2"/>
    <w:rsid w:val="00051B42"/>
    <w:rsid w:val="00061931"/>
    <w:rsid w:val="00067655"/>
    <w:rsid w:val="00074D88"/>
    <w:rsid w:val="00087565"/>
    <w:rsid w:val="000E4BC2"/>
    <w:rsid w:val="000E6E02"/>
    <w:rsid w:val="000F4D5F"/>
    <w:rsid w:val="00107239"/>
    <w:rsid w:val="00110462"/>
    <w:rsid w:val="00111B99"/>
    <w:rsid w:val="00122F1F"/>
    <w:rsid w:val="00140793"/>
    <w:rsid w:val="00152407"/>
    <w:rsid w:val="00152D76"/>
    <w:rsid w:val="00155E25"/>
    <w:rsid w:val="00156595"/>
    <w:rsid w:val="00162A3C"/>
    <w:rsid w:val="00173244"/>
    <w:rsid w:val="001C3532"/>
    <w:rsid w:val="001C716A"/>
    <w:rsid w:val="001F239A"/>
    <w:rsid w:val="001F748C"/>
    <w:rsid w:val="00212658"/>
    <w:rsid w:val="002576CF"/>
    <w:rsid w:val="0028096E"/>
    <w:rsid w:val="002C662A"/>
    <w:rsid w:val="002E145A"/>
    <w:rsid w:val="002E2C5A"/>
    <w:rsid w:val="002E7746"/>
    <w:rsid w:val="002F7ADF"/>
    <w:rsid w:val="00354FCA"/>
    <w:rsid w:val="0036467F"/>
    <w:rsid w:val="0039418B"/>
    <w:rsid w:val="00394959"/>
    <w:rsid w:val="003B5698"/>
    <w:rsid w:val="003C53DE"/>
    <w:rsid w:val="003D076B"/>
    <w:rsid w:val="003D26CE"/>
    <w:rsid w:val="003F3A07"/>
    <w:rsid w:val="00406B33"/>
    <w:rsid w:val="004541D1"/>
    <w:rsid w:val="004604BD"/>
    <w:rsid w:val="00475BC4"/>
    <w:rsid w:val="004A45C6"/>
    <w:rsid w:val="004F3E74"/>
    <w:rsid w:val="004F6DA4"/>
    <w:rsid w:val="00502325"/>
    <w:rsid w:val="005243F8"/>
    <w:rsid w:val="00550F26"/>
    <w:rsid w:val="005635E7"/>
    <w:rsid w:val="005B0404"/>
    <w:rsid w:val="005B15CC"/>
    <w:rsid w:val="005B1B96"/>
    <w:rsid w:val="005B4D1F"/>
    <w:rsid w:val="005D6D82"/>
    <w:rsid w:val="005E43BE"/>
    <w:rsid w:val="00635685"/>
    <w:rsid w:val="00671467"/>
    <w:rsid w:val="006B644D"/>
    <w:rsid w:val="006C2491"/>
    <w:rsid w:val="006D0F42"/>
    <w:rsid w:val="00781AE7"/>
    <w:rsid w:val="007C2B95"/>
    <w:rsid w:val="007C7090"/>
    <w:rsid w:val="007D1F4E"/>
    <w:rsid w:val="007D7EF9"/>
    <w:rsid w:val="007E28E7"/>
    <w:rsid w:val="007F0CE2"/>
    <w:rsid w:val="007F5DC6"/>
    <w:rsid w:val="00830DF6"/>
    <w:rsid w:val="0086225A"/>
    <w:rsid w:val="008634B6"/>
    <w:rsid w:val="00877C6F"/>
    <w:rsid w:val="008854F7"/>
    <w:rsid w:val="00887205"/>
    <w:rsid w:val="00895EE2"/>
    <w:rsid w:val="008B0044"/>
    <w:rsid w:val="008D69B4"/>
    <w:rsid w:val="00906287"/>
    <w:rsid w:val="009112CC"/>
    <w:rsid w:val="00913F65"/>
    <w:rsid w:val="009214CC"/>
    <w:rsid w:val="00942698"/>
    <w:rsid w:val="00944E85"/>
    <w:rsid w:val="00973B36"/>
    <w:rsid w:val="00976F9C"/>
    <w:rsid w:val="00977419"/>
    <w:rsid w:val="009814A4"/>
    <w:rsid w:val="009A1F72"/>
    <w:rsid w:val="009C0862"/>
    <w:rsid w:val="009C7F6F"/>
    <w:rsid w:val="009D3C6A"/>
    <w:rsid w:val="009D5914"/>
    <w:rsid w:val="009F17C6"/>
    <w:rsid w:val="00A00DF5"/>
    <w:rsid w:val="00A01DEE"/>
    <w:rsid w:val="00A30B33"/>
    <w:rsid w:val="00A42263"/>
    <w:rsid w:val="00A705B9"/>
    <w:rsid w:val="00AC2090"/>
    <w:rsid w:val="00AD7419"/>
    <w:rsid w:val="00B034D3"/>
    <w:rsid w:val="00B04506"/>
    <w:rsid w:val="00B15947"/>
    <w:rsid w:val="00B16163"/>
    <w:rsid w:val="00B52B2B"/>
    <w:rsid w:val="00B54D1F"/>
    <w:rsid w:val="00B71278"/>
    <w:rsid w:val="00BA52D7"/>
    <w:rsid w:val="00BC0FFD"/>
    <w:rsid w:val="00BC6172"/>
    <w:rsid w:val="00BE119D"/>
    <w:rsid w:val="00BF14B4"/>
    <w:rsid w:val="00C01CA6"/>
    <w:rsid w:val="00C0533D"/>
    <w:rsid w:val="00C1210F"/>
    <w:rsid w:val="00C210AB"/>
    <w:rsid w:val="00C23E94"/>
    <w:rsid w:val="00C52D3A"/>
    <w:rsid w:val="00C56300"/>
    <w:rsid w:val="00C56F93"/>
    <w:rsid w:val="00C65BC6"/>
    <w:rsid w:val="00CB3670"/>
    <w:rsid w:val="00CF5449"/>
    <w:rsid w:val="00D213E2"/>
    <w:rsid w:val="00D428D3"/>
    <w:rsid w:val="00D57F5B"/>
    <w:rsid w:val="00D96C33"/>
    <w:rsid w:val="00DA1F3C"/>
    <w:rsid w:val="00E13D32"/>
    <w:rsid w:val="00E17298"/>
    <w:rsid w:val="00E23BDD"/>
    <w:rsid w:val="00E25E5E"/>
    <w:rsid w:val="00E527D5"/>
    <w:rsid w:val="00E574B9"/>
    <w:rsid w:val="00E773D5"/>
    <w:rsid w:val="00EA02A9"/>
    <w:rsid w:val="00EB1DA6"/>
    <w:rsid w:val="00EF0674"/>
    <w:rsid w:val="00F06ED3"/>
    <w:rsid w:val="00F50CB8"/>
    <w:rsid w:val="00F562A0"/>
    <w:rsid w:val="00F57888"/>
    <w:rsid w:val="00F66450"/>
    <w:rsid w:val="00F72C50"/>
    <w:rsid w:val="00FA32B3"/>
    <w:rsid w:val="00FB042A"/>
    <w:rsid w:val="00FB3329"/>
    <w:rsid w:val="00FD656F"/>
    <w:rsid w:val="00FE4EAD"/>
    <w:rsid w:val="22B758B1"/>
    <w:rsid w:val="28D36FA0"/>
    <w:rsid w:val="4CB51600"/>
    <w:rsid w:val="55984D8E"/>
    <w:rsid w:val="5A1C5785"/>
    <w:rsid w:val="691901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numPr>
        <w:ilvl w:val="0"/>
        <w:numId w:val="1"/>
      </w:numPr>
      <w:spacing w:line="360" w:lineRule="auto"/>
      <w:ind w:firstLine="0"/>
      <w:outlineLvl w:val="0"/>
    </w:pPr>
    <w:rPr>
      <w:rFonts w:eastAsia="楷体_GB2312"/>
      <w:b/>
      <w:bCs/>
      <w:kern w:val="44"/>
      <w:sz w:val="32"/>
      <w:szCs w:val="44"/>
    </w:rPr>
  </w:style>
  <w:style w:type="paragraph" w:styleId="3">
    <w:name w:val="heading 2"/>
    <w:basedOn w:val="1"/>
    <w:next w:val="1"/>
    <w:qFormat/>
    <w:uiPriority w:val="0"/>
    <w:pPr>
      <w:keepNext/>
      <w:keepLines/>
      <w:numPr>
        <w:ilvl w:val="1"/>
        <w:numId w:val="1"/>
      </w:numPr>
      <w:spacing w:line="360" w:lineRule="auto"/>
      <w:ind w:left="340" w:firstLine="0"/>
      <w:outlineLvl w:val="1"/>
    </w:pPr>
    <w:rPr>
      <w:rFonts w:ascii="Calibri Light" w:hAnsi="Calibri Light"/>
      <w:b/>
      <w:bCs/>
      <w:sz w:val="28"/>
      <w:szCs w:val="32"/>
    </w:rPr>
  </w:style>
  <w:style w:type="paragraph" w:styleId="4">
    <w:name w:val="heading 3"/>
    <w:basedOn w:val="1"/>
    <w:next w:val="1"/>
    <w:qFormat/>
    <w:uiPriority w:val="0"/>
    <w:pPr>
      <w:keepNext/>
      <w:keepLines/>
      <w:numPr>
        <w:ilvl w:val="2"/>
        <w:numId w:val="1"/>
      </w:numPr>
      <w:spacing w:line="360" w:lineRule="auto"/>
      <w:ind w:left="454" w:firstLine="0"/>
      <w:outlineLvl w:val="2"/>
    </w:pPr>
    <w:rPr>
      <w:rFonts w:eastAsia="楷体_GB2312"/>
      <w:b/>
      <w:bCs/>
      <w:sz w:val="24"/>
      <w:szCs w:val="32"/>
    </w:rPr>
  </w:style>
  <w:style w:type="paragraph" w:styleId="5">
    <w:name w:val="heading 4"/>
    <w:basedOn w:val="1"/>
    <w:next w:val="1"/>
    <w:qFormat/>
    <w:uiPriority w:val="0"/>
    <w:pPr>
      <w:keepNext/>
      <w:keepLines/>
      <w:numPr>
        <w:ilvl w:val="3"/>
        <w:numId w:val="1"/>
      </w:numPr>
      <w:spacing w:before="280" w:after="290" w:line="377" w:lineRule="auto"/>
      <w:ind w:firstLine="200" w:firstLineChars="200"/>
      <w:outlineLvl w:val="3"/>
    </w:pPr>
    <w:rPr>
      <w:rFonts w:ascii="Calibri Light" w:hAnsi="Calibri Light"/>
      <w:b/>
      <w:bCs/>
      <w:sz w:val="28"/>
      <w:szCs w:val="28"/>
    </w:rPr>
  </w:style>
  <w:style w:type="paragraph" w:styleId="6">
    <w:name w:val="heading 5"/>
    <w:basedOn w:val="1"/>
    <w:next w:val="1"/>
    <w:qFormat/>
    <w:uiPriority w:val="0"/>
    <w:pPr>
      <w:keepNext/>
      <w:keepLines/>
      <w:numPr>
        <w:ilvl w:val="4"/>
        <w:numId w:val="1"/>
      </w:numPr>
      <w:spacing w:before="280" w:after="290" w:line="377" w:lineRule="auto"/>
      <w:ind w:firstLine="200" w:firstLineChars="200"/>
      <w:outlineLvl w:val="4"/>
    </w:pPr>
    <w:rPr>
      <w:rFonts w:eastAsia="楷体_GB2312"/>
      <w:b/>
      <w:bCs/>
      <w:sz w:val="28"/>
      <w:szCs w:val="28"/>
    </w:rPr>
  </w:style>
  <w:style w:type="paragraph" w:styleId="7">
    <w:name w:val="heading 6"/>
    <w:basedOn w:val="1"/>
    <w:next w:val="1"/>
    <w:qFormat/>
    <w:uiPriority w:val="0"/>
    <w:pPr>
      <w:keepNext/>
      <w:keepLines/>
      <w:numPr>
        <w:ilvl w:val="5"/>
        <w:numId w:val="1"/>
      </w:numPr>
      <w:spacing w:before="240" w:after="64" w:line="319" w:lineRule="auto"/>
      <w:ind w:firstLine="200" w:firstLineChars="200"/>
      <w:outlineLvl w:val="5"/>
    </w:pPr>
    <w:rPr>
      <w:rFonts w:ascii="Calibri Light" w:hAnsi="Calibri Light"/>
      <w:b/>
      <w:bCs/>
      <w:sz w:val="24"/>
      <w:szCs w:val="24"/>
    </w:rPr>
  </w:style>
  <w:style w:type="paragraph" w:styleId="8">
    <w:name w:val="heading 7"/>
    <w:basedOn w:val="1"/>
    <w:next w:val="1"/>
    <w:qFormat/>
    <w:uiPriority w:val="0"/>
    <w:pPr>
      <w:keepNext/>
      <w:keepLines/>
      <w:numPr>
        <w:ilvl w:val="6"/>
        <w:numId w:val="1"/>
      </w:numPr>
      <w:spacing w:before="240" w:after="64" w:line="319" w:lineRule="auto"/>
      <w:ind w:firstLine="200" w:firstLineChars="200"/>
      <w:outlineLvl w:val="6"/>
    </w:pPr>
    <w:rPr>
      <w:rFonts w:eastAsia="楷体_GB2312"/>
      <w:b/>
      <w:bCs/>
      <w:sz w:val="24"/>
      <w:szCs w:val="24"/>
    </w:rPr>
  </w:style>
  <w:style w:type="paragraph" w:styleId="9">
    <w:name w:val="heading 8"/>
    <w:basedOn w:val="1"/>
    <w:next w:val="1"/>
    <w:qFormat/>
    <w:uiPriority w:val="0"/>
    <w:pPr>
      <w:keepNext/>
      <w:keepLines/>
      <w:numPr>
        <w:ilvl w:val="7"/>
        <w:numId w:val="1"/>
      </w:numPr>
      <w:spacing w:before="240" w:after="64" w:line="319" w:lineRule="auto"/>
      <w:ind w:firstLine="200" w:firstLineChars="200"/>
      <w:outlineLvl w:val="7"/>
    </w:pPr>
    <w:rPr>
      <w:rFonts w:ascii="Calibri Light" w:hAnsi="Calibri Light"/>
      <w:sz w:val="24"/>
      <w:szCs w:val="24"/>
    </w:rPr>
  </w:style>
  <w:style w:type="paragraph" w:styleId="10">
    <w:name w:val="heading 9"/>
    <w:basedOn w:val="1"/>
    <w:next w:val="1"/>
    <w:qFormat/>
    <w:uiPriority w:val="0"/>
    <w:pPr>
      <w:keepNext/>
      <w:keepLines/>
      <w:numPr>
        <w:ilvl w:val="8"/>
        <w:numId w:val="1"/>
      </w:numPr>
      <w:spacing w:before="240" w:after="64" w:line="319" w:lineRule="auto"/>
      <w:ind w:firstLine="200" w:firstLineChars="200"/>
      <w:outlineLvl w:val="8"/>
    </w:pPr>
    <w:rPr>
      <w:rFonts w:ascii="Calibri Light" w:hAnsi="Calibri Light"/>
      <w:szCs w:val="21"/>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qFormat/>
    <w:uiPriority w:val="0"/>
    <w:pPr>
      <w:spacing w:line="360" w:lineRule="auto"/>
      <w:ind w:firstLine="200" w:firstLineChars="200"/>
    </w:pPr>
    <w:rPr>
      <w:rFonts w:ascii="Calibri Light" w:hAnsi="Calibri Light" w:eastAsia="黑体"/>
      <w:sz w:val="20"/>
      <w:szCs w:val="20"/>
    </w:rPr>
  </w:style>
  <w:style w:type="paragraph" w:styleId="12">
    <w:name w:val="annotation text"/>
    <w:basedOn w:val="1"/>
    <w:qFormat/>
    <w:uiPriority w:val="0"/>
    <w:pPr>
      <w:spacing w:line="360" w:lineRule="auto"/>
      <w:ind w:firstLine="200" w:firstLineChars="200"/>
      <w:jc w:val="left"/>
    </w:pPr>
    <w:rPr>
      <w:rFonts w:eastAsia="楷体_GB2312"/>
      <w:sz w:val="28"/>
    </w:rPr>
  </w:style>
  <w:style w:type="paragraph" w:styleId="13">
    <w:name w:val="Balloon Text"/>
    <w:basedOn w:val="1"/>
    <w:qFormat/>
    <w:uiPriority w:val="0"/>
    <w:pPr>
      <w:spacing w:line="360" w:lineRule="auto"/>
      <w:ind w:firstLine="200" w:firstLineChars="200"/>
    </w:pPr>
    <w:rPr>
      <w:rFonts w:eastAsia="楷体_GB2312"/>
      <w:sz w:val="18"/>
      <w:szCs w:val="18"/>
    </w:rPr>
  </w:style>
  <w:style w:type="paragraph" w:styleId="14">
    <w:name w:val="footer"/>
    <w:basedOn w:val="1"/>
    <w:qFormat/>
    <w:uiPriority w:val="0"/>
    <w:pPr>
      <w:tabs>
        <w:tab w:val="center" w:pos="4153"/>
        <w:tab w:val="right" w:pos="8306"/>
      </w:tabs>
      <w:snapToGrid w:val="0"/>
      <w:spacing w:line="360" w:lineRule="auto"/>
      <w:ind w:firstLine="200" w:firstLineChars="200"/>
      <w:jc w:val="left"/>
    </w:pPr>
    <w:rPr>
      <w:rFonts w:eastAsia="楷体_GB2312"/>
      <w:sz w:val="18"/>
      <w:szCs w:val="18"/>
    </w:rPr>
  </w:style>
  <w:style w:type="paragraph" w:styleId="15">
    <w:name w:val="header"/>
    <w:basedOn w:val="1"/>
    <w:qFormat/>
    <w:uiPriority w:val="0"/>
    <w:pPr>
      <w:pBdr>
        <w:bottom w:val="single" w:color="auto" w:sz="6" w:space="1"/>
      </w:pBdr>
      <w:tabs>
        <w:tab w:val="center" w:pos="4153"/>
        <w:tab w:val="right" w:pos="8306"/>
      </w:tabs>
      <w:snapToGrid w:val="0"/>
      <w:spacing w:line="360" w:lineRule="auto"/>
      <w:ind w:firstLine="200" w:firstLineChars="200"/>
      <w:jc w:val="center"/>
    </w:pPr>
    <w:rPr>
      <w:rFonts w:eastAsia="楷体_GB2312"/>
      <w:sz w:val="18"/>
      <w:szCs w:val="18"/>
    </w:rPr>
  </w:style>
  <w:style w:type="paragraph" w:styleId="16">
    <w:name w:val="toc 1"/>
    <w:basedOn w:val="1"/>
    <w:next w:val="1"/>
    <w:uiPriority w:val="0"/>
    <w:pPr>
      <w:spacing w:line="360" w:lineRule="auto"/>
      <w:ind w:firstLine="200" w:firstLineChars="200"/>
    </w:pPr>
    <w:rPr>
      <w:rFonts w:eastAsia="楷体_GB2312"/>
      <w:sz w:val="28"/>
    </w:rPr>
  </w:style>
  <w:style w:type="paragraph" w:styleId="17">
    <w:name w:val="toc 2"/>
    <w:basedOn w:val="1"/>
    <w:next w:val="1"/>
    <w:qFormat/>
    <w:uiPriority w:val="0"/>
    <w:pPr>
      <w:tabs>
        <w:tab w:val="left" w:pos="1680"/>
        <w:tab w:val="right" w:leader="dot" w:pos="8721"/>
      </w:tabs>
      <w:spacing w:line="560" w:lineRule="exact"/>
      <w:ind w:left="200" w:leftChars="200" w:firstLine="200" w:firstLineChars="200"/>
    </w:pPr>
    <w:rPr>
      <w:rFonts w:eastAsia="楷体_GB2312"/>
      <w:sz w:val="28"/>
    </w:rPr>
  </w:style>
  <w:style w:type="paragraph" w:styleId="18">
    <w:name w:val="annotation subject"/>
    <w:basedOn w:val="12"/>
    <w:next w:val="12"/>
    <w:qFormat/>
    <w:uiPriority w:val="0"/>
    <w:rPr>
      <w:b/>
      <w:bCs/>
    </w:rPr>
  </w:style>
  <w:style w:type="character" w:styleId="21">
    <w:name w:val="Strong"/>
    <w:basedOn w:val="20"/>
    <w:qFormat/>
    <w:uiPriority w:val="0"/>
    <w:rPr>
      <w:rFonts w:cs="Times New Roman"/>
      <w:b/>
      <w:bCs/>
    </w:rPr>
  </w:style>
  <w:style w:type="character" w:styleId="22">
    <w:name w:val="page number"/>
    <w:basedOn w:val="20"/>
    <w:uiPriority w:val="0"/>
  </w:style>
  <w:style w:type="character" w:styleId="23">
    <w:name w:val="Hyperlink"/>
    <w:basedOn w:val="20"/>
    <w:qFormat/>
    <w:uiPriority w:val="0"/>
    <w:rPr>
      <w:rFonts w:cs="Times New Roman"/>
      <w:color w:val="0563C1"/>
      <w:u w:val="single"/>
    </w:rPr>
  </w:style>
  <w:style w:type="paragraph" w:customStyle="1" w:styleId="24">
    <w:name w:val="Char"/>
    <w:basedOn w:val="1"/>
    <w:qFormat/>
    <w:uiPriority w:val="0"/>
    <w:pPr>
      <w:snapToGrid w:val="0"/>
      <w:spacing w:line="360" w:lineRule="auto"/>
      <w:ind w:firstLine="200" w:firstLineChars="200"/>
    </w:pPr>
    <w:rPr>
      <w:rFonts w:ascii="Times New Roman" w:hAnsi="Times New Roman" w:eastAsia="仿宋_GB2312"/>
      <w:sz w:val="24"/>
      <w:szCs w:val="32"/>
    </w:rPr>
  </w:style>
  <w:style w:type="paragraph" w:customStyle="1" w:styleId="25">
    <w:name w:val="Char Char Char Char Char Char Char Char Char Char Char Char Char"/>
    <w:basedOn w:val="1"/>
    <w:qFormat/>
    <w:uiPriority w:val="0"/>
    <w:rPr>
      <w:rFonts w:ascii="Times New Roman" w:hAnsi="Times New Roman" w:eastAsia="方正仿宋_GBK"/>
      <w:sz w:val="3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E533E-DBD1-4DC1-B3FF-A2388611C03C}">
  <ds:schemaRefs/>
</ds:datastoreItem>
</file>

<file path=docProps/app.xml><?xml version="1.0" encoding="utf-8"?>
<Properties xmlns="http://schemas.openxmlformats.org/officeDocument/2006/extended-properties" xmlns:vt="http://schemas.openxmlformats.org/officeDocument/2006/docPropsVTypes">
  <Template>Normal.dotm</Template>
  <Pages>27</Pages>
  <Words>7048</Words>
  <Characters>8461</Characters>
  <Lines>77</Lines>
  <Paragraphs>21</Paragraphs>
  <TotalTime>5</TotalTime>
  <ScaleCrop>false</ScaleCrop>
  <LinksUpToDate>false</LinksUpToDate>
  <CharactersWithSpaces>8625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2018-06-20T07:13:00Z</dcterms:created>
  <dc:creator>Administrator</dc:creator>
  <cp:lastModifiedBy>李强</cp:lastModifiedBy>
  <cp:lastPrinted>2019-11-08T08:26:00Z</cp:lastPrinted>
  <dcterms:modified xsi:type="dcterms:W3CDTF">2022-06-23T01:27:23Z</dcterms:modified>
  <dc:title>重庆市大足区人民政府办公室</dc:title>
  <cp:revision>585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FB737E69283F480589AB729ED558731C</vt:lpwstr>
  </property>
</Properties>
</file>