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仿宋_GB2312" w:hAnsi="宋体" w:cs="宋体"/>
          <w:color w:val="333333"/>
          <w:kern w:val="0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关于《大足区畜禽养殖区域划分调整方案（征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求意见稿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》的起草说明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line="594" w:lineRule="exact"/>
        <w:ind w:left="76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根据法律法规和专家评审意见要求，结合大足区实际，我局委托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第三方对原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《大足区畜禽养殖区域划分方案》进行了补充完善。现经整理形成了《大足区畜禽养殖区域划分调整方案（征求意见稿）》。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文件制定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制定的必要性和可行性。</w:t>
      </w:r>
    </w:p>
    <w:p>
      <w:pPr>
        <w:spacing w:line="276" w:lineRule="auto"/>
        <w:ind w:firstLine="560"/>
        <w:rPr>
          <w:rFonts w:hint="eastAsia" w:asci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为统筹推进畜牧业生产发展与畜禽养殖污染防治，推动畜禽养殖业健康可持续发展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。按照市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市农业农村委员会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联合印发了《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关于规范畜禽养</w:t>
      </w:r>
      <w:r>
        <w:rPr>
          <w:rFonts w:hint="eastAsia" w:ascii="方正仿宋_GBK" w:eastAsia="方正仿宋_GBK"/>
          <w:sz w:val="32"/>
          <w:szCs w:val="32"/>
        </w:rPr>
        <w:t>殖禁养区划定和管理促进生猪生产发展的通知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》（</w:t>
      </w:r>
      <w:r>
        <w:rPr>
          <w:rFonts w:hint="default" w:ascii="方正仿宋_GBK" w:eastAsia="方正仿宋_GBK"/>
          <w:sz w:val="32"/>
          <w:szCs w:val="32"/>
        </w:rPr>
        <w:t>渝环〔2019〕</w:t>
      </w:r>
      <w:r>
        <w:rPr>
          <w:rFonts w:hint="default" w:ascii="方正仿宋_GBK" w:eastAsia="方正仿宋_GBK"/>
          <w:sz w:val="32"/>
          <w:szCs w:val="32"/>
          <w:lang w:eastAsia="zh-CN"/>
        </w:rPr>
        <w:t>18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default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  <w:lang w:eastAsia="zh-CN"/>
        </w:rPr>
        <w:t>）要求，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对本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原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印发的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畜禽养殖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区域划分方案》（大足府发〔2018〕36号）进行了逐条梳理自查，并通过市生态环境局、市农业农村委组织的专家技术评审。根据自查和专家评审意见对原方案风景名胜区板块进行补充完善，科学合理划定畜禽养殖禁养区、限养区，并明确边界范围。</w:t>
      </w:r>
    </w:p>
    <w:p>
      <w:pPr>
        <w:spacing w:line="276" w:lineRule="auto"/>
        <w:ind w:firstLine="560"/>
        <w:rPr>
          <w:rFonts w:hint="eastAsia" w:asci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我区坚持以优化畜禽养殖产业布局、控制农业面源污染、保障生态环境安全为目的，综合考虑各区域主体功能定位及生态功能重要性，在与生态保护红线格局相协调前提下，以饮用水水源保护区、自然保护区的核心区和缓冲区、风景名胜区、城镇居民区、文化教育科学研究区等区域为重点，兼顾江河源头区、重要河流岸带、重要湖库周边等对水环境影响较大的区域，形成本方案。</w:t>
      </w:r>
    </w:p>
    <w:p>
      <w:pPr>
        <w:spacing w:line="276" w:lineRule="auto"/>
        <w:ind w:firstLine="560"/>
        <w:rPr>
          <w:rFonts w:hint="eastAsia" w:asci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（二）法律依据</w:t>
      </w:r>
    </w:p>
    <w:p>
      <w:pPr>
        <w:spacing w:line="276" w:lineRule="auto"/>
        <w:ind w:firstLine="560"/>
        <w:rPr>
          <w:rFonts w:hint="eastAsia" w:asci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根据《中华人民共和国畜牧法》、《畜禽规模养殖污染防治条例》（国务院令第643号）、《重庆市环境保护条例》《重庆市长江三峡水库库区及流域水污染防治条例》等有关条例，制定此方案。</w:t>
      </w:r>
    </w:p>
    <w:p>
      <w:pPr>
        <w:numPr>
          <w:ilvl w:val="0"/>
          <w:numId w:val="0"/>
        </w:numPr>
        <w:spacing w:line="276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作出制定规范性文件决定的领导同志的指示批示或会议名称、纪要等。</w:t>
      </w:r>
    </w:p>
    <w:p>
      <w:pPr>
        <w:pStyle w:val="2"/>
        <w:widowControl w:val="0"/>
        <w:numPr>
          <w:ilvl w:val="0"/>
          <w:numId w:val="0"/>
        </w:numPr>
        <w:spacing w:after="120" w:afterLines="0"/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市农业农村委员会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联合印发了《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关于规范畜禽养</w:t>
      </w:r>
      <w:r>
        <w:rPr>
          <w:rFonts w:hint="eastAsia" w:ascii="方正仿宋_GBK" w:eastAsia="方正仿宋_GBK"/>
          <w:sz w:val="32"/>
          <w:szCs w:val="32"/>
        </w:rPr>
        <w:t>殖禁养区划定和管理促进生猪生产发展的通知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》（</w:t>
      </w:r>
      <w:r>
        <w:rPr>
          <w:rFonts w:hint="default" w:ascii="方正仿宋_GBK" w:eastAsia="方正仿宋_GBK"/>
          <w:sz w:val="32"/>
          <w:szCs w:val="32"/>
        </w:rPr>
        <w:t>渝环〔2019〕</w:t>
      </w:r>
      <w:r>
        <w:rPr>
          <w:rFonts w:hint="default" w:ascii="方正仿宋_GBK" w:eastAsia="方正仿宋_GBK"/>
          <w:sz w:val="32"/>
          <w:szCs w:val="32"/>
          <w:lang w:eastAsia="zh-CN"/>
        </w:rPr>
        <w:t>18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default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  <w:lang w:eastAsia="zh-CN"/>
        </w:rPr>
        <w:t>）要求，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对本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原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印发的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方正仿宋_GBK" w:eastAsia="方正仿宋_GBK" w:cs="Times New Roman"/>
          <w:sz w:val="32"/>
          <w:szCs w:val="32"/>
          <w:lang w:val="en-US" w:eastAsia="zh-CN"/>
        </w:rPr>
        <w:t>畜禽养殖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区域划分方案》（大足府发〔2018〕36号）</w:t>
      </w:r>
      <w:r>
        <w:rPr>
          <w:rFonts w:hint="eastAsia" w:ascii="Times New Roman" w:hAnsi="Times New Roman" w:eastAsia="方正仿宋_GBK" w:cs="方正仿宋_GBK"/>
          <w:smallCaps w:val="0"/>
          <w:szCs w:val="32"/>
        </w:rPr>
        <w:t>畜禽养殖区域划定范围自查自纠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mallCaps w:val="0"/>
          <w:szCs w:val="32"/>
        </w:rPr>
        <w:t>逐条对照梳理</w:t>
      </w:r>
      <w:r>
        <w:rPr>
          <w:rFonts w:hint="eastAsia" w:ascii="Times New Roman" w:hAnsi="Times New Roman" w:cs="方正仿宋_GBK"/>
          <w:smallCaps w:val="0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Cs/>
          <w:smallCaps w:val="0"/>
          <w:color w:val="000000"/>
          <w:szCs w:val="32"/>
        </w:rPr>
        <w:t>对于排查中发现的超出法律法规范围划定的情况，应落实工作责任，采取有效措施，立行立改，</w:t>
      </w:r>
      <w:r>
        <w:rPr>
          <w:rFonts w:hint="eastAsia" w:ascii="Times New Roman" w:hAnsi="Times New Roman" w:eastAsia="方正仿宋_GBK" w:cs="方正仿宋_GBK"/>
          <w:smallCaps w:val="0"/>
          <w:szCs w:val="32"/>
        </w:rPr>
        <w:t>确保整改到位。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文件主要内容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大足区畜禽养殖禁养区、限养区总面积为283.37 km</w:t>
      </w:r>
      <w:r>
        <w:rPr>
          <w:rFonts w:ascii="Times New Roman" w:hAnsi="Times New Roman" w:eastAsia="方正仿宋_GBK" w:cs="Cambria"/>
          <w:sz w:val="32"/>
          <w:szCs w:val="32"/>
        </w:rPr>
        <w:t>²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（此数据已按</w:t>
      </w:r>
      <w:r>
        <w:rPr>
          <w:rFonts w:hint="eastAsia" w:ascii="Times New Roman" w:hAnsi="Times New Roman" w:eastAsia="方正仿宋_GBK"/>
          <w:sz w:val="32"/>
          <w:szCs w:val="32"/>
        </w:rPr>
        <w:t>禁养区和限养区的范围顺序进行叠加扣重,重叠面积不重复计算,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下同）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,占大足区幅员面积的19</w:t>
      </w:r>
      <w:r>
        <w:rPr>
          <w:rFonts w:hint="eastAsia" w:ascii="Times New Roman" w:hAnsi="Times New Roman" w:eastAsia="方正仿宋_GBK"/>
          <w:sz w:val="32"/>
          <w:szCs w:val="32"/>
        </w:rPr>
        <w:t>.75%,其中禁养区和限养区面积分别为172.03 km</w:t>
      </w:r>
      <w:r>
        <w:rPr>
          <w:rFonts w:ascii="Times New Roman" w:hAnsi="Times New Roman" w:eastAsia="方正仿宋_GBK" w:cs="Cambria"/>
          <w:sz w:val="32"/>
          <w:szCs w:val="32"/>
        </w:rPr>
        <w:t>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和</w:t>
      </w:r>
      <w:r>
        <w:rPr>
          <w:rFonts w:hint="eastAsia" w:ascii="Times New Roman" w:hAnsi="Times New Roman" w:eastAsia="方正仿宋_GBK"/>
          <w:sz w:val="32"/>
          <w:szCs w:val="32"/>
        </w:rPr>
        <w:t>111.34 km</w:t>
      </w:r>
      <w:r>
        <w:rPr>
          <w:rFonts w:ascii="Times New Roman" w:hAnsi="Times New Roman" w:eastAsia="方正仿宋_GBK" w:cs="Cambria"/>
          <w:sz w:val="32"/>
          <w:szCs w:val="32"/>
        </w:rPr>
        <w:t>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,分别占大足区幅员面积的</w:t>
      </w:r>
      <w:r>
        <w:rPr>
          <w:rFonts w:hint="eastAsia" w:ascii="Times New Roman" w:hAnsi="Times New Roman" w:eastAsia="方正仿宋_GBK"/>
          <w:sz w:val="32"/>
          <w:szCs w:val="32"/>
        </w:rPr>
        <w:t>11.99%、7.76%,各镇（街道）均有分布,共</w:t>
      </w: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Times New Roman" w:hAnsi="Times New Roman" w:eastAsia="方正仿宋_GBK"/>
          <w:sz w:val="32"/>
          <w:szCs w:val="32"/>
        </w:rPr>
        <w:t>个独立斑块。其中，禁养区面积分布如下：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（一）大足区饮用水源保护区的一级保护区和二级保护区，总面积为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29.73</w:t>
      </w:r>
      <w:r>
        <w:rPr>
          <w:rFonts w:hint="eastAsia" w:ascii="Times New Roman" w:hAnsi="Times New Roman" w:eastAsia="方正仿宋_GBK"/>
          <w:sz w:val="32"/>
          <w:szCs w:val="32"/>
        </w:rPr>
        <w:t>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（二）大足石刻市级风景名胜区，面积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70.84</w:t>
      </w:r>
      <w:r>
        <w:rPr>
          <w:rFonts w:hint="eastAsia" w:ascii="Times New Roman" w:hAnsi="Times New Roman" w:eastAsia="方正仿宋_GBK"/>
          <w:sz w:val="32"/>
          <w:szCs w:val="32"/>
        </w:rPr>
        <w:t>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（三）西山桫椤县级自然保护区的核心区、缓冲区。总面积为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4.86</w:t>
      </w:r>
      <w:r>
        <w:rPr>
          <w:rFonts w:hint="eastAsia" w:ascii="Times New Roman" w:hAnsi="Times New Roman" w:eastAsia="方正仿宋_GBK"/>
          <w:sz w:val="32"/>
          <w:szCs w:val="32"/>
        </w:rPr>
        <w:t>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（四）玉龙山国家森林公园、白云寨市级森林公园、宝林寺市级森林公园。总面积为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4.46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（五）城区及各镇（街道）建成区范围作为禁养区，总面积为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50.69</w:t>
      </w:r>
      <w:r>
        <w:rPr>
          <w:rFonts w:hint="eastAsia" w:ascii="Times New Roman" w:hAnsi="Times New Roman" w:eastAsia="方正仿宋_GBK"/>
          <w:sz w:val="32"/>
          <w:szCs w:val="32"/>
        </w:rPr>
        <w:t>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（六）执行Ⅰ类、Ⅱ类水质标准的水域及其200米内的陆域，总面积为11.45 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限养区面积分布情况：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（一）大足区城市规划区及规划区以外的居民集中区、医疗区、文教科研区、工业区,总面积为43.39 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（二）执行Ⅲ类水质标准的水域及其200米内的陆域包括塘坝河、淮远河、濑溪河、平滩河和小安溪及其周边200米的陆域范围。总面积为63.52 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（三）西山桫椤县级自然保护区的实验区。总面积为0.16km²。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（四）森林公园重要景点和核心景区以外的其他区域，主要包括玉龙山国家森林公园核心景区以外的区域。总面积为4.28 km²。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（五）风景名胜区外围保护地带。主要指大足石刻市级风景名胜区的外围保护地带，根据大足石刻旅游开发区管委会提供的数据，该外围保护地带面积范围暂未划定，所涉范围面积以相应规划出台为准。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60D98"/>
    <w:multiLevelType w:val="singleLevel"/>
    <w:tmpl w:val="8F960D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F4FFD0"/>
    <w:multiLevelType w:val="singleLevel"/>
    <w:tmpl w:val="09F4FF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829F3"/>
    <w:rsid w:val="42B829F3"/>
    <w:rsid w:val="7CA26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方正仿宋_GBK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2019-11-08T08:20:00Z</dcterms:created>
  <dc:creator>牟晓</dc:creator>
  <cp:lastModifiedBy>牟晓</cp:lastModifiedBy>
  <cp:lastPrinted>2019-11-11T03:47:41Z</cp:lastPrinted>
  <dcterms:modified xsi:type="dcterms:W3CDTF">2019-11-11T04:28:54Z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