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1DD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  <w:lang w:eastAsia="zh-CN"/>
        </w:rPr>
        <w:t>大足区</w:t>
      </w: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</w:rPr>
        <w:t>司法局</w:t>
      </w:r>
    </w:p>
    <w:p w14:paraId="5A64D03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333333"/>
          <w:spacing w:val="0"/>
          <w:sz w:val="44"/>
          <w:szCs w:val="44"/>
          <w:shd w:val="clear" w:fill="FFFFFF"/>
        </w:rPr>
        <w:t>年度随机抽查计划的公示</w:t>
      </w:r>
    </w:p>
    <w:p w14:paraId="025A427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</w:pPr>
    </w:p>
    <w:p w14:paraId="169CA92B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根据《重庆市公共法律服务领域“双随机、一公开”监管实施方案》(渝司发〔2020〕56号)要求，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司法局制定了《重庆市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大足区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司法局202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年度随机抽查工作计划》,现予公示。如有异议，请自本公示发布之日起7日内通过信函方式向重庆市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大足区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司法局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法治督察科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提出意见和建议。</w:t>
      </w:r>
    </w:p>
    <w:p w14:paraId="7BAD2E4F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fill="FFFFFF"/>
        </w:rPr>
        <w:t> </w:t>
      </w:r>
      <w:bookmarkStart w:id="0" w:name="_GoBack"/>
      <w:bookmarkEnd w:id="0"/>
    </w:p>
    <w:p w14:paraId="1FB7144C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附件：《重庆市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大足区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司法局202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年度随机抽查工作计划》</w:t>
      </w:r>
    </w:p>
    <w:p w14:paraId="126DC9D2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fill="FFFFFF"/>
        </w:rPr>
        <w:t> </w:t>
      </w:r>
    </w:p>
    <w:p w14:paraId="4B256C78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fill="FFFFFF"/>
        </w:rPr>
        <w:t>                             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                            重庆市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大足区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司法局</w:t>
      </w:r>
    </w:p>
    <w:p w14:paraId="5929396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日</w:t>
      </w:r>
    </w:p>
    <w:p w14:paraId="2EB8DC40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fill="FFFFFF"/>
        </w:rPr>
        <w:t> </w:t>
      </w:r>
    </w:p>
    <w:p w14:paraId="43DEED7E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（联系人：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何荣玢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，联系电话：023-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43780716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，信函邮寄地址：重庆市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大足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区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棠香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街道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龙景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路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123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市民中心四楼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  <w:t>408室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  <w:t>）</w:t>
      </w:r>
    </w:p>
    <w:p w14:paraId="7C73952A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Times New Roman" w:hAnsi="Times New Roman" w:eastAsia="方正仿宋_GBK" w:cs="方正仿宋_GBK"/>
          <w:color w:val="333333"/>
          <w:spacing w:val="0"/>
          <w:sz w:val="32"/>
          <w:szCs w:val="32"/>
          <w:shd w:val="clear" w:fill="FFFFFF"/>
        </w:rPr>
      </w:pPr>
    </w:p>
    <w:p w14:paraId="7C717A64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方正仿宋_GBK" w:cs="方正仿宋_GBK"/>
          <w:color w:val="333333"/>
          <w:spacing w:val="0"/>
          <w:sz w:val="31"/>
          <w:szCs w:val="31"/>
          <w:shd w:val="clear" w:fill="FFFFFF"/>
        </w:rPr>
      </w:pPr>
    </w:p>
    <w:p w14:paraId="5B7AAEB7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left"/>
        <w:rPr>
          <w:rFonts w:hint="eastAsia" w:ascii="Times New Roman" w:hAnsi="Times New Roman" w:eastAsia="方正仿宋_GBK" w:cs="方正仿宋_GBK"/>
          <w:color w:val="333333"/>
          <w:spacing w:val="0"/>
          <w:sz w:val="31"/>
          <w:szCs w:val="31"/>
          <w:shd w:val="clear" w:fill="FFFFFF"/>
        </w:rPr>
        <w:sectPr>
          <w:footerReference r:id="rId3" w:type="default"/>
          <w:pgSz w:w="11906" w:h="16838"/>
          <w:pgMar w:top="2098" w:right="1531" w:bottom="1984" w:left="1531" w:header="851" w:footer="1612" w:gutter="0"/>
          <w:pgNumType w:fmt="decimal"/>
          <w:cols w:space="425" w:num="1"/>
          <w:docGrid w:type="lines" w:linePitch="312" w:charSpace="0"/>
        </w:sectPr>
      </w:pPr>
    </w:p>
    <w:p w14:paraId="4508404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Lines="0" w:after="0" w:afterLines="0" w:line="60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eastAsia="zh-CN"/>
        </w:rPr>
        <w:t>大足区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司法局</w:t>
      </w:r>
      <w:r>
        <w:rPr>
          <w:rFonts w:hint="default" w:ascii="Times New Roman" w:hAnsi="Times New Roman" w:eastAsia="方正小标宋_GBK"/>
          <w:color w:val="000000"/>
          <w:kern w:val="0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年度随机抽查工作计划</w:t>
      </w:r>
    </w:p>
    <w:tbl>
      <w:tblPr>
        <w:tblStyle w:val="12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8461"/>
        <w:gridCol w:w="1168"/>
        <w:gridCol w:w="1080"/>
        <w:gridCol w:w="908"/>
      </w:tblGrid>
      <w:tr w14:paraId="09B9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</w:trPr>
        <w:tc>
          <w:tcPr>
            <w:tcW w:w="534" w:type="dxa"/>
            <w:noWrap w:val="0"/>
            <w:vAlign w:val="center"/>
          </w:tcPr>
          <w:p w14:paraId="6CC58A7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序</w:t>
            </w:r>
          </w:p>
          <w:p w14:paraId="75934F2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42" w:type="dxa"/>
            <w:noWrap w:val="0"/>
            <w:vAlign w:val="center"/>
          </w:tcPr>
          <w:p w14:paraId="0904663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抽查计划名称</w:t>
            </w:r>
          </w:p>
        </w:tc>
        <w:tc>
          <w:tcPr>
            <w:tcW w:w="8461" w:type="dxa"/>
            <w:noWrap w:val="0"/>
            <w:vAlign w:val="center"/>
          </w:tcPr>
          <w:p w14:paraId="60F952A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具体抽查内容</w:t>
            </w:r>
          </w:p>
        </w:tc>
        <w:tc>
          <w:tcPr>
            <w:tcW w:w="1168" w:type="dxa"/>
            <w:noWrap w:val="0"/>
            <w:vAlign w:val="center"/>
          </w:tcPr>
          <w:p w14:paraId="44A94D8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1080" w:type="dxa"/>
            <w:noWrap w:val="0"/>
            <w:vAlign w:val="center"/>
          </w:tcPr>
          <w:p w14:paraId="4ECCB76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抽查</w:t>
            </w:r>
          </w:p>
          <w:p w14:paraId="038263C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908" w:type="dxa"/>
            <w:noWrap w:val="0"/>
            <w:vAlign w:val="center"/>
          </w:tcPr>
          <w:p w14:paraId="683963B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抽查时间</w:t>
            </w:r>
          </w:p>
        </w:tc>
      </w:tr>
      <w:tr w14:paraId="248C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noWrap w:val="0"/>
            <w:vAlign w:val="center"/>
          </w:tcPr>
          <w:p w14:paraId="003F89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00E18E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司法局随机抽查律师事务所、律师</w:t>
            </w:r>
          </w:p>
        </w:tc>
        <w:tc>
          <w:tcPr>
            <w:tcW w:w="8461" w:type="dxa"/>
            <w:noWrap w:val="0"/>
            <w:vAlign w:val="center"/>
          </w:tcPr>
          <w:p w14:paraId="2EFE3C5F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（一）律师事务所</w:t>
            </w:r>
          </w:p>
          <w:p w14:paraId="5D04EA72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  <w:t>1.律师事务所内部管理制度建设情况（律所章程、执业管理、利益冲突审查、收费财务管理、年度考核、档案管理、印章管理等制度）；</w:t>
            </w:r>
          </w:p>
          <w:p w14:paraId="046D369C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  <w:t>2.律师事务统一接受委托，与委托人签订书面委托合同，按照国家规定统一收取费用并如实入账等承办业务等情况；</w:t>
            </w:r>
          </w:p>
          <w:p w14:paraId="0451F253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  <w:t>3.律师事务所是否保持法定准予设立条件；</w:t>
            </w:r>
          </w:p>
          <w:p w14:paraId="3B2AC919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eastAsia="zh-CN"/>
              </w:rPr>
              <w:t>律师事务所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是否存在违反法定程序办理变更名称、负责人、章程、合伙协议、住所、合伙人等重大事项的违法行为；</w:t>
            </w:r>
          </w:p>
          <w:p w14:paraId="7F233B8E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eastAsia="zh-CN"/>
              </w:rPr>
              <w:t>律师事务所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是否存在从事法律服务以外的经营活动的违法行为；</w:t>
            </w:r>
          </w:p>
          <w:p w14:paraId="427C7707">
            <w:pPr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beforeLines="0" w:afterLines="0"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eastAsia="zh-CN"/>
              </w:rPr>
              <w:t>律师事务所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是否存在违反公平竞争、低价收费、以诋毁其他律师事务所、律师或者支付介绍费等不正当手段承揽业务的违法行为</w:t>
            </w: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25376E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（二）律师</w:t>
            </w:r>
          </w:p>
          <w:p w14:paraId="2BA3F6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是否存在代理不尽责等情况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374BAC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对代理案件是否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按照卷宗材料的收集、整理和排列顺序立卷归档；</w:t>
            </w:r>
          </w:p>
          <w:p w14:paraId="676D5C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是否存在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专职执业律师违规兼职或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同时在两个律师事务所执业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情况；</w:t>
            </w:r>
          </w:p>
          <w:p w14:paraId="628A66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是否存在从人民法院、人民检察院离任后二年内担任诉讼代理人或者辩护人的违法行为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0C2E43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是否存在利用提供法律服务的便利牟取当事人争议的权益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、私自接受委托、私自收取费用等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违法行为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56A99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rPr>
                <w:rFonts w:hint="eastAsia" w:ascii="Times New Roman" w:hAnsi="Times New Roman" w:eastAsia="方正仿宋_GBK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是否存在违反规定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法官、检察官、仲裁员以及其他有关工作人员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不正当交往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，或者以其他不正当方式影响依法办理案件的违法行为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8" w:type="dxa"/>
            <w:noWrap w:val="0"/>
            <w:vAlign w:val="center"/>
          </w:tcPr>
          <w:p w14:paraId="129A42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全区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律师事务所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包含被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抽查律师事务所的律师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 w14:paraId="0D1B2E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08" w:type="dxa"/>
            <w:noWrap w:val="0"/>
            <w:vAlign w:val="center"/>
          </w:tcPr>
          <w:p w14:paraId="2CC157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2—12月</w:t>
            </w:r>
          </w:p>
        </w:tc>
      </w:tr>
      <w:tr w14:paraId="2A6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534" w:type="dxa"/>
            <w:noWrap w:val="0"/>
            <w:vAlign w:val="center"/>
          </w:tcPr>
          <w:p w14:paraId="241539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 w14:paraId="5EFA7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5年度区司法局随机抽查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基层法律服务所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、基层法律服务工作者</w:t>
            </w:r>
          </w:p>
        </w:tc>
        <w:tc>
          <w:tcPr>
            <w:tcW w:w="8461" w:type="dxa"/>
            <w:noWrap w:val="0"/>
            <w:vAlign w:val="center"/>
          </w:tcPr>
          <w:p w14:paraId="5591AF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（一）基层法律服务所</w:t>
            </w:r>
          </w:p>
          <w:p w14:paraId="60CFBF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，是否在注册登记地以外的场所设立办公场所；</w:t>
            </w:r>
          </w:p>
          <w:p w14:paraId="44597D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以贬损他人、抬高自己、虚假承诺或者支付介绍费等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不正当手段承揽业务的情况；</w:t>
            </w:r>
          </w:p>
          <w:p w14:paraId="203EC6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是否统一收案、统一委派、与委托人签订书面委托合同、按照国家规定统一收取费用、开具发票等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246D54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ED5A9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从事法律服务以外的经营活动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、是否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冒用律师事务所名义执业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113F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基层法律服务所是否存在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</w:rPr>
              <w:t>超越业务范围和诉讼代理执业区域的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  <w:p w14:paraId="0851C7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（二）基层法律服务工作者</w:t>
            </w:r>
          </w:p>
          <w:p w14:paraId="5590FC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私自接受委托、收取费用，接受委托人的财物或者其他利益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的情况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；</w:t>
            </w:r>
          </w:p>
          <w:p w14:paraId="22B738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利用提供法律服务便利非法牟取当事人争议的权益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的情况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；</w:t>
            </w:r>
          </w:p>
          <w:p w14:paraId="2D1FF3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违反规定会见法官、检察官、仲裁员以及其他有关工作人员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不正当交往等情况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；</w:t>
            </w:r>
          </w:p>
          <w:p w14:paraId="7E3577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基层法律服务工作者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是否在同一案件中为双方当事人担任代理人，代理与本人或者其近亲属有利益冲突的对方当事人的法律事务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C70F6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对代理案件是否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按照卷宗材料的收集、整理和排列顺序立卷归档。</w:t>
            </w:r>
          </w:p>
        </w:tc>
        <w:tc>
          <w:tcPr>
            <w:tcW w:w="1168" w:type="dxa"/>
            <w:noWrap w:val="0"/>
            <w:vAlign w:val="center"/>
          </w:tcPr>
          <w:p w14:paraId="55FAF4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全区基层法律服务所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包含被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抽查基层法律服务所的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基层法律服务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工作者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 w14:paraId="36D09D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08" w:type="dxa"/>
            <w:noWrap w:val="0"/>
            <w:vAlign w:val="center"/>
          </w:tcPr>
          <w:p w14:paraId="6E063F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2—12月</w:t>
            </w:r>
          </w:p>
        </w:tc>
      </w:tr>
    </w:tbl>
    <w:p w14:paraId="51CC494E">
      <w:pPr>
        <w:rPr>
          <w:rFonts w:hint="default" w:ascii="Times New Roman" w:hAnsi="Times New Roman"/>
          <w:lang w:val="en-US" w:eastAsia="zh-CN"/>
        </w:rPr>
      </w:pPr>
    </w:p>
    <w:sectPr>
      <w:pgSz w:w="16838" w:h="11906" w:orient="landscape"/>
      <w:pgMar w:top="1531" w:right="2098" w:bottom="1531" w:left="1984" w:header="851" w:footer="161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E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E23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67D04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="宋体" w:hAnsi="宋体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67D04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="宋体" w:hAnsi="宋体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TUzNzhjMWVhZjc2M2Q5MjZmY2Y1NDM4YzNjMGUifQ=="/>
  </w:docVars>
  <w:rsids>
    <w:rsidRoot w:val="16670D89"/>
    <w:rsid w:val="002235CA"/>
    <w:rsid w:val="02740319"/>
    <w:rsid w:val="037C75BE"/>
    <w:rsid w:val="047C327F"/>
    <w:rsid w:val="05085485"/>
    <w:rsid w:val="05145BD8"/>
    <w:rsid w:val="05854A82"/>
    <w:rsid w:val="06232631"/>
    <w:rsid w:val="06C43876"/>
    <w:rsid w:val="07705F1C"/>
    <w:rsid w:val="09187E44"/>
    <w:rsid w:val="0BC11178"/>
    <w:rsid w:val="0C072E8F"/>
    <w:rsid w:val="0D9D77AF"/>
    <w:rsid w:val="0E1A461C"/>
    <w:rsid w:val="137E6165"/>
    <w:rsid w:val="14E1184E"/>
    <w:rsid w:val="16670D89"/>
    <w:rsid w:val="195E027E"/>
    <w:rsid w:val="197B77C6"/>
    <w:rsid w:val="1A147ADD"/>
    <w:rsid w:val="1A2B408A"/>
    <w:rsid w:val="1A3950A3"/>
    <w:rsid w:val="1D4B1511"/>
    <w:rsid w:val="1D534FA3"/>
    <w:rsid w:val="20032D7B"/>
    <w:rsid w:val="21E706A2"/>
    <w:rsid w:val="227A2298"/>
    <w:rsid w:val="230A4E08"/>
    <w:rsid w:val="23771C9A"/>
    <w:rsid w:val="24C65452"/>
    <w:rsid w:val="254B09DC"/>
    <w:rsid w:val="28894BBF"/>
    <w:rsid w:val="290C4CAB"/>
    <w:rsid w:val="2C434386"/>
    <w:rsid w:val="2D550A44"/>
    <w:rsid w:val="306647CE"/>
    <w:rsid w:val="315700A3"/>
    <w:rsid w:val="350A2BC4"/>
    <w:rsid w:val="367B4D4D"/>
    <w:rsid w:val="378B05E3"/>
    <w:rsid w:val="38C83236"/>
    <w:rsid w:val="3AAB2D71"/>
    <w:rsid w:val="3FFF0C57"/>
    <w:rsid w:val="41AA69A0"/>
    <w:rsid w:val="449F0B7C"/>
    <w:rsid w:val="45613227"/>
    <w:rsid w:val="458610DE"/>
    <w:rsid w:val="4621074C"/>
    <w:rsid w:val="46E61895"/>
    <w:rsid w:val="473C082B"/>
    <w:rsid w:val="47C95456"/>
    <w:rsid w:val="4A366EF7"/>
    <w:rsid w:val="4B6C725E"/>
    <w:rsid w:val="4C794E06"/>
    <w:rsid w:val="4EC15329"/>
    <w:rsid w:val="4F066ED9"/>
    <w:rsid w:val="54D10E25"/>
    <w:rsid w:val="573963A5"/>
    <w:rsid w:val="57D70225"/>
    <w:rsid w:val="58AA3370"/>
    <w:rsid w:val="5BC54BE6"/>
    <w:rsid w:val="5CE17E22"/>
    <w:rsid w:val="5D2354D7"/>
    <w:rsid w:val="5ED9639C"/>
    <w:rsid w:val="5F3876D3"/>
    <w:rsid w:val="5FB2647F"/>
    <w:rsid w:val="624E0C6E"/>
    <w:rsid w:val="62A173E0"/>
    <w:rsid w:val="63BA7A03"/>
    <w:rsid w:val="666F1DE3"/>
    <w:rsid w:val="68102598"/>
    <w:rsid w:val="6A9575B4"/>
    <w:rsid w:val="6C5D448C"/>
    <w:rsid w:val="708644BD"/>
    <w:rsid w:val="75CB372A"/>
    <w:rsid w:val="775C7124"/>
    <w:rsid w:val="779B1766"/>
    <w:rsid w:val="78324A1E"/>
    <w:rsid w:val="790A508E"/>
    <w:rsid w:val="7D9046C1"/>
    <w:rsid w:val="7E100035"/>
    <w:rsid w:val="7ED30767"/>
    <w:rsid w:val="7F567244"/>
    <w:rsid w:val="7F6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432" w:lineRule="auto"/>
      <w:jc w:val="left"/>
      <w:outlineLvl w:val="0"/>
    </w:pPr>
    <w:rPr>
      <w:rFonts w:ascii="宋体" w:hAnsi="宋体"/>
      <w:b/>
      <w:kern w:val="44"/>
      <w:sz w:val="18"/>
      <w:szCs w:val="18"/>
      <w:lang w:val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320" w:leftChars="100" w:right="320" w:rightChars="100" w:firstLine="0" w:firstLineChars="0"/>
      <w:outlineLvl w:val="3"/>
    </w:pPr>
    <w:rPr>
      <w:rFonts w:ascii="Times New Roman" w:hAnsi="Times New Roman" w:eastAsia="Times New Roman"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3"/>
      <w:szCs w:val="33"/>
    </w:rPr>
  </w:style>
  <w:style w:type="paragraph" w:styleId="5">
    <w:name w:val="Body Text Indent"/>
    <w:basedOn w:val="1"/>
    <w:next w:val="1"/>
    <w:qFormat/>
    <w:uiPriority w:val="0"/>
    <w:pPr>
      <w:ind w:firstLine="200" w:firstLineChars="200"/>
    </w:pPr>
    <w:rPr>
      <w:sz w:val="32"/>
    </w:rPr>
  </w:style>
  <w:style w:type="paragraph" w:styleId="6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Hyperlink"/>
    <w:basedOn w:val="13"/>
    <w:qFormat/>
    <w:uiPriority w:val="0"/>
    <w:rPr>
      <w:color w:val="0000FF"/>
      <w:u w:val="none"/>
    </w:rPr>
  </w:style>
  <w:style w:type="paragraph" w:customStyle="1" w:styleId="18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19">
    <w:name w:val="样式 方正小标宋_GBK 二号 居中 行距: 固定值 30 磅"/>
    <w:basedOn w:val="3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customStyle="1" w:styleId="20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1">
    <w:name w:val="索引 51"/>
    <w:basedOn w:val="1"/>
    <w:next w:val="1"/>
    <w:qFormat/>
    <w:uiPriority w:val="0"/>
    <w:pPr>
      <w:ind w:left="1680"/>
    </w:pPr>
  </w:style>
  <w:style w:type="character" w:customStyle="1" w:styleId="22">
    <w:name w:val="a_p_2"/>
    <w:basedOn w:val="13"/>
    <w:qFormat/>
    <w:uiPriority w:val="0"/>
  </w:style>
  <w:style w:type="character" w:customStyle="1" w:styleId="23">
    <w:name w:val="a_p_21"/>
    <w:basedOn w:val="13"/>
    <w:qFormat/>
    <w:uiPriority w:val="0"/>
    <w:rPr>
      <w:sz w:val="27"/>
      <w:szCs w:val="27"/>
    </w:rPr>
  </w:style>
  <w:style w:type="character" w:customStyle="1" w:styleId="24">
    <w:name w:val="exap"/>
    <w:basedOn w:val="13"/>
    <w:qFormat/>
    <w:uiPriority w:val="0"/>
    <w:rPr>
      <w:sz w:val="27"/>
      <w:szCs w:val="27"/>
    </w:rPr>
  </w:style>
  <w:style w:type="character" w:customStyle="1" w:styleId="25">
    <w:name w:val="ul_li_a_1"/>
    <w:basedOn w:val="13"/>
    <w:qFormat/>
    <w:uiPriority w:val="0"/>
    <w:rPr>
      <w:b/>
      <w:bCs/>
      <w:color w:val="FFFFFF"/>
    </w:rPr>
  </w:style>
  <w:style w:type="character" w:customStyle="1" w:styleId="26">
    <w:name w:val="a_p_3"/>
    <w:basedOn w:val="13"/>
    <w:qFormat/>
    <w:uiPriority w:val="0"/>
    <w:rPr>
      <w:sz w:val="27"/>
      <w:szCs w:val="27"/>
    </w:rPr>
  </w:style>
  <w:style w:type="character" w:customStyle="1" w:styleId="27">
    <w:name w:val="a_p_1"/>
    <w:basedOn w:val="13"/>
    <w:qFormat/>
    <w:uiPriority w:val="0"/>
    <w:rPr>
      <w:sz w:val="27"/>
      <w:szCs w:val="27"/>
    </w:rPr>
  </w:style>
  <w:style w:type="character" w:customStyle="1" w:styleId="28">
    <w:name w:val="wap-cont"/>
    <w:basedOn w:val="13"/>
    <w:qFormat/>
    <w:uiPriority w:val="0"/>
  </w:style>
  <w:style w:type="character" w:customStyle="1" w:styleId="29">
    <w:name w:val="last-child"/>
    <w:basedOn w:val="13"/>
    <w:qFormat/>
    <w:uiPriority w:val="0"/>
    <w:rPr>
      <w:color w:val="333333"/>
    </w:rPr>
  </w:style>
  <w:style w:type="paragraph" w:customStyle="1" w:styleId="30">
    <w:name w:val="tit"/>
    <w:basedOn w:val="1"/>
    <w:qFormat/>
    <w:uiPriority w:val="0"/>
    <w:pPr>
      <w:jc w:val="left"/>
    </w:pPr>
    <w:rPr>
      <w:b/>
      <w:bCs/>
      <w:color w:val="333333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952</Characters>
  <Lines>0</Lines>
  <Paragraphs>0</Paragraphs>
  <TotalTime>2</TotalTime>
  <ScaleCrop>false</ScaleCrop>
  <LinksUpToDate>false</LinksUpToDate>
  <CharactersWithSpaces>952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2020-12-01T03:00:00Z</dcterms:created>
  <dc:creator>何荣玢</dc:creator>
  <cp:lastModifiedBy>陈阳明</cp:lastModifiedBy>
  <cp:lastPrinted>2025-01-13T08:25:00Z</cp:lastPrinted>
  <dcterms:modified xsi:type="dcterms:W3CDTF">2025-01-14T08:22:09Z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D9D119AB64BD4C6BBD6B9B817E00C958_13</vt:lpwstr>
  </property>
  <property fmtid="{D5CDD505-2E9C-101B-9397-08002B2CF9AE}" pid="4" name="KSOTemplateDocerSaveRecord">
    <vt:lpwstr>eyJoZGlkIjoiNjAzNjFiYTNiNDBlNzI0YjViZjYyMmMzNGE2M2QwNjkiLCJ1c2VySWQiOiIxMDMxNzMwNjM2In0=</vt:lpwstr>
  </property>
</Properties>
</file>