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EEB92">
      <w:pPr>
        <w:spacing w:line="620" w:lineRule="exact"/>
        <w:jc w:val="center"/>
        <w:rPr>
          <w:rFonts w:hint="eastAsia" w:ascii="方正小标宋_GBK" w:eastAsia="方正小标宋_GBK"/>
          <w:b/>
          <w:sz w:val="44"/>
          <w:szCs w:val="44"/>
        </w:rPr>
      </w:pPr>
      <w:bookmarkStart w:id="0" w:name="_GoBack"/>
      <w:bookmarkEnd w:id="0"/>
    </w:p>
    <w:p w14:paraId="4ED259F9">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大足农委白头〔20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eastAsia="zh-CN"/>
        </w:rPr>
        <w:t>〕</w:t>
      </w:r>
      <w:r>
        <w:rPr>
          <w:rFonts w:hint="eastAsia" w:ascii="Times New Roman" w:hAnsi="Times New Roman" w:cs="Times New Roman"/>
          <w:sz w:val="32"/>
          <w:szCs w:val="32"/>
          <w:lang w:val="en-US" w:eastAsia="zh-CN"/>
        </w:rPr>
        <w:t>61</w:t>
      </w:r>
      <w:r>
        <w:rPr>
          <w:rFonts w:hint="default" w:ascii="Times New Roman" w:hAnsi="Times New Roman" w:eastAsia="方正仿宋_GBK" w:cs="Times New Roman"/>
          <w:sz w:val="32"/>
          <w:szCs w:val="32"/>
          <w:lang w:eastAsia="zh-CN"/>
        </w:rPr>
        <w:t>号</w:t>
      </w:r>
    </w:p>
    <w:p w14:paraId="03D7F640">
      <w:pPr>
        <w:spacing w:line="620" w:lineRule="exact"/>
        <w:jc w:val="center"/>
        <w:rPr>
          <w:rFonts w:hint="eastAsia" w:ascii="方正小标宋_GBK" w:eastAsia="方正小标宋_GBK"/>
          <w:b/>
          <w:sz w:val="44"/>
          <w:szCs w:val="44"/>
        </w:rPr>
      </w:pPr>
    </w:p>
    <w:p w14:paraId="0B5FCF61">
      <w:pPr>
        <w:spacing w:line="620" w:lineRule="exact"/>
        <w:jc w:val="center"/>
        <w:rPr>
          <w:rFonts w:ascii="方正小标宋_GBK" w:eastAsia="方正小标宋_GBK"/>
          <w:b/>
          <w:sz w:val="44"/>
          <w:szCs w:val="44"/>
        </w:rPr>
      </w:pPr>
      <w:r>
        <w:rPr>
          <w:rFonts w:hint="eastAsia" w:ascii="方正小标宋_GBK" w:eastAsia="方正小标宋_GBK"/>
          <w:b/>
          <w:sz w:val="44"/>
          <w:szCs w:val="44"/>
        </w:rPr>
        <w:t>重庆市大足区农业农村委员会</w:t>
      </w:r>
    </w:p>
    <w:p w14:paraId="6997E064">
      <w:pPr>
        <w:spacing w:line="620" w:lineRule="exact"/>
        <w:jc w:val="center"/>
        <w:rPr>
          <w:rFonts w:ascii="方正小标宋_GBK" w:hAnsi="黑体" w:eastAsia="方正小标宋_GBK" w:cs="黑体"/>
          <w:b/>
          <w:w w:val="95"/>
          <w:sz w:val="44"/>
          <w:szCs w:val="44"/>
        </w:rPr>
      </w:pPr>
      <w:r>
        <w:rPr>
          <w:rFonts w:hint="eastAsia" w:ascii="方正小标宋_GBK" w:hAnsi="黑体" w:eastAsia="方正小标宋_GBK" w:cs="黑体"/>
          <w:b/>
          <w:w w:val="95"/>
          <w:sz w:val="44"/>
          <w:szCs w:val="44"/>
        </w:rPr>
        <w:t>关于加强兽药饲料安全管理工作的通知</w:t>
      </w:r>
    </w:p>
    <w:p w14:paraId="6EDCB47A">
      <w:pPr>
        <w:spacing w:line="620" w:lineRule="exact"/>
        <w:jc w:val="center"/>
        <w:rPr>
          <w:rFonts w:ascii="方正小标宋_GBK" w:hAnsi="黑体" w:eastAsia="方正小标宋_GBK" w:cs="黑体"/>
          <w:b/>
          <w:w w:val="95"/>
          <w:sz w:val="44"/>
          <w:szCs w:val="44"/>
        </w:rPr>
      </w:pPr>
    </w:p>
    <w:p w14:paraId="316D58C2">
      <w:pPr>
        <w:keepNext w:val="0"/>
        <w:keepLines w:val="0"/>
        <w:pageBreakBefore w:val="0"/>
        <w:kinsoku/>
        <w:wordWrap/>
        <w:overflowPunct/>
        <w:topLinePunct w:val="0"/>
        <w:autoSpaceDE/>
        <w:autoSpaceDN/>
        <w:bidi w:val="0"/>
        <w:adjustRightInd/>
        <w:snapToGrid/>
        <w:spacing w:line="540" w:lineRule="exact"/>
        <w:textAlignment w:val="auto"/>
        <w:rPr>
          <w:rFonts w:ascii="方正仿宋_GBK" w:eastAsia="方正仿宋_GBK"/>
          <w:sz w:val="32"/>
          <w:szCs w:val="32"/>
        </w:rPr>
      </w:pPr>
      <w:r>
        <w:rPr>
          <w:rFonts w:hint="eastAsia" w:ascii="方正仿宋_GBK" w:eastAsia="方正仿宋_GBK"/>
          <w:sz w:val="32"/>
          <w:szCs w:val="32"/>
        </w:rPr>
        <w:t>各镇街农业服务中心</w:t>
      </w:r>
      <w:r>
        <w:rPr>
          <w:rFonts w:hint="eastAsia" w:ascii="方正仿宋_GBK" w:eastAsia="方正仿宋_GBK"/>
          <w:sz w:val="32"/>
          <w:szCs w:val="32"/>
          <w:lang w:eastAsia="zh-CN"/>
        </w:rPr>
        <w:t>，</w:t>
      </w:r>
      <w:r>
        <w:rPr>
          <w:rFonts w:hint="eastAsia" w:ascii="方正仿宋_GBK" w:eastAsia="方正仿宋_GBK"/>
          <w:sz w:val="32"/>
          <w:szCs w:val="32"/>
        </w:rPr>
        <w:t>有关单位：</w:t>
      </w:r>
    </w:p>
    <w:p w14:paraId="1843658B">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hAnsi="仿宋" w:eastAsia="方正仿宋_GBK" w:cs="仿宋"/>
          <w:sz w:val="32"/>
          <w:szCs w:val="32"/>
        </w:rPr>
      </w:pPr>
      <w:r>
        <w:rPr>
          <w:rFonts w:hint="eastAsia" w:ascii="方正仿宋_GBK" w:hAnsi="仿宋" w:eastAsia="方正仿宋_GBK" w:cs="仿宋"/>
          <w:sz w:val="32"/>
          <w:szCs w:val="32"/>
        </w:rPr>
        <w:t>为加强我区兽药饲料安全监管工作，落实兽药质量管理规范，严厉打击兽药饲料违法行为，进一步提升兽药饲料质量和安全用药水平，保障畜产品质量安全和畜牧业健康发展。结合我区饲料兽药管理工作实际，现就加强兽药、饲料的安全管理相关工作通知如下：</w:t>
      </w:r>
    </w:p>
    <w:p w14:paraId="5A7E3FF3">
      <w:pPr>
        <w:keepNext w:val="0"/>
        <w:keepLines w:val="0"/>
        <w:pageBreakBefore w:val="0"/>
        <w:kinsoku/>
        <w:wordWrap/>
        <w:overflowPunct/>
        <w:topLinePunct w:val="0"/>
        <w:autoSpaceDE/>
        <w:autoSpaceDN/>
        <w:bidi w:val="0"/>
        <w:adjustRightInd/>
        <w:snapToGrid/>
        <w:spacing w:line="540" w:lineRule="exact"/>
        <w:ind w:firstLine="608" w:firstLineChars="200"/>
        <w:jc w:val="left"/>
        <w:textAlignment w:val="auto"/>
        <w:rPr>
          <w:rFonts w:hint="eastAsia" w:ascii="方正黑体_GBK" w:hAnsi="方正黑体_GBK" w:eastAsia="方正黑体_GBK" w:cs="方正黑体_GBK"/>
          <w:b w:val="0"/>
          <w:bCs w:val="0"/>
          <w:w w:val="95"/>
          <w:sz w:val="32"/>
          <w:szCs w:val="32"/>
        </w:rPr>
      </w:pPr>
      <w:r>
        <w:rPr>
          <w:rFonts w:hint="eastAsia" w:ascii="方正黑体_GBK" w:hAnsi="方正黑体_GBK" w:eastAsia="方正黑体_GBK" w:cs="方正黑体_GBK"/>
          <w:b w:val="0"/>
          <w:bCs w:val="0"/>
          <w:w w:val="95"/>
          <w:sz w:val="32"/>
          <w:szCs w:val="32"/>
        </w:rPr>
        <w:t>一、加强领导、提高认识</w:t>
      </w:r>
    </w:p>
    <w:p w14:paraId="3BBFEC8B">
      <w:pPr>
        <w:pStyle w:val="9"/>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方正仿宋_GBK" w:hAnsi="仿宋" w:eastAsia="方正仿宋_GBK" w:cs="仿宋"/>
          <w:sz w:val="32"/>
          <w:szCs w:val="32"/>
        </w:rPr>
      </w:pPr>
      <w:r>
        <w:rPr>
          <w:rFonts w:hint="eastAsia" w:ascii="方正仿宋_GBK" w:hAnsi="仿宋" w:eastAsia="方正仿宋_GBK" w:cs="仿宋"/>
          <w:sz w:val="32"/>
          <w:szCs w:val="32"/>
        </w:rPr>
        <w:t>兽药、饲料是畜禽养殖的主要投入品，是决定畜产品质量安全的关键环节，其质量安全问题事关重大动物疫病的有效防控，事关动物源性食品的卫生安全，事关人民群众身体健康和生命安全，</w:t>
      </w:r>
      <w:r>
        <w:rPr>
          <w:rFonts w:hint="eastAsia" w:ascii="方正仿宋_GBK" w:hAnsi="方正仿宋_GBK" w:eastAsia="方正仿宋_GBK" w:cs="方正仿宋_GBK"/>
          <w:color w:val="000000"/>
          <w:sz w:val="32"/>
          <w:szCs w:val="32"/>
        </w:rPr>
        <w:t>各镇街要充分认识工作的紧迫性和重要性，制定工作方案，细化工作职责，认真部署，落实辖区兽药饲料管理工作，切实做到履职尽责，有序推动工作开展，</w:t>
      </w:r>
      <w:r>
        <w:rPr>
          <w:rFonts w:hint="eastAsia" w:ascii="方正仿宋_GBK" w:hAnsi="仿宋" w:eastAsia="方正仿宋_GBK" w:cs="仿宋"/>
          <w:sz w:val="32"/>
          <w:szCs w:val="32"/>
        </w:rPr>
        <w:t>努力确保全区不发生兽药饲料产品质量安全事件。</w:t>
      </w:r>
    </w:p>
    <w:p w14:paraId="4A749CF9">
      <w:pPr>
        <w:keepNext w:val="0"/>
        <w:keepLines w:val="0"/>
        <w:pageBreakBefore w:val="0"/>
        <w:kinsoku/>
        <w:wordWrap/>
        <w:overflowPunct/>
        <w:topLinePunct w:val="0"/>
        <w:autoSpaceDE/>
        <w:autoSpaceDN/>
        <w:bidi w:val="0"/>
        <w:adjustRightInd/>
        <w:snapToGrid/>
        <w:spacing w:line="540" w:lineRule="exact"/>
        <w:ind w:firstLine="608" w:firstLineChars="200"/>
        <w:jc w:val="left"/>
        <w:textAlignment w:val="auto"/>
        <w:rPr>
          <w:rFonts w:hint="eastAsia" w:ascii="方正黑体_GBK" w:hAnsi="方正黑体_GBK" w:eastAsia="方正黑体_GBK" w:cs="方正黑体_GBK"/>
          <w:b w:val="0"/>
          <w:bCs w:val="0"/>
          <w:w w:val="95"/>
          <w:sz w:val="32"/>
          <w:szCs w:val="32"/>
        </w:rPr>
      </w:pPr>
      <w:r>
        <w:rPr>
          <w:rFonts w:hint="eastAsia" w:ascii="方正黑体_GBK" w:hAnsi="方正黑体_GBK" w:eastAsia="方正黑体_GBK" w:cs="方正黑体_GBK"/>
          <w:b w:val="0"/>
          <w:bCs w:val="0"/>
          <w:w w:val="95"/>
          <w:sz w:val="32"/>
          <w:szCs w:val="32"/>
        </w:rPr>
        <w:t>二、强化行动，狠抓工作</w:t>
      </w:r>
    </w:p>
    <w:p w14:paraId="41043E96">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（一）强抓饲料生产企业规范行动</w:t>
      </w:r>
    </w:p>
    <w:p w14:paraId="6A4740FE">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严格按照《饲料和饲料添加剂管理条例》，全面执行《饲料质量安全管理规范》，提高饲料企业质量安全意识和主体责任意识。从采购、仓储、加工、品控、运输等环节采取严格的管理措施，实现从原料入厂到成品出厂的全过程质量安全控制。加强添加剂预混合饲料和混合型饲料添加剂网上备案信息核查工作，核查标签、配方、企业标准与生产许可证范围是否一致，及时发现并消除各种风险隐患，切实提高产品质量安全保障能力。</w:t>
      </w:r>
    </w:p>
    <w:p w14:paraId="74FE3186">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（二）实抓饲料经营单位规范行动</w:t>
      </w:r>
    </w:p>
    <w:p w14:paraId="6006686E">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hAnsi="方正仿宋_GBK" w:eastAsia="方正仿宋_GBK" w:cs="方正仿宋_GBK"/>
          <w:color w:val="000000"/>
          <w:sz w:val="32"/>
          <w:szCs w:val="32"/>
        </w:rPr>
        <w:t>加强饲料经营单位管理，</w:t>
      </w:r>
      <w:r>
        <w:rPr>
          <w:rFonts w:hint="eastAsia" w:ascii="方正仿宋_GBK" w:hAnsi="仿宋" w:eastAsia="方正仿宋_GBK" w:cs="仿宋"/>
          <w:sz w:val="32"/>
          <w:szCs w:val="32"/>
        </w:rPr>
        <w:t>严格规范经营条件。强化对经营场所、仓储设施、产品质量管理制度等情况严格审查；</w:t>
      </w:r>
      <w:r>
        <w:rPr>
          <w:rFonts w:hint="eastAsia" w:ascii="方正仿宋_GBK" w:hAnsi="方正仿宋_GBK" w:eastAsia="方正仿宋_GBK" w:cs="方正仿宋_GBK"/>
          <w:color w:val="000000"/>
          <w:sz w:val="32"/>
          <w:szCs w:val="32"/>
          <w:lang w:val="zh-CN"/>
        </w:rPr>
        <w:t>开展规范化建设，做到规章制度、进销台账、经营档案“三统一”；</w:t>
      </w:r>
      <w:r>
        <w:rPr>
          <w:rFonts w:hint="eastAsia" w:ascii="方正仿宋_GBK" w:hAnsi="方正仿宋_GBK" w:eastAsia="方正仿宋_GBK" w:cs="方正仿宋_GBK"/>
          <w:color w:val="000000"/>
          <w:sz w:val="32"/>
          <w:szCs w:val="32"/>
        </w:rPr>
        <w:t>建立《饲料经营单位管理档案》。</w:t>
      </w:r>
      <w:r>
        <w:rPr>
          <w:rFonts w:hint="eastAsia" w:ascii="方正仿宋_GBK" w:eastAsia="方正仿宋_GBK"/>
          <w:sz w:val="32"/>
          <w:szCs w:val="32"/>
        </w:rPr>
        <w:t>加大对饲料经营市场检查力度，督促饲料经营单位建立购销台账，严禁经营单位对饲料进行拆包、分装、添加其他物质和再加工行为，严禁销售“三无”饲料（无标签、无生产许可证、无质量检验合格证）和过期变质、假劣产品。</w:t>
      </w:r>
    </w:p>
    <w:p w14:paraId="62653616">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（三）狠抓实施兽药经营质量提升活动</w:t>
      </w:r>
    </w:p>
    <w:p w14:paraId="06C04FB6">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000000"/>
          <w:sz w:val="32"/>
          <w:szCs w:val="32"/>
        </w:rPr>
      </w:pPr>
      <w:r>
        <w:rPr>
          <w:rFonts w:hint="eastAsia" w:ascii="方正仿宋_GBK" w:eastAsia="方正仿宋_GBK"/>
          <w:sz w:val="32"/>
          <w:szCs w:val="32"/>
        </w:rPr>
        <w:t>强化兽药经营环节全面执行兽药GSP，</w:t>
      </w:r>
      <w:r>
        <w:rPr>
          <w:rFonts w:hint="eastAsia" w:ascii="方正仿宋_GBK" w:hAnsi="方正仿宋_GBK" w:eastAsia="方正仿宋_GBK" w:cs="方正仿宋_GBK"/>
          <w:color w:val="000000"/>
          <w:sz w:val="32"/>
          <w:szCs w:val="32"/>
        </w:rPr>
        <w:t>落实硬件设施、人员、制度、操作流程等方面要求，完善经营设施和管理制度，严格供应商评估和产品质量审核，全面深化兽药“二维码”追溯管理工作，实现兽药经营单位“二维码”追溯管理全覆盖，做到扫码入（出）库管理。坚决清理整顿无证经营、超范围经营行为，加强诚信自律建设，强化守法依规经营意识，接受社会监督，正确宣传兽药产品功效，引导养殖者科学合理使用兽药。</w:t>
      </w:r>
    </w:p>
    <w:p w14:paraId="0DD4822D">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（四）严抓实施养殖场户使用规范行动</w:t>
      </w:r>
    </w:p>
    <w:p w14:paraId="31D7A83A">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000000"/>
          <w:sz w:val="32"/>
          <w:szCs w:val="32"/>
        </w:rPr>
      </w:pPr>
      <w:r>
        <w:rPr>
          <w:rFonts w:hint="eastAsia" w:ascii="方正仿宋_GBK" w:eastAsia="方正仿宋_GBK"/>
          <w:sz w:val="32"/>
          <w:szCs w:val="32"/>
        </w:rPr>
        <w:t>以规模养殖场（户）为重点，落实驻场监管制度，加大兽药、饲料使用安全隐患排查整治，确保畜禽产品生产安全。</w:t>
      </w:r>
      <w:r>
        <w:rPr>
          <w:rFonts w:hint="eastAsia" w:ascii="方正仿宋_GBK" w:hAnsi="方正仿宋_GBK" w:eastAsia="方正仿宋_GBK" w:cs="方正仿宋_GBK"/>
          <w:color w:val="000000"/>
          <w:sz w:val="32"/>
          <w:szCs w:val="32"/>
        </w:rPr>
        <w:t>深化养殖场“三书三有四规范”兽药安全使用管理机制；指导督促落实“三书、规章制度”上墙，建立健全投入品管理制度及档案资料；进一步完善兽药、饲料进、存、用全过程的使用管理制度，完善供应商审计和饲料、兽药使用档案，实行质量安全审查和备案制度；索证索票自建生产企业、产品及供货商资质材料档案。严格执行休（停）药期，兽用处方药兽医处方签等制度；强化服务指导，引导养殖户识假辨假能力，指导科学使用畜牧业投入品。积极开展安全用药宣传和培训活动，督促兽药使用者落实兽药安全使用规定。严禁超剂量、超范围、不执行休药期等滥用抗生素和激素的违法行为，严禁超出适用动物、适用阶段和添加限量等饲料添加剂和违禁物质行为。</w:t>
      </w:r>
    </w:p>
    <w:p w14:paraId="1A3825CB">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（五）常抓实施兽用抗菌药物使用减量化行动</w:t>
      </w:r>
    </w:p>
    <w:p w14:paraId="7B480B3B">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推进兽用抗菌药综合治理，以规模养殖场（小区）为重点，实施“兽用抗菌药物使用减量化行动”，推广使用安全、高效、低残留的中兽药等兽用抗菌药物替代产品，从源头减少兽用抗菌药物使用量；实现兽用抗菌药使用量 “零增长”，兽用抗菌药物抗生素使用量同比降低10%以上。</w:t>
      </w:r>
    </w:p>
    <w:p w14:paraId="1FF64891">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（六）细抓实施兽医诊疗机构（含宠物医院）专项治理行动</w:t>
      </w:r>
    </w:p>
    <w:p w14:paraId="01BB432C">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深入贯彻落实《乡村兽医管理办法》，增强乡村兽医用药安全责任意识；规范督促乡村兽医采购《乡村兽医基本用药目录》（农业部公告第2069号）规定的兽药品种；建立诊疗用药记录，全面推行兽医诊疗用药处方笺制度；加强乡村兽医诊疗用药、诊疗设施设备、废弃物处置情况检查，保证乡村兽医用药安全。</w:t>
      </w:r>
    </w:p>
    <w:p w14:paraId="6BC67018">
      <w:pPr>
        <w:keepNext w:val="0"/>
        <w:keepLines w:val="0"/>
        <w:pageBreakBefore w:val="0"/>
        <w:kinsoku/>
        <w:wordWrap/>
        <w:overflowPunct/>
        <w:topLinePunct w:val="0"/>
        <w:autoSpaceDE/>
        <w:autoSpaceDN/>
        <w:bidi w:val="0"/>
        <w:adjustRightInd/>
        <w:snapToGrid/>
        <w:spacing w:line="540" w:lineRule="exact"/>
        <w:ind w:firstLine="608" w:firstLineChars="200"/>
        <w:jc w:val="left"/>
        <w:textAlignment w:val="auto"/>
        <w:rPr>
          <w:rFonts w:hint="eastAsia" w:ascii="方正黑体_GBK" w:hAnsi="方正黑体_GBK" w:eastAsia="方正黑体_GBK" w:cs="方正黑体_GBK"/>
          <w:b w:val="0"/>
          <w:bCs w:val="0"/>
          <w:w w:val="95"/>
          <w:sz w:val="32"/>
          <w:szCs w:val="32"/>
        </w:rPr>
      </w:pPr>
      <w:r>
        <w:rPr>
          <w:rFonts w:hint="eastAsia" w:ascii="方正黑体_GBK" w:hAnsi="方正黑体_GBK" w:eastAsia="方正黑体_GBK" w:cs="方正黑体_GBK"/>
          <w:b w:val="0"/>
          <w:bCs w:val="0"/>
          <w:w w:val="95"/>
          <w:sz w:val="32"/>
          <w:szCs w:val="32"/>
        </w:rPr>
        <w:t>三、夯实措施，狠抓落实</w:t>
      </w:r>
    </w:p>
    <w:p w14:paraId="0917B9F3">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（一）加强宣传，营造氛围</w:t>
      </w:r>
    </w:p>
    <w:p w14:paraId="48FEF48F">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一是广泛宣传。以集中发放、下乡宣传等形式，宣传发放《兽药管理条例》《</w:t>
      </w:r>
      <w:r>
        <w:rPr>
          <w:rFonts w:hint="eastAsia" w:ascii="方正仿宋_GBK" w:eastAsia="方正仿宋_GBK"/>
          <w:sz w:val="32"/>
          <w:szCs w:val="32"/>
          <w:lang w:eastAsia="zh-CN"/>
        </w:rPr>
        <w:t>饲料和饲料添加剂管理条例</w:t>
      </w:r>
      <w:r>
        <w:rPr>
          <w:rFonts w:hint="eastAsia" w:ascii="方正仿宋_GBK" w:eastAsia="方正仿宋_GBK"/>
          <w:sz w:val="32"/>
          <w:szCs w:val="32"/>
        </w:rPr>
        <w:t>》等法律法规资料，充分发挥舆论宣传的导向和监督作用。二是组织力量。深入兽药、饲料经营单位和养殖场（户），尤其是边远山村经营门店，广泛宣传国家兽药饲料行业管理法规政策，避免出现监管盲点、死角。三是强化培训。加强科普知识宣传和业务培训，提高兽药饲料生产、经营和使用者</w:t>
      </w:r>
      <w:r>
        <w:rPr>
          <w:rFonts w:hint="eastAsia" w:ascii="方正仿宋_GBK" w:hAnsi="华文仿宋" w:eastAsia="方正仿宋_GBK"/>
          <w:sz w:val="32"/>
          <w:szCs w:val="32"/>
        </w:rPr>
        <w:t>质量安全第一责任人意识</w:t>
      </w:r>
      <w:r>
        <w:rPr>
          <w:rFonts w:hint="eastAsia" w:ascii="方正仿宋_GBK" w:eastAsia="方正仿宋_GBK"/>
          <w:sz w:val="32"/>
          <w:szCs w:val="32"/>
        </w:rPr>
        <w:t>，提高养殖户识别真假兽药饲料能力。</w:t>
      </w:r>
    </w:p>
    <w:p w14:paraId="1F2ABDD2">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（二）严格执法，依法许可</w:t>
      </w:r>
    </w:p>
    <w:p w14:paraId="2AEA792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严格按照兽药GSP规范、饲料及饲料添加剂经营企业（户）规定条件进行规范化建设，对未取得许可和取得许可后不按规定生产经营的，责令其限期整改，拒不整改的依法从严从重处罚，确保全区兽药饲料等畜牧投入品经营单位合法持证经营率达100%。</w:t>
      </w:r>
    </w:p>
    <w:p w14:paraId="2AF66FFA">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（三）强化监管，严格执法</w:t>
      </w:r>
    </w:p>
    <w:p w14:paraId="0F8E8AAA">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加强生产环节的监管。对辖区内有生产企业的镇街，要主动积极加强对生产企业的督查和巡查，督促企业建立原料购进登记、生产记录、质量自检记录、销售记录等档案资料，所有产品整齐堆放，规范管理。做到生产企业无超范围生产经营，无“三无”原料和产品，无假冒伪劣、超期变质及不合格产品，做原料进出库有档案登记、生产经营规范有序、仓库堆放规范整齐、产品出库有质检报告的安全放心企业。</w:t>
      </w:r>
    </w:p>
    <w:p w14:paraId="79F2B7F1">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2. 加强经营环节的监管。加强日常监管和巡查，督促辖区内兽药、饲料经营单位建立经营台账。严格执行兽药、饲料进、存、销管理，兽药经营以兽药GSP为标准，加强后续动态监管，杜绝兽药GSP验收通过企业不按GSP相关规定执行。严厉打击违法违规和不按要求经营兽药饲料的行为。</w:t>
      </w:r>
    </w:p>
    <w:p w14:paraId="4B52C04D">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3. 加强使用环节的监管。按照养殖场“三书三有四规范”管理模式和畜产品质量安全控制要求，各养殖场（户）要对安全用料用药和档案资料作出承诺。重点要把好“四关”，即严把兽药饲料“购入关”，严禁不合格产品进入养殖环节；严把兽药饲料“使用关”，严禁不合格产品和过期变质产品投入使用；严把畜禽“出栏关”，坚持休药期制度，严禁未达休药期的畜禽上市销售；严把兽药饲料“处置关”，坚持定期集中处理制度，严禁对不合格和过期变质兽药饲料乱扔乱抛。</w:t>
      </w:r>
    </w:p>
    <w:p w14:paraId="1E8F7360">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4.</w:t>
      </w:r>
      <w:r>
        <w:rPr>
          <w:rFonts w:hint="eastAsia" w:ascii="方正仿宋_GBK" w:eastAsia="方正仿宋_GBK"/>
          <w:sz w:val="32"/>
          <w:szCs w:val="32"/>
          <w:lang w:val="en-US" w:eastAsia="zh-CN"/>
        </w:rPr>
        <w:t xml:space="preserve"> </w:t>
      </w:r>
      <w:r>
        <w:rPr>
          <w:rFonts w:hint="eastAsia" w:ascii="方正仿宋_GBK" w:eastAsia="方正仿宋_GBK"/>
          <w:sz w:val="32"/>
          <w:szCs w:val="32"/>
        </w:rPr>
        <w:t>严格监督管理。通过专项整治行动和日常检查，严厉打击辖区内违法违规生产、经营、使用兽药饲料行为，做到发现一起，惩治一起，绝不姑息迁就。一是清查违禁兽药。对经营、使用环节进行拉网式检查，发现禁用药物立即收缴销毁，并追查其来源、销售去向。二是清查假劣兽药饲料，对生产、经营企业进行重点检查，发现假冒伪劣、过期失效产品进行严厉清查、收缴销毁。三是清查不规范标签。对经营、使用环节不规范标签的产品，禁止经营和使用。四是清查养殖环节兽药饲料使用情况，对各养殖场（户）建立兽药饲料使用档案，签订安全承诺书，做到来源清楚，使用规范。五要加大假劣兽药饲料违法案件曝光力度，公开打假举报电话，强化社会监督。</w:t>
      </w:r>
      <w:r>
        <w:rPr>
          <w:rFonts w:hint="eastAsia" w:ascii="方正仿宋_GBK" w:hAnsi="方正仿宋_GBK" w:eastAsia="方正仿宋_GBK" w:cs="方正仿宋_GBK"/>
          <w:color w:val="000000"/>
          <w:sz w:val="32"/>
          <w:szCs w:val="32"/>
        </w:rPr>
        <w:t>对违反规定的单位，采取约谈主要负责人，限期整改，并进行跟踪回访。对违反规定、拒不整改的违法企业移交农业综合执法部门。</w:t>
      </w:r>
    </w:p>
    <w:p w14:paraId="4592E8EB">
      <w:pPr>
        <w:keepNext w:val="0"/>
        <w:keepLines w:val="0"/>
        <w:pageBreakBefore w:val="0"/>
        <w:kinsoku/>
        <w:wordWrap/>
        <w:overflowPunct/>
        <w:topLinePunct w:val="0"/>
        <w:autoSpaceDE/>
        <w:autoSpaceDN/>
        <w:bidi w:val="0"/>
        <w:adjustRightInd/>
        <w:snapToGrid/>
        <w:spacing w:line="540" w:lineRule="exact"/>
        <w:ind w:firstLine="608" w:firstLineChars="200"/>
        <w:jc w:val="left"/>
        <w:textAlignment w:val="auto"/>
        <w:rPr>
          <w:rFonts w:hint="eastAsia" w:ascii="方正黑体_GBK" w:hAnsi="方正黑体_GBK" w:eastAsia="方正黑体_GBK" w:cs="方正黑体_GBK"/>
          <w:b w:val="0"/>
          <w:bCs w:val="0"/>
          <w:w w:val="95"/>
          <w:sz w:val="32"/>
          <w:szCs w:val="32"/>
        </w:rPr>
      </w:pPr>
      <w:r>
        <w:rPr>
          <w:rFonts w:hint="eastAsia" w:ascii="方正黑体_GBK" w:hAnsi="方正黑体_GBK" w:eastAsia="方正黑体_GBK" w:cs="方正黑体_GBK"/>
          <w:b w:val="0"/>
          <w:bCs w:val="0"/>
          <w:w w:val="95"/>
          <w:sz w:val="32"/>
          <w:szCs w:val="32"/>
        </w:rPr>
        <w:t>四、加强协调，积极推动</w:t>
      </w:r>
    </w:p>
    <w:p w14:paraId="26EAAEB4">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兽药饲料质量安全监管工作涉及多种产品、多个环节，各镇街要在明确法律法规授权和强化自身职能的基础上，加强与相关部门的协调配合。区农业农村委将根据工作安排部署，随机抽查各镇街饲料兽药安全监管工作情况，狠抓各项措施落实，共同督促协作，积极参与绿色健康养殖业推进行动计划，将兽药饲料等投入品质量安全监管工作作为推进国家现代畜牧业示范区发展的重要保障措施。</w:t>
      </w:r>
    </w:p>
    <w:p w14:paraId="49D7DF08">
      <w:pPr>
        <w:keepNext w:val="0"/>
        <w:keepLines w:val="0"/>
        <w:pageBreakBefore w:val="0"/>
        <w:kinsoku/>
        <w:wordWrap/>
        <w:overflowPunct/>
        <w:topLinePunct w:val="0"/>
        <w:autoSpaceDE/>
        <w:autoSpaceDN/>
        <w:bidi w:val="0"/>
        <w:adjustRightInd/>
        <w:snapToGrid/>
        <w:spacing w:line="540" w:lineRule="exact"/>
        <w:textAlignment w:val="auto"/>
        <w:rPr>
          <w:rFonts w:ascii="方正仿宋_GBK" w:eastAsia="方正仿宋_GBK"/>
          <w:sz w:val="32"/>
          <w:szCs w:val="32"/>
        </w:rPr>
      </w:pPr>
    </w:p>
    <w:p w14:paraId="1C76C35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仿宋" w:eastAsia="方正仿宋_GBK" w:cs="仿宋"/>
          <w:sz w:val="32"/>
          <w:szCs w:val="32"/>
        </w:rPr>
      </w:pPr>
      <w:r>
        <w:rPr>
          <w:rFonts w:hint="eastAsia" w:ascii="方正仿宋_GBK" w:eastAsia="方正仿宋_GBK"/>
          <w:sz w:val="32"/>
          <w:szCs w:val="32"/>
        </w:rPr>
        <w:t>附件：</w:t>
      </w:r>
      <w:r>
        <w:rPr>
          <w:rFonts w:hint="eastAsia" w:ascii="方正仿宋_GBK" w:hAnsi="仿宋" w:eastAsia="方正仿宋_GBK" w:cs="仿宋"/>
          <w:sz w:val="32"/>
          <w:szCs w:val="32"/>
        </w:rPr>
        <w:t>大足区饲料经营单位管理档案</w:t>
      </w:r>
    </w:p>
    <w:p w14:paraId="4F443D0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仿宋" w:eastAsia="方正仿宋_GBK" w:cs="仿宋"/>
          <w:sz w:val="32"/>
          <w:szCs w:val="32"/>
        </w:rPr>
      </w:pPr>
    </w:p>
    <w:p w14:paraId="04DF8D81">
      <w:pPr>
        <w:keepNext w:val="0"/>
        <w:keepLines w:val="0"/>
        <w:pageBreakBefore w:val="0"/>
        <w:kinsoku/>
        <w:wordWrap/>
        <w:overflowPunct/>
        <w:topLinePunct w:val="0"/>
        <w:autoSpaceDE/>
        <w:autoSpaceDN/>
        <w:bidi w:val="0"/>
        <w:adjustRightInd/>
        <w:snapToGrid/>
        <w:spacing w:line="540" w:lineRule="exact"/>
        <w:ind w:firstLine="3680" w:firstLineChars="1150"/>
        <w:textAlignment w:val="auto"/>
        <w:rPr>
          <w:rFonts w:ascii="方正仿宋_GBK" w:hAnsi="仿宋" w:eastAsia="方正仿宋_GBK" w:cs="仿宋"/>
          <w:sz w:val="32"/>
          <w:szCs w:val="32"/>
        </w:rPr>
      </w:pPr>
      <w:r>
        <w:rPr>
          <w:rFonts w:hint="eastAsia" w:ascii="方正仿宋_GBK" w:hAnsi="仿宋" w:eastAsia="方正仿宋_GBK" w:cs="仿宋"/>
          <w:sz w:val="32"/>
          <w:szCs w:val="32"/>
        </w:rPr>
        <w:t>重庆市大足区农业农村委员会</w:t>
      </w:r>
    </w:p>
    <w:p w14:paraId="50CCC5C3">
      <w:pPr>
        <w:keepNext w:val="0"/>
        <w:keepLines w:val="0"/>
        <w:pageBreakBefore w:val="0"/>
        <w:kinsoku/>
        <w:wordWrap/>
        <w:overflowPunct/>
        <w:topLinePunct w:val="0"/>
        <w:autoSpaceDE/>
        <w:autoSpaceDN/>
        <w:bidi w:val="0"/>
        <w:adjustRightInd/>
        <w:snapToGrid/>
        <w:spacing w:line="540" w:lineRule="exact"/>
        <w:ind w:firstLine="4800" w:firstLineChars="1500"/>
        <w:textAlignment w:val="auto"/>
        <w:rPr>
          <w:rFonts w:ascii="方正仿宋_GBK" w:hAnsi="仿宋" w:eastAsia="方正仿宋_GBK" w:cs="仿宋"/>
          <w:sz w:val="32"/>
          <w:szCs w:val="32"/>
        </w:rPr>
      </w:pPr>
      <w:r>
        <w:rPr>
          <w:rFonts w:hint="eastAsia" w:ascii="方正仿宋_GBK" w:hAnsi="仿宋" w:eastAsia="方正仿宋_GBK" w:cs="仿宋"/>
          <w:sz w:val="32"/>
          <w:szCs w:val="32"/>
        </w:rPr>
        <w:t>2021年6月17日</w:t>
      </w:r>
    </w:p>
    <w:p w14:paraId="59DA4F24">
      <w:pPr>
        <w:spacing w:line="600" w:lineRule="exact"/>
        <w:ind w:firstLine="4800" w:firstLineChars="1500"/>
        <w:rPr>
          <w:rFonts w:ascii="方正仿宋_GBK" w:hAnsi="仿宋" w:eastAsia="方正仿宋_GBK" w:cs="仿宋"/>
          <w:sz w:val="32"/>
          <w:szCs w:val="32"/>
        </w:rPr>
      </w:pPr>
    </w:p>
    <w:p w14:paraId="132B8BF2">
      <w:pPr>
        <w:spacing w:line="600" w:lineRule="exact"/>
        <w:ind w:firstLine="4800" w:firstLineChars="1500"/>
        <w:rPr>
          <w:rFonts w:ascii="方正仿宋_GBK" w:hAnsi="仿宋" w:eastAsia="方正仿宋_GBK" w:cs="仿宋"/>
          <w:sz w:val="32"/>
          <w:szCs w:val="32"/>
        </w:rPr>
      </w:pPr>
    </w:p>
    <w:p w14:paraId="1B886026">
      <w:pPr>
        <w:spacing w:line="600" w:lineRule="exact"/>
        <w:rPr>
          <w:rFonts w:hint="eastAsia" w:ascii="方正黑体_GBK" w:hAnsi="方正黑体_GBK" w:eastAsia="方正黑体_GBK" w:cs="方正黑体_GBK"/>
          <w:sz w:val="32"/>
          <w:szCs w:val="32"/>
          <w:lang w:eastAsia="zh-CN"/>
        </w:rPr>
      </w:pPr>
    </w:p>
    <w:p w14:paraId="3E8BBDC6">
      <w:pPr>
        <w:spacing w:line="600" w:lineRule="exact"/>
        <w:rPr>
          <w:rFonts w:hint="eastAsia" w:ascii="方正黑体_GBK" w:hAnsi="方正黑体_GBK" w:eastAsia="方正黑体_GBK" w:cs="方正黑体_GBK"/>
          <w:sz w:val="32"/>
          <w:szCs w:val="32"/>
          <w:lang w:eastAsia="zh-CN"/>
        </w:rPr>
      </w:pPr>
    </w:p>
    <w:p w14:paraId="0D7EA490">
      <w:pPr>
        <w:spacing w:line="600" w:lineRule="exact"/>
        <w:rPr>
          <w:rFonts w:hint="eastAsia" w:ascii="方正黑体_GBK" w:hAnsi="方正黑体_GBK" w:eastAsia="方正黑体_GBK" w:cs="方正黑体_GBK"/>
          <w:sz w:val="32"/>
          <w:szCs w:val="32"/>
          <w:lang w:eastAsia="zh-CN"/>
        </w:rPr>
      </w:pPr>
    </w:p>
    <w:p w14:paraId="33DF3021">
      <w:pPr>
        <w:spacing w:line="600" w:lineRule="exact"/>
        <w:rPr>
          <w:rFonts w:hint="eastAsia" w:ascii="方正黑体_GBK" w:hAnsi="方正黑体_GBK" w:eastAsia="方正黑体_GBK" w:cs="方正黑体_GBK"/>
          <w:sz w:val="32"/>
          <w:szCs w:val="32"/>
          <w:lang w:eastAsia="zh-CN"/>
        </w:rPr>
      </w:pPr>
    </w:p>
    <w:p w14:paraId="20C2C83A">
      <w:pPr>
        <w:spacing w:line="600" w:lineRule="exact"/>
        <w:rPr>
          <w:rFonts w:hint="eastAsia" w:ascii="方正黑体_GBK" w:hAnsi="方正黑体_GBK" w:eastAsia="方正黑体_GBK" w:cs="方正黑体_GBK"/>
          <w:sz w:val="32"/>
          <w:szCs w:val="32"/>
          <w:lang w:eastAsia="zh-CN"/>
        </w:rPr>
      </w:pPr>
    </w:p>
    <w:p w14:paraId="22EEB734">
      <w:pPr>
        <w:spacing w:line="600" w:lineRule="exact"/>
        <w:rPr>
          <w:rFonts w:hint="eastAsia" w:ascii="方正黑体_GBK" w:hAnsi="方正黑体_GBK" w:eastAsia="方正黑体_GBK" w:cs="方正黑体_GBK"/>
          <w:sz w:val="32"/>
          <w:szCs w:val="32"/>
          <w:lang w:eastAsia="zh-CN"/>
        </w:rPr>
      </w:pPr>
    </w:p>
    <w:p w14:paraId="2FDB7880">
      <w:pPr>
        <w:spacing w:line="600" w:lineRule="exact"/>
        <w:rPr>
          <w:rFonts w:hint="eastAsia" w:ascii="方正黑体_GBK" w:hAnsi="方正黑体_GBK" w:eastAsia="方正黑体_GBK" w:cs="方正黑体_GBK"/>
          <w:sz w:val="32"/>
          <w:szCs w:val="32"/>
          <w:lang w:eastAsia="zh-CN"/>
        </w:rPr>
      </w:pPr>
    </w:p>
    <w:p w14:paraId="48F5C639">
      <w:pPr>
        <w:spacing w:line="600" w:lineRule="exact"/>
        <w:rPr>
          <w:rFonts w:hint="eastAsia" w:ascii="方正黑体_GBK" w:hAnsi="方正黑体_GBK" w:eastAsia="方正黑体_GBK" w:cs="方正黑体_GBK"/>
          <w:sz w:val="32"/>
          <w:szCs w:val="32"/>
          <w:lang w:eastAsia="zh-CN"/>
        </w:rPr>
      </w:pPr>
    </w:p>
    <w:p w14:paraId="158F5A79">
      <w:pPr>
        <w:spacing w:line="600" w:lineRule="exact"/>
        <w:rPr>
          <w:rFonts w:hint="eastAsia" w:ascii="方正黑体_GBK" w:hAnsi="方正黑体_GBK" w:eastAsia="方正黑体_GBK" w:cs="方正黑体_GBK"/>
          <w:sz w:val="32"/>
          <w:szCs w:val="32"/>
          <w:lang w:eastAsia="zh-CN"/>
        </w:rPr>
      </w:pPr>
    </w:p>
    <w:p w14:paraId="0AD1DF7D">
      <w:pPr>
        <w:spacing w:line="600" w:lineRule="exact"/>
        <w:rPr>
          <w:rFonts w:hint="eastAsia" w:ascii="方正黑体_GBK" w:hAnsi="方正黑体_GBK" w:eastAsia="方正黑体_GBK" w:cs="方正黑体_GBK"/>
          <w:sz w:val="32"/>
          <w:szCs w:val="32"/>
          <w:lang w:eastAsia="zh-CN"/>
        </w:rPr>
      </w:pPr>
    </w:p>
    <w:p w14:paraId="0878A103">
      <w:pPr>
        <w:spacing w:line="600" w:lineRule="exact"/>
        <w:rPr>
          <w:rFonts w:hint="eastAsia" w:ascii="方正黑体_GBK" w:hAnsi="方正黑体_GBK" w:eastAsia="方正黑体_GBK" w:cs="方正黑体_GBK"/>
          <w:sz w:val="32"/>
          <w:szCs w:val="32"/>
          <w:lang w:eastAsia="zh-CN"/>
        </w:rPr>
      </w:pPr>
    </w:p>
    <w:p w14:paraId="4322FB9F">
      <w:pPr>
        <w:spacing w:line="600" w:lineRule="exact"/>
        <w:rPr>
          <w:rFonts w:hint="eastAsia" w:ascii="方正黑体_GBK" w:hAnsi="方正黑体_GBK" w:eastAsia="方正黑体_GBK" w:cs="方正黑体_GBK"/>
          <w:sz w:val="32"/>
          <w:szCs w:val="32"/>
          <w:lang w:eastAsia="zh-CN"/>
        </w:rPr>
      </w:pPr>
    </w:p>
    <w:p w14:paraId="1EF3F54B">
      <w:pPr>
        <w:spacing w:line="600" w:lineRule="exact"/>
        <w:rPr>
          <w:rFonts w:hint="eastAsia" w:ascii="方正黑体_GBK" w:hAnsi="方正黑体_GBK" w:eastAsia="方正黑体_GBK" w:cs="方正黑体_GBK"/>
          <w:sz w:val="32"/>
          <w:szCs w:val="32"/>
          <w:lang w:eastAsia="zh-CN"/>
        </w:rPr>
      </w:pPr>
    </w:p>
    <w:p w14:paraId="16B36457">
      <w:pPr>
        <w:spacing w:line="600" w:lineRule="exact"/>
        <w:rPr>
          <w:rFonts w:ascii="方正仿宋_GBK" w:eastAsia="方正仿宋_GBK"/>
          <w:sz w:val="32"/>
          <w:szCs w:val="32"/>
        </w:rPr>
      </w:pPr>
      <w:r>
        <w:rPr>
          <w:rFonts w:hint="eastAsia" w:ascii="方正黑体_GBK" w:hAnsi="方正黑体_GBK" w:eastAsia="方正黑体_GBK" w:cs="方正黑体_GBK"/>
          <w:sz w:val="32"/>
          <w:szCs w:val="32"/>
          <w:lang w:eastAsia="zh-CN"/>
        </w:rPr>
        <w:t>附件</w:t>
      </w:r>
    </w:p>
    <w:p w14:paraId="3F08A4C8">
      <w:pPr>
        <w:jc w:val="center"/>
        <w:rPr>
          <w:rFonts w:eastAsia="创艺简标宋"/>
          <w:b/>
          <w:sz w:val="44"/>
          <w:szCs w:val="44"/>
        </w:rPr>
      </w:pPr>
      <w:r>
        <w:rPr>
          <w:rFonts w:hint="eastAsia" w:eastAsia="创艺简标宋"/>
          <w:b/>
          <w:sz w:val="44"/>
          <w:szCs w:val="44"/>
        </w:rPr>
        <w:t>大足区饲料经营单位监管档案记录表</w:t>
      </w:r>
    </w:p>
    <w:tbl>
      <w:tblPr>
        <w:tblStyle w:val="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51"/>
        <w:gridCol w:w="1449"/>
        <w:gridCol w:w="463"/>
        <w:gridCol w:w="1912"/>
        <w:gridCol w:w="145"/>
        <w:gridCol w:w="1767"/>
        <w:gridCol w:w="1912"/>
      </w:tblGrid>
      <w:tr w14:paraId="28F5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9560" w:type="dxa"/>
            <w:gridSpan w:val="8"/>
            <w:vAlign w:val="center"/>
          </w:tcPr>
          <w:p w14:paraId="0B2D30A9">
            <w:pPr>
              <w:rPr>
                <w:rFonts w:ascii="黑体" w:eastAsia="黑体"/>
                <w:sz w:val="32"/>
                <w:szCs w:val="32"/>
              </w:rPr>
            </w:pPr>
            <w:r>
              <w:rPr>
                <w:rFonts w:hint="eastAsia" w:ascii="黑体" w:eastAsia="黑体"/>
                <w:b/>
                <w:bCs/>
                <w:sz w:val="32"/>
                <w:szCs w:val="32"/>
              </w:rPr>
              <w:t>企业名称</w:t>
            </w:r>
            <w:r>
              <w:rPr>
                <w:rFonts w:hint="eastAsia" w:ascii="黑体" w:eastAsia="黑体"/>
                <w:sz w:val="32"/>
                <w:szCs w:val="32"/>
              </w:rPr>
              <w:t xml:space="preserve">：                    </w:t>
            </w:r>
            <w:r>
              <w:rPr>
                <w:rFonts w:hint="eastAsia" w:ascii="黑体" w:eastAsia="黑体"/>
                <w:b/>
                <w:bCs/>
                <w:sz w:val="32"/>
                <w:szCs w:val="32"/>
              </w:rPr>
              <w:t>法人代表</w:t>
            </w:r>
            <w:r>
              <w:rPr>
                <w:rFonts w:hint="eastAsia" w:ascii="黑体" w:eastAsia="黑体"/>
                <w:sz w:val="32"/>
                <w:szCs w:val="32"/>
              </w:rPr>
              <w:t xml:space="preserve">：               </w:t>
            </w:r>
          </w:p>
          <w:p w14:paraId="15E021D5">
            <w:pPr>
              <w:ind w:right="105" w:rightChars="50"/>
              <w:rPr>
                <w:sz w:val="32"/>
                <w:szCs w:val="32"/>
              </w:rPr>
            </w:pPr>
            <w:r>
              <w:rPr>
                <w:rFonts w:hint="eastAsia" w:ascii="黑体" w:eastAsia="黑体"/>
                <w:b/>
                <w:bCs/>
                <w:sz w:val="32"/>
                <w:szCs w:val="32"/>
              </w:rPr>
              <w:t>注册地址</w:t>
            </w:r>
            <w:r>
              <w:rPr>
                <w:rFonts w:hint="eastAsia" w:ascii="黑体" w:eastAsia="黑体"/>
                <w:sz w:val="32"/>
                <w:szCs w:val="32"/>
              </w:rPr>
              <w:t xml:space="preserve">：                    </w:t>
            </w:r>
            <w:r>
              <w:rPr>
                <w:rFonts w:hint="eastAsia" w:ascii="黑体" w:eastAsia="黑体"/>
                <w:b/>
                <w:bCs/>
                <w:sz w:val="32"/>
                <w:szCs w:val="32"/>
              </w:rPr>
              <w:t>联系电话</w:t>
            </w:r>
            <w:r>
              <w:rPr>
                <w:rFonts w:hint="eastAsia" w:ascii="黑体" w:eastAsia="黑体"/>
                <w:sz w:val="32"/>
                <w:szCs w:val="32"/>
              </w:rPr>
              <w:t xml:space="preserve">：             </w:t>
            </w:r>
            <w:r>
              <w:rPr>
                <w:sz w:val="32"/>
                <w:szCs w:val="32"/>
              </w:rPr>
              <w:t xml:space="preserve">                 </w:t>
            </w:r>
          </w:p>
        </w:tc>
      </w:tr>
      <w:tr w14:paraId="6DD4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9560" w:type="dxa"/>
            <w:gridSpan w:val="8"/>
          </w:tcPr>
          <w:p w14:paraId="44261CB1">
            <w:pPr>
              <w:ind w:right="105" w:rightChars="50"/>
              <w:rPr>
                <w:rFonts w:ascii="黑体" w:eastAsia="黑体"/>
                <w:sz w:val="32"/>
                <w:szCs w:val="32"/>
              </w:rPr>
            </w:pPr>
            <w:r>
              <w:rPr>
                <w:rFonts w:hint="eastAsia" w:ascii="黑体" w:eastAsia="黑体"/>
                <w:b/>
                <w:bCs/>
                <w:sz w:val="32"/>
                <w:szCs w:val="32"/>
              </w:rPr>
              <w:t>经营条件</w:t>
            </w:r>
            <w:r>
              <w:rPr>
                <w:rFonts w:hint="eastAsia" w:ascii="黑体" w:eastAsia="黑体"/>
                <w:sz w:val="32"/>
                <w:szCs w:val="32"/>
              </w:rPr>
              <w:t>：</w:t>
            </w:r>
            <w:r>
              <w:rPr>
                <w:rFonts w:hint="eastAsia" w:ascii="黑体" w:eastAsia="黑体"/>
                <w:sz w:val="30"/>
                <w:szCs w:val="30"/>
              </w:rPr>
              <w:t>有无经营场所和仓储设施</w:t>
            </w:r>
            <w:r>
              <w:rPr>
                <w:rFonts w:hint="eastAsia" w:ascii="黑体" w:eastAsia="黑体"/>
                <w:sz w:val="36"/>
                <w:szCs w:val="36"/>
              </w:rPr>
              <w:sym w:font="Wingdings" w:char="00A8"/>
            </w:r>
            <w:r>
              <w:rPr>
                <w:rFonts w:hint="eastAsia" w:ascii="黑体" w:eastAsia="黑体"/>
                <w:sz w:val="30"/>
                <w:szCs w:val="30"/>
              </w:rPr>
              <w:t>；有无使用、贮存等知识的技术人员</w:t>
            </w:r>
            <w:r>
              <w:rPr>
                <w:rFonts w:hint="eastAsia" w:ascii="黑体" w:eastAsia="黑体"/>
                <w:sz w:val="36"/>
                <w:szCs w:val="36"/>
              </w:rPr>
              <w:sym w:font="Wingdings" w:char="00A8"/>
            </w:r>
            <w:r>
              <w:rPr>
                <w:rFonts w:hint="eastAsia" w:ascii="黑体" w:eastAsia="黑体"/>
                <w:sz w:val="30"/>
                <w:szCs w:val="30"/>
              </w:rPr>
              <w:t>；有无产品质量管理和安全管理制度</w:t>
            </w:r>
            <w:r>
              <w:rPr>
                <w:rFonts w:hint="eastAsia" w:ascii="黑体" w:eastAsia="黑体"/>
                <w:sz w:val="36"/>
                <w:szCs w:val="36"/>
              </w:rPr>
              <w:sym w:font="Wingdings" w:char="00A8"/>
            </w:r>
            <w:r>
              <w:rPr>
                <w:rFonts w:hint="eastAsia" w:ascii="黑体" w:eastAsia="黑体"/>
                <w:sz w:val="30"/>
                <w:szCs w:val="30"/>
              </w:rPr>
              <w:t>。</w:t>
            </w:r>
          </w:p>
        </w:tc>
      </w:tr>
      <w:tr w14:paraId="1D12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9560" w:type="dxa"/>
            <w:gridSpan w:val="8"/>
            <w:vAlign w:val="center"/>
          </w:tcPr>
          <w:p w14:paraId="59DA17B6">
            <w:pPr>
              <w:jc w:val="center"/>
              <w:rPr>
                <w:rFonts w:ascii="黑体" w:eastAsia="黑体"/>
                <w:sz w:val="32"/>
                <w:szCs w:val="32"/>
              </w:rPr>
            </w:pPr>
            <w:r>
              <w:rPr>
                <w:rFonts w:hint="eastAsia" w:ascii="黑体" w:eastAsia="黑体"/>
                <w:sz w:val="32"/>
                <w:szCs w:val="32"/>
              </w:rPr>
              <w:t>经营主要产品情况</w:t>
            </w:r>
          </w:p>
        </w:tc>
      </w:tr>
      <w:tr w14:paraId="4CEC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61" w:type="dxa"/>
            <w:vAlign w:val="center"/>
          </w:tcPr>
          <w:p w14:paraId="0A91B04D">
            <w:pPr>
              <w:jc w:val="center"/>
              <w:rPr>
                <w:b/>
                <w:bCs/>
              </w:rPr>
            </w:pPr>
            <w:r>
              <w:rPr>
                <w:rFonts w:hint="eastAsia"/>
                <w:b/>
                <w:bCs/>
              </w:rPr>
              <w:t>序号</w:t>
            </w:r>
          </w:p>
        </w:tc>
        <w:tc>
          <w:tcPr>
            <w:tcW w:w="2700" w:type="dxa"/>
            <w:gridSpan w:val="2"/>
            <w:vAlign w:val="center"/>
          </w:tcPr>
          <w:p w14:paraId="4E492F25">
            <w:pPr>
              <w:jc w:val="center"/>
              <w:rPr>
                <w:b/>
                <w:bCs/>
              </w:rPr>
            </w:pPr>
            <w:r>
              <w:rPr>
                <w:rFonts w:hint="eastAsia"/>
                <w:b/>
                <w:bCs/>
              </w:rPr>
              <w:t>产品名称</w:t>
            </w:r>
          </w:p>
        </w:tc>
        <w:tc>
          <w:tcPr>
            <w:tcW w:w="2520" w:type="dxa"/>
            <w:gridSpan w:val="3"/>
            <w:vAlign w:val="center"/>
          </w:tcPr>
          <w:p w14:paraId="0D038373">
            <w:pPr>
              <w:jc w:val="center"/>
              <w:rPr>
                <w:b/>
                <w:bCs/>
              </w:rPr>
            </w:pPr>
            <w:r>
              <w:rPr>
                <w:rFonts w:hint="eastAsia"/>
                <w:b/>
                <w:bCs/>
              </w:rPr>
              <w:t>生产企业</w:t>
            </w:r>
          </w:p>
        </w:tc>
        <w:tc>
          <w:tcPr>
            <w:tcW w:w="3679" w:type="dxa"/>
            <w:gridSpan w:val="2"/>
            <w:vAlign w:val="center"/>
          </w:tcPr>
          <w:p w14:paraId="0F37F03A">
            <w:pPr>
              <w:jc w:val="center"/>
              <w:rPr>
                <w:b/>
                <w:bCs/>
              </w:rPr>
            </w:pPr>
            <w:r>
              <w:rPr>
                <w:rFonts w:hint="eastAsia"/>
                <w:b/>
                <w:bCs/>
                <w:szCs w:val="18"/>
              </w:rPr>
              <w:t>许可情况</w:t>
            </w:r>
            <w:r>
              <w:rPr>
                <w:rFonts w:hint="eastAsia"/>
                <w:b/>
                <w:bCs/>
                <w:sz w:val="18"/>
                <w:szCs w:val="18"/>
              </w:rPr>
              <w:t>（生产许可证明、执行标准等）</w:t>
            </w:r>
          </w:p>
        </w:tc>
      </w:tr>
      <w:tr w14:paraId="7A1C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61" w:type="dxa"/>
            <w:vAlign w:val="center"/>
          </w:tcPr>
          <w:p w14:paraId="6DB2CB7B">
            <w:pPr>
              <w:jc w:val="center"/>
            </w:pPr>
            <w:r>
              <w:rPr>
                <w:rFonts w:hint="eastAsia"/>
              </w:rPr>
              <w:t>1</w:t>
            </w:r>
          </w:p>
        </w:tc>
        <w:tc>
          <w:tcPr>
            <w:tcW w:w="2700" w:type="dxa"/>
            <w:gridSpan w:val="2"/>
            <w:vAlign w:val="center"/>
          </w:tcPr>
          <w:p w14:paraId="4AA1B11A"/>
        </w:tc>
        <w:tc>
          <w:tcPr>
            <w:tcW w:w="2520" w:type="dxa"/>
            <w:gridSpan w:val="3"/>
            <w:vAlign w:val="center"/>
          </w:tcPr>
          <w:p w14:paraId="68971321">
            <w:pPr>
              <w:rPr>
                <w:szCs w:val="20"/>
              </w:rPr>
            </w:pPr>
          </w:p>
        </w:tc>
        <w:tc>
          <w:tcPr>
            <w:tcW w:w="3679" w:type="dxa"/>
            <w:gridSpan w:val="2"/>
          </w:tcPr>
          <w:p w14:paraId="4FBB6242"/>
        </w:tc>
      </w:tr>
      <w:tr w14:paraId="2B6E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61" w:type="dxa"/>
            <w:vAlign w:val="center"/>
          </w:tcPr>
          <w:p w14:paraId="3F007EDF">
            <w:pPr>
              <w:jc w:val="center"/>
            </w:pPr>
            <w:r>
              <w:rPr>
                <w:rFonts w:hint="eastAsia"/>
              </w:rPr>
              <w:t>2</w:t>
            </w:r>
          </w:p>
        </w:tc>
        <w:tc>
          <w:tcPr>
            <w:tcW w:w="2700" w:type="dxa"/>
            <w:gridSpan w:val="2"/>
            <w:vAlign w:val="center"/>
          </w:tcPr>
          <w:p w14:paraId="69D62344"/>
        </w:tc>
        <w:tc>
          <w:tcPr>
            <w:tcW w:w="2520" w:type="dxa"/>
            <w:gridSpan w:val="3"/>
            <w:vAlign w:val="center"/>
          </w:tcPr>
          <w:p w14:paraId="75140361">
            <w:pPr>
              <w:rPr>
                <w:szCs w:val="20"/>
              </w:rPr>
            </w:pPr>
          </w:p>
        </w:tc>
        <w:tc>
          <w:tcPr>
            <w:tcW w:w="3679" w:type="dxa"/>
            <w:gridSpan w:val="2"/>
          </w:tcPr>
          <w:p w14:paraId="6F81F178"/>
        </w:tc>
      </w:tr>
      <w:tr w14:paraId="622D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61" w:type="dxa"/>
            <w:vAlign w:val="center"/>
          </w:tcPr>
          <w:p w14:paraId="56B8C93E">
            <w:pPr>
              <w:jc w:val="center"/>
            </w:pPr>
            <w:r>
              <w:rPr>
                <w:rFonts w:hint="eastAsia"/>
              </w:rPr>
              <w:t>3</w:t>
            </w:r>
          </w:p>
        </w:tc>
        <w:tc>
          <w:tcPr>
            <w:tcW w:w="2700" w:type="dxa"/>
            <w:gridSpan w:val="2"/>
            <w:vAlign w:val="center"/>
          </w:tcPr>
          <w:p w14:paraId="1C541B8B"/>
        </w:tc>
        <w:tc>
          <w:tcPr>
            <w:tcW w:w="2520" w:type="dxa"/>
            <w:gridSpan w:val="3"/>
            <w:vAlign w:val="center"/>
          </w:tcPr>
          <w:p w14:paraId="59445DF7">
            <w:pPr>
              <w:rPr>
                <w:szCs w:val="20"/>
              </w:rPr>
            </w:pPr>
          </w:p>
        </w:tc>
        <w:tc>
          <w:tcPr>
            <w:tcW w:w="3679" w:type="dxa"/>
            <w:gridSpan w:val="2"/>
          </w:tcPr>
          <w:p w14:paraId="50C58451"/>
        </w:tc>
      </w:tr>
      <w:tr w14:paraId="052C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61" w:type="dxa"/>
            <w:vAlign w:val="center"/>
          </w:tcPr>
          <w:p w14:paraId="1C392879">
            <w:pPr>
              <w:jc w:val="center"/>
            </w:pPr>
            <w:r>
              <w:rPr>
                <w:rFonts w:hint="eastAsia"/>
              </w:rPr>
              <w:t>4</w:t>
            </w:r>
          </w:p>
        </w:tc>
        <w:tc>
          <w:tcPr>
            <w:tcW w:w="2700" w:type="dxa"/>
            <w:gridSpan w:val="2"/>
            <w:vAlign w:val="center"/>
          </w:tcPr>
          <w:p w14:paraId="2CF52E7D"/>
        </w:tc>
        <w:tc>
          <w:tcPr>
            <w:tcW w:w="2520" w:type="dxa"/>
            <w:gridSpan w:val="3"/>
            <w:vAlign w:val="center"/>
          </w:tcPr>
          <w:p w14:paraId="62C3C4A4">
            <w:pPr>
              <w:rPr>
                <w:szCs w:val="20"/>
              </w:rPr>
            </w:pPr>
          </w:p>
        </w:tc>
        <w:tc>
          <w:tcPr>
            <w:tcW w:w="3679" w:type="dxa"/>
            <w:gridSpan w:val="2"/>
          </w:tcPr>
          <w:p w14:paraId="664E0A4A"/>
        </w:tc>
      </w:tr>
      <w:tr w14:paraId="68FB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9560" w:type="dxa"/>
            <w:gridSpan w:val="8"/>
            <w:vAlign w:val="center"/>
          </w:tcPr>
          <w:p w14:paraId="2DC8BCE9">
            <w:pPr>
              <w:jc w:val="center"/>
              <w:rPr>
                <w:rFonts w:ascii="黑体" w:eastAsia="黑体"/>
                <w:sz w:val="32"/>
                <w:szCs w:val="32"/>
              </w:rPr>
            </w:pPr>
            <w:r>
              <w:rPr>
                <w:rFonts w:hint="eastAsia" w:ascii="黑体" w:eastAsia="黑体"/>
                <w:sz w:val="32"/>
                <w:szCs w:val="32"/>
              </w:rPr>
              <w:t>监督检查情况</w:t>
            </w:r>
          </w:p>
        </w:tc>
      </w:tr>
      <w:tr w14:paraId="1D56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661" w:type="dxa"/>
            <w:vAlign w:val="center"/>
          </w:tcPr>
          <w:p w14:paraId="7F5BA727">
            <w:pPr>
              <w:jc w:val="center"/>
              <w:rPr>
                <w:rFonts w:ascii="黑体" w:eastAsia="黑体"/>
                <w:b/>
              </w:rPr>
            </w:pPr>
            <w:r>
              <w:rPr>
                <w:rFonts w:hint="eastAsia" w:ascii="黑体" w:eastAsia="黑体"/>
                <w:b/>
              </w:rPr>
              <w:t>时间</w:t>
            </w:r>
          </w:p>
        </w:tc>
        <w:tc>
          <w:tcPr>
            <w:tcW w:w="2700" w:type="dxa"/>
            <w:gridSpan w:val="2"/>
            <w:vAlign w:val="center"/>
          </w:tcPr>
          <w:p w14:paraId="32CE39AE">
            <w:pPr>
              <w:jc w:val="center"/>
              <w:rPr>
                <w:rFonts w:ascii="黑体" w:eastAsia="黑体"/>
                <w:b/>
                <w:bCs/>
              </w:rPr>
            </w:pPr>
            <w:r>
              <w:rPr>
                <w:rFonts w:hint="eastAsia" w:ascii="黑体" w:eastAsia="黑体"/>
                <w:b/>
                <w:bCs/>
              </w:rPr>
              <w:t>现场检查情况</w:t>
            </w:r>
          </w:p>
          <w:p w14:paraId="4E4BE67A">
            <w:pPr>
              <w:jc w:val="center"/>
              <w:rPr>
                <w:rFonts w:ascii="黑体" w:eastAsia="黑体"/>
                <w:b/>
                <w:bCs/>
              </w:rPr>
            </w:pPr>
            <w:r>
              <w:rPr>
                <w:rFonts w:hint="eastAsia" w:ascii="黑体" w:eastAsia="黑体"/>
                <w:b/>
                <w:bCs/>
              </w:rPr>
              <w:t>（存在主要问题）</w:t>
            </w:r>
          </w:p>
        </w:tc>
        <w:tc>
          <w:tcPr>
            <w:tcW w:w="2520" w:type="dxa"/>
            <w:gridSpan w:val="3"/>
            <w:vAlign w:val="center"/>
          </w:tcPr>
          <w:p w14:paraId="2EFB58EA">
            <w:pPr>
              <w:jc w:val="center"/>
              <w:rPr>
                <w:rFonts w:ascii="黑体" w:eastAsia="黑体"/>
                <w:b/>
                <w:bCs/>
                <w:szCs w:val="20"/>
              </w:rPr>
            </w:pPr>
            <w:r>
              <w:rPr>
                <w:rFonts w:hint="eastAsia" w:ascii="黑体" w:eastAsia="黑体"/>
                <w:b/>
                <w:bCs/>
                <w:szCs w:val="20"/>
              </w:rPr>
              <w:t>整改情况</w:t>
            </w:r>
          </w:p>
        </w:tc>
        <w:tc>
          <w:tcPr>
            <w:tcW w:w="3679" w:type="dxa"/>
            <w:gridSpan w:val="2"/>
            <w:vAlign w:val="center"/>
          </w:tcPr>
          <w:p w14:paraId="501E58DA">
            <w:pPr>
              <w:jc w:val="center"/>
              <w:rPr>
                <w:rFonts w:ascii="黑体" w:eastAsia="黑体"/>
                <w:b/>
                <w:bCs/>
              </w:rPr>
            </w:pPr>
            <w:r>
              <w:rPr>
                <w:rFonts w:hint="eastAsia" w:ascii="黑体" w:eastAsia="黑体"/>
                <w:b/>
                <w:bCs/>
              </w:rPr>
              <w:t>处理意见及处理结果</w:t>
            </w:r>
          </w:p>
        </w:tc>
      </w:tr>
      <w:tr w14:paraId="2D63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61" w:type="dxa"/>
            <w:vAlign w:val="center"/>
          </w:tcPr>
          <w:p w14:paraId="0A056B9D">
            <w:pPr>
              <w:jc w:val="center"/>
            </w:pPr>
          </w:p>
        </w:tc>
        <w:tc>
          <w:tcPr>
            <w:tcW w:w="2700" w:type="dxa"/>
            <w:gridSpan w:val="2"/>
            <w:vAlign w:val="center"/>
          </w:tcPr>
          <w:p w14:paraId="0750B5C5">
            <w:pPr>
              <w:spacing w:line="260" w:lineRule="exact"/>
            </w:pPr>
          </w:p>
        </w:tc>
        <w:tc>
          <w:tcPr>
            <w:tcW w:w="2520" w:type="dxa"/>
            <w:gridSpan w:val="3"/>
            <w:vAlign w:val="center"/>
          </w:tcPr>
          <w:p w14:paraId="7C189AD2">
            <w:pPr>
              <w:rPr>
                <w:b/>
                <w:bCs/>
                <w:szCs w:val="20"/>
              </w:rPr>
            </w:pPr>
          </w:p>
        </w:tc>
        <w:tc>
          <w:tcPr>
            <w:tcW w:w="3679" w:type="dxa"/>
            <w:gridSpan w:val="2"/>
          </w:tcPr>
          <w:p w14:paraId="5904F311"/>
        </w:tc>
      </w:tr>
      <w:tr w14:paraId="42AF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661" w:type="dxa"/>
            <w:vAlign w:val="center"/>
          </w:tcPr>
          <w:p w14:paraId="6FDCE4DB">
            <w:pPr>
              <w:jc w:val="center"/>
            </w:pPr>
          </w:p>
        </w:tc>
        <w:tc>
          <w:tcPr>
            <w:tcW w:w="2700" w:type="dxa"/>
            <w:gridSpan w:val="2"/>
            <w:vAlign w:val="center"/>
          </w:tcPr>
          <w:p w14:paraId="70993E90">
            <w:pPr>
              <w:spacing w:line="260" w:lineRule="exact"/>
            </w:pPr>
          </w:p>
        </w:tc>
        <w:tc>
          <w:tcPr>
            <w:tcW w:w="2520" w:type="dxa"/>
            <w:gridSpan w:val="3"/>
            <w:vAlign w:val="center"/>
          </w:tcPr>
          <w:p w14:paraId="104617C0">
            <w:pPr>
              <w:rPr>
                <w:szCs w:val="20"/>
              </w:rPr>
            </w:pPr>
          </w:p>
        </w:tc>
        <w:tc>
          <w:tcPr>
            <w:tcW w:w="3679" w:type="dxa"/>
            <w:gridSpan w:val="2"/>
          </w:tcPr>
          <w:p w14:paraId="663FE1C9"/>
        </w:tc>
      </w:tr>
      <w:tr w14:paraId="1246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61" w:type="dxa"/>
            <w:vAlign w:val="center"/>
          </w:tcPr>
          <w:p w14:paraId="1C531ECC">
            <w:pPr>
              <w:jc w:val="center"/>
            </w:pPr>
          </w:p>
        </w:tc>
        <w:tc>
          <w:tcPr>
            <w:tcW w:w="2700" w:type="dxa"/>
            <w:gridSpan w:val="2"/>
            <w:vAlign w:val="center"/>
          </w:tcPr>
          <w:p w14:paraId="114CC9DF">
            <w:pPr>
              <w:spacing w:line="260" w:lineRule="exact"/>
            </w:pPr>
          </w:p>
        </w:tc>
        <w:tc>
          <w:tcPr>
            <w:tcW w:w="2520" w:type="dxa"/>
            <w:gridSpan w:val="3"/>
            <w:vAlign w:val="center"/>
          </w:tcPr>
          <w:p w14:paraId="20C4F072">
            <w:pPr>
              <w:rPr>
                <w:szCs w:val="20"/>
              </w:rPr>
            </w:pPr>
          </w:p>
        </w:tc>
        <w:tc>
          <w:tcPr>
            <w:tcW w:w="3679" w:type="dxa"/>
            <w:gridSpan w:val="2"/>
          </w:tcPr>
          <w:p w14:paraId="5E06EA72"/>
        </w:tc>
      </w:tr>
      <w:tr w14:paraId="6BEC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61" w:type="dxa"/>
            <w:vAlign w:val="center"/>
          </w:tcPr>
          <w:p w14:paraId="2D7BFD90">
            <w:pPr>
              <w:jc w:val="center"/>
            </w:pPr>
          </w:p>
        </w:tc>
        <w:tc>
          <w:tcPr>
            <w:tcW w:w="2700" w:type="dxa"/>
            <w:gridSpan w:val="2"/>
            <w:vAlign w:val="center"/>
          </w:tcPr>
          <w:p w14:paraId="5081DE20">
            <w:pPr>
              <w:spacing w:line="260" w:lineRule="exact"/>
            </w:pPr>
          </w:p>
        </w:tc>
        <w:tc>
          <w:tcPr>
            <w:tcW w:w="2520" w:type="dxa"/>
            <w:gridSpan w:val="3"/>
            <w:vAlign w:val="center"/>
          </w:tcPr>
          <w:p w14:paraId="720C6E18">
            <w:pPr>
              <w:rPr>
                <w:szCs w:val="20"/>
              </w:rPr>
            </w:pPr>
          </w:p>
        </w:tc>
        <w:tc>
          <w:tcPr>
            <w:tcW w:w="3679" w:type="dxa"/>
            <w:gridSpan w:val="2"/>
          </w:tcPr>
          <w:p w14:paraId="08D98857"/>
        </w:tc>
      </w:tr>
      <w:tr w14:paraId="2A8C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560" w:type="dxa"/>
            <w:gridSpan w:val="8"/>
            <w:vAlign w:val="center"/>
          </w:tcPr>
          <w:p w14:paraId="0FE53CB1">
            <w:pPr>
              <w:jc w:val="center"/>
              <w:rPr>
                <w:rFonts w:ascii="黑体" w:eastAsia="黑体"/>
                <w:b/>
                <w:sz w:val="28"/>
                <w:szCs w:val="28"/>
              </w:rPr>
            </w:pPr>
            <w:r>
              <w:rPr>
                <w:rFonts w:hint="eastAsia" w:ascii="黑体" w:eastAsia="黑体"/>
                <w:b/>
                <w:sz w:val="28"/>
                <w:szCs w:val="28"/>
              </w:rPr>
              <w:t>产品销售情况</w:t>
            </w:r>
          </w:p>
        </w:tc>
      </w:tr>
      <w:tr w14:paraId="15FA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912" w:type="dxa"/>
            <w:gridSpan w:val="2"/>
            <w:vAlign w:val="center"/>
          </w:tcPr>
          <w:p w14:paraId="77D317C5">
            <w:pPr>
              <w:jc w:val="center"/>
              <w:rPr>
                <w:rFonts w:ascii="黑体" w:eastAsia="黑体"/>
                <w:b/>
                <w:bCs/>
                <w:sz w:val="24"/>
              </w:rPr>
            </w:pPr>
            <w:r>
              <w:rPr>
                <w:rFonts w:hint="eastAsia" w:ascii="黑体" w:eastAsia="黑体"/>
                <w:b/>
                <w:bCs/>
                <w:sz w:val="24"/>
              </w:rPr>
              <w:t>配 合</w:t>
            </w:r>
          </w:p>
          <w:p w14:paraId="2D025D88">
            <w:pPr>
              <w:jc w:val="center"/>
              <w:rPr>
                <w:rFonts w:ascii="黑体" w:eastAsia="黑体"/>
                <w:b/>
                <w:bCs/>
              </w:rPr>
            </w:pPr>
            <w:r>
              <w:rPr>
                <w:rFonts w:hint="eastAsia" w:ascii="黑体" w:eastAsia="黑体"/>
                <w:b/>
                <w:bCs/>
                <w:sz w:val="24"/>
              </w:rPr>
              <w:t>饲 料</w:t>
            </w:r>
          </w:p>
        </w:tc>
        <w:tc>
          <w:tcPr>
            <w:tcW w:w="1912" w:type="dxa"/>
            <w:gridSpan w:val="2"/>
            <w:vAlign w:val="center"/>
          </w:tcPr>
          <w:p w14:paraId="45EEE2DD">
            <w:pPr>
              <w:jc w:val="center"/>
              <w:rPr>
                <w:rFonts w:ascii="黑体" w:eastAsia="黑体"/>
                <w:b/>
                <w:bCs/>
                <w:sz w:val="24"/>
              </w:rPr>
            </w:pPr>
            <w:r>
              <w:rPr>
                <w:rFonts w:hint="eastAsia" w:ascii="黑体" w:eastAsia="黑体"/>
                <w:b/>
                <w:bCs/>
                <w:sz w:val="24"/>
              </w:rPr>
              <w:t>浓 缩</w:t>
            </w:r>
          </w:p>
          <w:p w14:paraId="2D8FD02A">
            <w:pPr>
              <w:jc w:val="center"/>
              <w:rPr>
                <w:b/>
                <w:bCs/>
                <w:szCs w:val="18"/>
              </w:rPr>
            </w:pPr>
            <w:r>
              <w:rPr>
                <w:rFonts w:hint="eastAsia" w:ascii="黑体" w:eastAsia="黑体"/>
                <w:b/>
                <w:bCs/>
                <w:sz w:val="24"/>
              </w:rPr>
              <w:t>饲 料</w:t>
            </w:r>
          </w:p>
        </w:tc>
        <w:tc>
          <w:tcPr>
            <w:tcW w:w="1912" w:type="dxa"/>
            <w:vAlign w:val="center"/>
          </w:tcPr>
          <w:p w14:paraId="2DAF3BE9">
            <w:pPr>
              <w:jc w:val="center"/>
              <w:rPr>
                <w:b/>
                <w:bCs/>
                <w:szCs w:val="20"/>
              </w:rPr>
            </w:pPr>
            <w:r>
              <w:rPr>
                <w:rFonts w:hint="eastAsia" w:ascii="黑体" w:eastAsia="黑体"/>
                <w:b/>
                <w:bCs/>
                <w:sz w:val="24"/>
              </w:rPr>
              <w:t>预混料</w:t>
            </w:r>
          </w:p>
        </w:tc>
        <w:tc>
          <w:tcPr>
            <w:tcW w:w="1912" w:type="dxa"/>
            <w:gridSpan w:val="2"/>
            <w:vAlign w:val="center"/>
          </w:tcPr>
          <w:p w14:paraId="02AC556F">
            <w:pPr>
              <w:jc w:val="center"/>
              <w:rPr>
                <w:b/>
                <w:bCs/>
              </w:rPr>
            </w:pPr>
            <w:r>
              <w:rPr>
                <w:rFonts w:hint="eastAsia" w:ascii="黑体" w:eastAsia="黑体"/>
                <w:b/>
                <w:bCs/>
                <w:sz w:val="24"/>
              </w:rPr>
              <w:t>合计</w:t>
            </w:r>
          </w:p>
        </w:tc>
        <w:tc>
          <w:tcPr>
            <w:tcW w:w="1912" w:type="dxa"/>
            <w:vAlign w:val="center"/>
          </w:tcPr>
          <w:p w14:paraId="3AE15D1B">
            <w:pPr>
              <w:jc w:val="center"/>
              <w:rPr>
                <w:b/>
                <w:bCs/>
              </w:rPr>
            </w:pPr>
            <w:r>
              <w:rPr>
                <w:rFonts w:hint="eastAsia"/>
                <w:b/>
                <w:bCs/>
              </w:rPr>
              <w:t>备注</w:t>
            </w:r>
          </w:p>
        </w:tc>
      </w:tr>
      <w:tr w14:paraId="62D4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12" w:type="dxa"/>
            <w:gridSpan w:val="2"/>
            <w:vAlign w:val="center"/>
          </w:tcPr>
          <w:p w14:paraId="104C1133">
            <w:pPr>
              <w:jc w:val="center"/>
              <w:rPr>
                <w:rFonts w:ascii="黑体" w:eastAsia="黑体"/>
                <w:b/>
              </w:rPr>
            </w:pPr>
          </w:p>
        </w:tc>
        <w:tc>
          <w:tcPr>
            <w:tcW w:w="1912" w:type="dxa"/>
            <w:gridSpan w:val="2"/>
            <w:vAlign w:val="center"/>
          </w:tcPr>
          <w:p w14:paraId="28114F46">
            <w:pPr>
              <w:jc w:val="center"/>
              <w:rPr>
                <w:sz w:val="24"/>
              </w:rPr>
            </w:pPr>
          </w:p>
        </w:tc>
        <w:tc>
          <w:tcPr>
            <w:tcW w:w="1912" w:type="dxa"/>
            <w:vAlign w:val="center"/>
          </w:tcPr>
          <w:p w14:paraId="42DD905B">
            <w:pPr>
              <w:jc w:val="center"/>
              <w:rPr>
                <w:szCs w:val="20"/>
              </w:rPr>
            </w:pPr>
          </w:p>
        </w:tc>
        <w:tc>
          <w:tcPr>
            <w:tcW w:w="1912" w:type="dxa"/>
            <w:gridSpan w:val="2"/>
          </w:tcPr>
          <w:p w14:paraId="301AB519">
            <w:pPr>
              <w:jc w:val="center"/>
            </w:pPr>
          </w:p>
        </w:tc>
        <w:tc>
          <w:tcPr>
            <w:tcW w:w="1912" w:type="dxa"/>
            <w:vAlign w:val="center"/>
          </w:tcPr>
          <w:p w14:paraId="0C5236D9">
            <w:pPr>
              <w:jc w:val="center"/>
            </w:pPr>
            <w:r>
              <w:rPr>
                <w:rFonts w:hint="eastAsia"/>
              </w:rPr>
              <w:t>单位：吨</w:t>
            </w:r>
          </w:p>
        </w:tc>
      </w:tr>
    </w:tbl>
    <w:p w14:paraId="02931C72"/>
    <w:sectPr>
      <w:footerReference r:id="rId3" w:type="default"/>
      <w:footerReference r:id="rId4" w:type="even"/>
      <w:pgSz w:w="11906" w:h="16838"/>
      <w:pgMar w:top="1985" w:right="780" w:bottom="1644" w:left="12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创艺简标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2480"/>
    </w:sdtPr>
    <w:sdtEndPr>
      <w:rPr>
        <w:rFonts w:asciiTheme="minorEastAsia" w:hAnsiTheme="minorEastAsia" w:eastAsiaTheme="minorEastAsia"/>
        <w:sz w:val="28"/>
        <w:szCs w:val="28"/>
      </w:rPr>
    </w:sdtEndPr>
    <w:sdtContent>
      <w:p w14:paraId="7E621B45">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10C3A7D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2483"/>
    </w:sdtPr>
    <w:sdtEndPr>
      <w:rPr>
        <w:rFonts w:asciiTheme="minorEastAsia" w:hAnsiTheme="minorEastAsia" w:eastAsiaTheme="minorEastAsia"/>
        <w:sz w:val="28"/>
        <w:szCs w:val="28"/>
      </w:rPr>
    </w:sdtEndPr>
    <w:sdtContent>
      <w:p w14:paraId="728FFC81">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14:paraId="6029206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61"/>
    <w:rsid w:val="00014D35"/>
    <w:rsid w:val="00231933"/>
    <w:rsid w:val="00342B34"/>
    <w:rsid w:val="003C5BA8"/>
    <w:rsid w:val="003F332F"/>
    <w:rsid w:val="00596ED6"/>
    <w:rsid w:val="00656560"/>
    <w:rsid w:val="00722DBF"/>
    <w:rsid w:val="007468C6"/>
    <w:rsid w:val="00870E6C"/>
    <w:rsid w:val="008D61F8"/>
    <w:rsid w:val="009440F7"/>
    <w:rsid w:val="0095281A"/>
    <w:rsid w:val="00956578"/>
    <w:rsid w:val="009F4C19"/>
    <w:rsid w:val="00AB59E6"/>
    <w:rsid w:val="00C65F7C"/>
    <w:rsid w:val="00D25C3E"/>
    <w:rsid w:val="00E63A6D"/>
    <w:rsid w:val="00EF2BAC"/>
    <w:rsid w:val="00F32481"/>
    <w:rsid w:val="00F60619"/>
    <w:rsid w:val="00FE0D61"/>
    <w:rsid w:val="03D42911"/>
    <w:rsid w:val="07976C0C"/>
    <w:rsid w:val="08793D2D"/>
    <w:rsid w:val="0B6276BB"/>
    <w:rsid w:val="132258F4"/>
    <w:rsid w:val="16D92FAF"/>
    <w:rsid w:val="27A80642"/>
    <w:rsid w:val="3228265B"/>
    <w:rsid w:val="3ABC4271"/>
    <w:rsid w:val="3CF26C69"/>
    <w:rsid w:val="3DB955BE"/>
    <w:rsid w:val="3EEB363A"/>
    <w:rsid w:val="3F835E6C"/>
    <w:rsid w:val="408A3316"/>
    <w:rsid w:val="413C1689"/>
    <w:rsid w:val="4A9525D9"/>
    <w:rsid w:val="4EDA5CED"/>
    <w:rsid w:val="5EEA4919"/>
    <w:rsid w:val="6351337D"/>
    <w:rsid w:val="6D0F6168"/>
    <w:rsid w:val="740C3A2B"/>
    <w:rsid w:val="769D0552"/>
    <w:rsid w:val="78352731"/>
    <w:rsid w:val="7D527251"/>
    <w:rsid w:val="7DFD289F"/>
    <w:rsid w:val="7F0439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paragraph" w:customStyle="1" w:styleId="9">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脚 Char"/>
    <w:basedOn w:val="7"/>
    <w:link w:val="4"/>
    <w:qFormat/>
    <w:uiPriority w:val="99"/>
    <w:rPr>
      <w:rFonts w:ascii="Times New Roman" w:hAnsi="Times New Roman" w:eastAsia="宋体" w:cs="Times New Roman"/>
      <w:sz w:val="18"/>
      <w:szCs w:val="24"/>
    </w:rPr>
  </w:style>
  <w:style w:type="character" w:customStyle="1" w:styleId="11">
    <w:name w:val="页眉 Char"/>
    <w:basedOn w:val="7"/>
    <w:link w:val="5"/>
    <w:semiHidden/>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kern w:val="2"/>
      <w:sz w:val="18"/>
      <w:szCs w:val="18"/>
    </w:rPr>
  </w:style>
  <w:style w:type="character" w:customStyle="1" w:styleId="13">
    <w:name w:val="日期 Char"/>
    <w:basedOn w:val="7"/>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3298</Words>
  <Characters>3328</Characters>
  <Lines>25</Lines>
  <Paragraphs>7</Paragraphs>
  <TotalTime>12</TotalTime>
  <ScaleCrop>false</ScaleCrop>
  <LinksUpToDate>false</LinksUpToDate>
  <CharactersWithSpaces>3422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2021-06-18T02:00:00Z</dcterms:created>
  <dc:creator>李奇英</dc:creator>
  <cp:lastModifiedBy>微微จุ๊บ</cp:lastModifiedBy>
  <dcterms:modified xsi:type="dcterms:W3CDTF">2025-07-01T02:25:06Z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1DF23356824542A78F4C8DD78C6719EF</vt:lpwstr>
  </property>
  <property fmtid="{D5CDD505-2E9C-101B-9397-08002B2CF9AE}" pid="4" name="KSOTemplateDocerSaveRecord">
    <vt:lpwstr>eyJoZGlkIjoiMWFkODIzNDMyZDYzYThhN2IwMzIyOTBlNmMwMzY0NjEiLCJ1c2VySWQiOiI1ODUyNzk5NDYifQ==</vt:lpwstr>
  </property>
</Properties>
</file>