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1B4F428">
      <w:pPr>
        <w:keepNext w:val="0"/>
        <w:keepLines w:val="0"/>
        <w:pageBreakBefore w:val="0"/>
        <w:widowControl/>
        <w:kinsoku/>
        <w:wordWrap w:val="0"/>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olor w:val="000000"/>
          <w:spacing w:val="6"/>
          <w:w w:val="90"/>
          <w:kern w:val="0"/>
          <w:sz w:val="32"/>
          <w:szCs w:val="32"/>
          <w:lang w:eastAsia="zh-CN"/>
        </w:rPr>
      </w:pPr>
    </w:p>
    <w:p w14:paraId="600D937D">
      <w:pPr>
        <w:keepNext w:val="0"/>
        <w:keepLines w:val="0"/>
        <w:pageBreakBefore w:val="0"/>
        <w:widowControl/>
        <w:kinsoku/>
        <w:wordWrap w:val="0"/>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olor w:val="000000"/>
          <w:spacing w:val="6"/>
          <w:w w:val="90"/>
          <w:kern w:val="0"/>
          <w:sz w:val="32"/>
          <w:szCs w:val="32"/>
          <w:lang w:eastAsia="zh-CN"/>
        </w:rPr>
      </w:pPr>
    </w:p>
    <w:p w14:paraId="611C5941">
      <w:pPr>
        <w:keepNext w:val="0"/>
        <w:keepLines w:val="0"/>
        <w:pageBreakBefore w:val="0"/>
        <w:widowControl/>
        <w:kinsoku/>
        <w:wordWrap w:val="0"/>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olor w:val="000000"/>
          <w:spacing w:val="6"/>
          <w:w w:val="90"/>
          <w:kern w:val="0"/>
          <w:sz w:val="32"/>
          <w:szCs w:val="32"/>
          <w:lang w:eastAsia="zh-CN"/>
        </w:rPr>
      </w:pPr>
    </w:p>
    <w:p w14:paraId="11AE77BC">
      <w:pPr>
        <w:keepNext w:val="0"/>
        <w:keepLines w:val="0"/>
        <w:pageBreakBefore w:val="0"/>
        <w:widowControl/>
        <w:kinsoku/>
        <w:wordWrap w:val="0"/>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olor w:val="000000"/>
          <w:spacing w:val="6"/>
          <w:w w:val="90"/>
          <w:kern w:val="0"/>
          <w:sz w:val="32"/>
          <w:szCs w:val="32"/>
          <w:lang w:eastAsia="zh-CN"/>
        </w:rPr>
      </w:pPr>
    </w:p>
    <w:p w14:paraId="52257FFA">
      <w:pPr>
        <w:keepNext w:val="0"/>
        <w:keepLines w:val="0"/>
        <w:pageBreakBefore w:val="0"/>
        <w:widowControl/>
        <w:kinsoku/>
        <w:wordWrap w:val="0"/>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olor w:val="000000"/>
          <w:spacing w:val="6"/>
          <w:w w:val="90"/>
          <w:kern w:val="0"/>
          <w:sz w:val="32"/>
          <w:szCs w:val="32"/>
          <w:lang w:eastAsia="zh-CN"/>
        </w:rPr>
      </w:pPr>
    </w:p>
    <w:p w14:paraId="5A1B6C39">
      <w:pPr>
        <w:pStyle w:val="2"/>
        <w:keepNext w:val="0"/>
        <w:keepLines w:val="0"/>
        <w:pageBreakBefore w:val="0"/>
        <w:kinsoku/>
        <w:overflowPunct/>
        <w:topLinePunct w:val="0"/>
        <w:autoSpaceDE/>
        <w:autoSpaceDN/>
        <w:bidi w:val="0"/>
        <w:adjustRightInd/>
        <w:spacing w:before="0" w:beforeLines="0" w:after="0" w:afterLines="0" w:line="580" w:lineRule="exact"/>
        <w:jc w:val="center"/>
        <w:rPr>
          <w:rFonts w:hint="default" w:ascii="Times New Roman" w:hAnsi="Times New Roman" w:eastAsia="方正仿宋_GBK" w:cs="Times New Roman"/>
          <w:sz w:val="32"/>
          <w:szCs w:val="32"/>
          <w:lang w:eastAsia="zh-CN"/>
        </w:rPr>
      </w:pPr>
    </w:p>
    <w:p w14:paraId="24192E6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olor w:val="000000"/>
          <w:spacing w:val="6"/>
          <w:w w:val="90"/>
          <w:kern w:val="0"/>
          <w:sz w:val="32"/>
          <w:szCs w:val="32"/>
          <w:lang w:eastAsia="zh-CN"/>
        </w:rPr>
      </w:pPr>
      <w:r>
        <w:rPr>
          <w:rFonts w:hint="default" w:ascii="Times New Roman" w:hAnsi="Times New Roman" w:eastAsia="方正仿宋_GBK" w:cs="Times New Roman"/>
          <w:sz w:val="32"/>
          <w:szCs w:val="32"/>
        </w:rPr>
        <w:t>大足农委</w:t>
      </w:r>
      <w:r>
        <w:rPr>
          <w:rFonts w:hint="default" w:ascii="Times New Roman" w:hAnsi="Times New Roman" w:eastAsia="方正仿宋_GBK" w:cs="Times New Roman"/>
          <w:sz w:val="32"/>
          <w:szCs w:val="32"/>
          <w:lang w:eastAsia="zh-CN"/>
        </w:rPr>
        <w:t>发</w:t>
      </w:r>
      <w:r>
        <w:rPr>
          <w:rFonts w:hint="default" w:ascii="Times New Roman" w:hAnsi="Times New Roman" w:eastAsia="方正仿宋_GBK" w:cs="Times New Roman"/>
          <w:color w:val="000000"/>
          <w:spacing w:val="20"/>
          <w:sz w:val="32"/>
          <w:szCs w:val="32"/>
        </w:rPr>
        <w:t>〔</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color w:val="000000"/>
          <w:spacing w:val="20"/>
          <w:sz w:val="32"/>
          <w:szCs w:val="32"/>
        </w:rPr>
        <w:t>〕</w:t>
      </w:r>
      <w:r>
        <w:rPr>
          <w:rFonts w:hint="eastAsia" w:ascii="Times New Roman" w:hAnsi="Times New Roman" w:eastAsia="方正仿宋_GBK" w:cs="Times New Roman"/>
          <w:color w:val="000000"/>
          <w:spacing w:val="20"/>
          <w:sz w:val="32"/>
          <w:szCs w:val="32"/>
          <w:lang w:val="en-US" w:eastAsia="zh-CN"/>
        </w:rPr>
        <w:t>56</w:t>
      </w:r>
      <w:r>
        <w:rPr>
          <w:rFonts w:hint="default" w:ascii="Times New Roman" w:hAnsi="Times New Roman" w:eastAsia="方正仿宋_GBK" w:cs="Times New Roman"/>
          <w:color w:val="000000"/>
          <w:spacing w:val="20"/>
          <w:sz w:val="32"/>
          <w:szCs w:val="32"/>
        </w:rPr>
        <w:t>号</w:t>
      </w:r>
    </w:p>
    <w:p w14:paraId="5DB2E26F">
      <w:pPr>
        <w:keepNext w:val="0"/>
        <w:keepLines w:val="0"/>
        <w:pageBreakBefore w:val="0"/>
        <w:widowControl/>
        <w:kinsoku/>
        <w:wordWrap w:val="0"/>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olor w:val="000000"/>
          <w:spacing w:val="6"/>
          <w:w w:val="90"/>
          <w:kern w:val="0"/>
          <w:sz w:val="32"/>
          <w:szCs w:val="32"/>
          <w:lang w:eastAsia="zh-CN"/>
        </w:rPr>
      </w:pPr>
    </w:p>
    <w:p w14:paraId="78D7DB44">
      <w:pPr>
        <w:keepNext w:val="0"/>
        <w:keepLines w:val="0"/>
        <w:pageBreakBefore w:val="0"/>
        <w:widowControl w:val="0"/>
        <w:kinsoku/>
        <w:wordWrap/>
        <w:overflowPunct/>
        <w:topLinePunct w:val="0"/>
        <w:autoSpaceDE/>
        <w:autoSpaceDN/>
        <w:bidi w:val="0"/>
        <w:adjustRightInd/>
        <w:spacing w:line="594" w:lineRule="exact"/>
        <w:ind w:left="0" w:leftChars="0"/>
        <w:jc w:val="center"/>
        <w:textAlignment w:val="auto"/>
        <w:rPr>
          <w:rFonts w:hint="default" w:ascii="Times New Roman" w:hAnsi="Times New Roman" w:eastAsia="方正小标宋_GBK" w:cs="Times New Roman"/>
          <w:color w:val="000000"/>
          <w:spacing w:val="20"/>
          <w:kern w:val="0"/>
          <w:sz w:val="44"/>
          <w:szCs w:val="44"/>
        </w:rPr>
      </w:pPr>
      <w:r>
        <w:rPr>
          <w:rFonts w:hint="default" w:ascii="Times New Roman" w:hAnsi="Times New Roman" w:eastAsia="方正小标宋_GBK" w:cs="Times New Roman"/>
          <w:color w:val="000000"/>
          <w:spacing w:val="0"/>
          <w:kern w:val="0"/>
          <w:sz w:val="44"/>
          <w:szCs w:val="44"/>
        </w:rPr>
        <w:t>重庆市大足区农业农村委员会</w:t>
      </w:r>
    </w:p>
    <w:p w14:paraId="774CCD18">
      <w:pPr>
        <w:keepNext w:val="0"/>
        <w:keepLines w:val="0"/>
        <w:pageBreakBefore w:val="0"/>
        <w:widowControl w:val="0"/>
        <w:kinsoku/>
        <w:wordWrap/>
        <w:overflowPunct/>
        <w:topLinePunct w:val="0"/>
        <w:autoSpaceDE/>
        <w:autoSpaceDN/>
        <w:bidi w:val="0"/>
        <w:adjustRightInd/>
        <w:spacing w:line="594" w:lineRule="exact"/>
        <w:ind w:left="0" w:leftChars="0"/>
        <w:jc w:val="center"/>
        <w:textAlignment w:val="auto"/>
        <w:rPr>
          <w:rFonts w:hint="default" w:ascii="Times New Roman" w:hAnsi="Times New Roman" w:eastAsia="方正小标宋_GBK" w:cs="Times New Roman"/>
          <w:color w:val="000000"/>
          <w:spacing w:val="85"/>
          <w:kern w:val="0"/>
          <w:sz w:val="44"/>
          <w:szCs w:val="44"/>
        </w:rPr>
      </w:pPr>
      <w:r>
        <w:rPr>
          <w:rFonts w:hint="default" w:ascii="Times New Roman" w:hAnsi="Times New Roman" w:eastAsia="方正小标宋_GBK" w:cs="Times New Roman"/>
          <w:color w:val="000000"/>
          <w:spacing w:val="85"/>
          <w:kern w:val="0"/>
          <w:sz w:val="44"/>
          <w:szCs w:val="44"/>
        </w:rPr>
        <w:t>重庆市大足区财政局</w:t>
      </w:r>
    </w:p>
    <w:p w14:paraId="139453E7">
      <w:pPr>
        <w:keepNext w:val="0"/>
        <w:keepLines w:val="0"/>
        <w:pageBreakBefore w:val="0"/>
        <w:widowControl w:val="0"/>
        <w:kinsoku/>
        <w:wordWrap/>
        <w:overflowPunct/>
        <w:topLinePunct w:val="0"/>
        <w:autoSpaceDE/>
        <w:autoSpaceDN/>
        <w:bidi w:val="0"/>
        <w:adjustRightInd/>
        <w:spacing w:line="594" w:lineRule="exact"/>
        <w:ind w:left="0" w:leftChars="0"/>
        <w:jc w:val="center"/>
        <w:textAlignment w:val="auto"/>
        <w:rPr>
          <w:rFonts w:hint="default" w:ascii="Times New Roman" w:hAnsi="Times New Roman" w:eastAsia="方正小标宋_GBK" w:cs="Times New Roman"/>
          <w:color w:val="000000"/>
          <w:spacing w:val="0"/>
          <w:sz w:val="32"/>
          <w:szCs w:val="32"/>
        </w:rPr>
      </w:pPr>
      <w:r>
        <w:rPr>
          <w:rFonts w:hint="default" w:ascii="Times New Roman" w:hAnsi="Times New Roman" w:eastAsia="方正小标宋_GBK" w:cs="Times New Roman"/>
          <w:color w:val="000000"/>
          <w:spacing w:val="0"/>
          <w:kern w:val="0"/>
          <w:sz w:val="44"/>
          <w:szCs w:val="44"/>
        </w:rPr>
        <w:t>关于做好2023年创新性农业保险工作的通知</w:t>
      </w:r>
    </w:p>
    <w:p w14:paraId="2B2AFE5E">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仿宋_GB2312" w:cs="Times New Roman"/>
          <w:color w:val="000000"/>
          <w:spacing w:val="20"/>
          <w:sz w:val="32"/>
          <w:szCs w:val="32"/>
        </w:rPr>
      </w:pPr>
    </w:p>
    <w:p w14:paraId="3416F20D">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各镇街人民政府（办事处）、创新性农业保险经办机构：</w:t>
      </w:r>
    </w:p>
    <w:p w14:paraId="0CEA7A7B">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根据上级有关文件精神，结合我区实际，</w:t>
      </w:r>
      <w:r>
        <w:rPr>
          <w:rFonts w:hint="default" w:ascii="Times New Roman" w:hAnsi="Times New Roman" w:eastAsia="方正仿宋_GBK" w:cs="Times New Roman"/>
          <w:sz w:val="32"/>
          <w:szCs w:val="32"/>
          <w:shd w:val="clear" w:color="auto" w:fill="FFFFFF"/>
        </w:rPr>
        <w:t>更好地满足“三农”领域日益增长的风险保障需求，</w:t>
      </w:r>
      <w:r>
        <w:rPr>
          <w:rFonts w:hint="default" w:ascii="Times New Roman" w:hAnsi="Times New Roman" w:eastAsia="方正仿宋_GBK" w:cs="Times New Roman"/>
          <w:sz w:val="32"/>
          <w:szCs w:val="32"/>
        </w:rPr>
        <w:t>助力乡村振兴，切实保障农业生产效益，</w:t>
      </w:r>
      <w:r>
        <w:rPr>
          <w:rFonts w:hint="default" w:ascii="Times New Roman" w:hAnsi="Times New Roman" w:eastAsia="方正仿宋_GBK" w:cs="Times New Roman"/>
          <w:color w:val="000000"/>
          <w:kern w:val="0"/>
          <w:sz w:val="32"/>
          <w:szCs w:val="32"/>
        </w:rPr>
        <w:t>经研究同意，现就做好我区2023年创新性农业保险工作有关事项通知如下：</w:t>
      </w:r>
    </w:p>
    <w:p w14:paraId="44EBFC1C">
      <w:pPr>
        <w:keepNext w:val="0"/>
        <w:keepLines w:val="0"/>
        <w:pageBreakBefore w:val="0"/>
        <w:widowControl w:val="0"/>
        <w:tabs>
          <w:tab w:val="left" w:pos="680"/>
        </w:tabs>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一、基本原则</w:t>
      </w:r>
    </w:p>
    <w:p w14:paraId="5FC20ED8">
      <w:pPr>
        <w:keepNext w:val="0"/>
        <w:keepLines w:val="0"/>
        <w:pageBreakBefore w:val="0"/>
        <w:widowControl w:val="0"/>
        <w:kinsoku/>
        <w:wordWrap/>
        <w:overflowPunct/>
        <w:topLinePunct w:val="0"/>
        <w:autoSpaceDE/>
        <w:autoSpaceDN/>
        <w:bidi w:val="0"/>
        <w:adjustRightInd/>
        <w:snapToGrid w:val="0"/>
        <w:spacing w:line="594" w:lineRule="exact"/>
        <w:ind w:left="0" w:leftChars="0" w:firstLine="640" w:firstLineChars="200"/>
        <w:textAlignment w:val="auto"/>
        <w:rPr>
          <w:rFonts w:hint="default" w:ascii="Times New Roman" w:hAnsi="Times New Roman" w:eastAsia="方正黑体_GBK" w:cs="Times New Roman"/>
          <w:kern w:val="0"/>
          <w:sz w:val="32"/>
          <w:szCs w:val="32"/>
        </w:rPr>
      </w:pPr>
      <w:r>
        <w:rPr>
          <w:rFonts w:hint="default" w:ascii="Times New Roman" w:hAnsi="Times New Roman" w:eastAsia="方正仿宋_GBK" w:cs="Times New Roman"/>
          <w:sz w:val="32"/>
          <w:szCs w:val="32"/>
          <w:shd w:val="clear" w:color="auto" w:fill="FFFFFF"/>
        </w:rPr>
        <w:t>创新性保险工作遵循政府引导、市场运作、自主自愿、协同推进、绩效管理的原则。</w:t>
      </w:r>
    </w:p>
    <w:p w14:paraId="48A70FE0">
      <w:pPr>
        <w:keepNext w:val="0"/>
        <w:keepLines w:val="0"/>
        <w:pageBreakBefore w:val="0"/>
        <w:widowControl w:val="0"/>
        <w:numPr>
          <w:ilvl w:val="0"/>
          <w:numId w:val="1"/>
        </w:numPr>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保险公司承办区域和险种</w:t>
      </w:r>
    </w:p>
    <w:p w14:paraId="0A933854">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（一）中国人民财产保险公司大足支公司。承保</w:t>
      </w:r>
      <w:r>
        <w:rPr>
          <w:rFonts w:hint="default" w:ascii="Times New Roman" w:hAnsi="Times New Roman" w:eastAsia="方正仿宋_GBK" w:cs="Times New Roman"/>
          <w:sz w:val="32"/>
          <w:szCs w:val="32"/>
        </w:rPr>
        <w:t>全区范围内</w:t>
      </w:r>
      <w:r>
        <w:rPr>
          <w:rFonts w:hint="default" w:ascii="Times New Roman" w:hAnsi="Times New Roman" w:eastAsia="方正仿宋_GBK" w:cs="Times New Roman"/>
          <w:color w:val="000000"/>
          <w:kern w:val="0"/>
          <w:sz w:val="32"/>
          <w:szCs w:val="32"/>
        </w:rPr>
        <w:t>土地经营权流转履约保证保险业务。</w:t>
      </w:r>
    </w:p>
    <w:p w14:paraId="6C1A58C1">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sz w:val="32"/>
          <w:szCs w:val="32"/>
        </w:rPr>
        <w:t>（二）中华联合财产保险股份有限公司重庆分公司大足支公司。主要承保全区范围内</w:t>
      </w:r>
      <w:r>
        <w:rPr>
          <w:rFonts w:hint="default" w:ascii="Times New Roman" w:hAnsi="Times New Roman" w:eastAsia="方正仿宋_GBK" w:cs="Times New Roman"/>
          <w:color w:val="000000"/>
          <w:kern w:val="0"/>
          <w:sz w:val="32"/>
          <w:szCs w:val="32"/>
        </w:rPr>
        <w:t>耕地地力指数保险业务。</w:t>
      </w:r>
    </w:p>
    <w:p w14:paraId="01920D4C">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kern w:val="0"/>
          <w:sz w:val="32"/>
          <w:szCs w:val="32"/>
        </w:rPr>
        <w:t>三、相关保险政策</w:t>
      </w:r>
    </w:p>
    <w:p w14:paraId="235E6144">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kern w:val="0"/>
          <w:sz w:val="32"/>
          <w:szCs w:val="32"/>
        </w:rPr>
        <w:t>（一）保险额度、费率和单位保费</w:t>
      </w:r>
    </w:p>
    <w:p w14:paraId="01E6F7EF">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1.土地经营权流转履约保证保险：保额为700元/亩，费率为3%，保费21元/亩。</w:t>
      </w:r>
    </w:p>
    <w:p w14:paraId="76729135">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2.耕地地力指数保险：保额为1000元/亩，费率为6%，保费60元/亩。</w:t>
      </w:r>
    </w:p>
    <w:p w14:paraId="00E20F0B">
      <w:pPr>
        <w:keepNext w:val="0"/>
        <w:keepLines w:val="0"/>
        <w:pageBreakBefore w:val="0"/>
        <w:widowControl w:val="0"/>
        <w:kinsoku/>
        <w:wordWrap/>
        <w:overflowPunct/>
        <w:topLinePunct w:val="0"/>
        <w:autoSpaceDE/>
        <w:autoSpaceDN/>
        <w:bidi w:val="0"/>
        <w:adjustRightInd/>
        <w:spacing w:line="594" w:lineRule="exact"/>
        <w:ind w:left="0" w:leftChars="0" w:firstLine="480" w:firstLineChars="150"/>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kern w:val="0"/>
          <w:sz w:val="32"/>
          <w:szCs w:val="32"/>
        </w:rPr>
        <w:t>（二）保费财政补助比例</w:t>
      </w:r>
    </w:p>
    <w:p w14:paraId="682F79EA">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1.土地经营权流转履约保证保险：区财政补助60%，承租方承担35%，农户承担5%。</w:t>
      </w:r>
    </w:p>
    <w:p w14:paraId="35530B27">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2.耕地地力指数保险：区财政补助80%，农户承担20%。</w:t>
      </w:r>
    </w:p>
    <w:p w14:paraId="2792181F">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四、指导性计划</w:t>
      </w:r>
    </w:p>
    <w:p w14:paraId="55FED27E">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2023年创新性农业保险面积12万亩，其中：土地经营权流转履约保证保险10万亩；耕地地力指数保险2万亩。</w:t>
      </w:r>
    </w:p>
    <w:p w14:paraId="1932E77D">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kern w:val="0"/>
          <w:sz w:val="32"/>
          <w:szCs w:val="32"/>
        </w:rPr>
        <w:t>五、工作要求</w:t>
      </w:r>
    </w:p>
    <w:p w14:paraId="159D6586">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楷体_GBK" w:cs="Times New Roman"/>
          <w:color w:val="000000"/>
          <w:kern w:val="0"/>
          <w:sz w:val="32"/>
          <w:szCs w:val="32"/>
        </w:rPr>
        <w:t>（一）加强组织领导。</w:t>
      </w:r>
      <w:r>
        <w:rPr>
          <w:rFonts w:hint="default" w:ascii="Times New Roman" w:hAnsi="Times New Roman" w:eastAsia="方正仿宋_GBK" w:cs="Times New Roman"/>
          <w:color w:val="000000"/>
          <w:kern w:val="0"/>
          <w:sz w:val="32"/>
          <w:szCs w:val="32"/>
        </w:rPr>
        <w:t>各镇街（办事处）要切实加强创新性农业保险的工作领导，组织、协调本辖区创新性农业保险工作；区级有关部门要各司其责，密切配合，发挥指导、协调、监督、核查等作用，建立健全推进创新性农业保险发展的工作机制。</w:t>
      </w:r>
    </w:p>
    <w:p w14:paraId="502E0C28">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楷体_GBK" w:cs="Times New Roman"/>
          <w:color w:val="000000"/>
          <w:kern w:val="0"/>
          <w:sz w:val="32"/>
          <w:szCs w:val="32"/>
        </w:rPr>
        <w:t>（二）加大宣传引导。</w:t>
      </w:r>
      <w:r>
        <w:rPr>
          <w:rFonts w:hint="default" w:ascii="Times New Roman" w:hAnsi="Times New Roman" w:eastAsia="方正仿宋_GBK" w:cs="Times New Roman"/>
          <w:color w:val="000000"/>
          <w:kern w:val="0"/>
          <w:sz w:val="32"/>
          <w:szCs w:val="32"/>
        </w:rPr>
        <w:t>各镇街（办事处）、相关区级部门和保险经办机构要注重宣传方式和效果，持续加大宣传力度，通过采取农民喜闻乐见、通俗易懂的形式，加强农业保险基本政策、原则和内涵等方面的宣传，尽可能地消除政策盲点和认识误区，进一步提高政策的知晓度、理解度、接受度和满意度，努力营造创新性农业保险的良好氛围。</w:t>
      </w:r>
    </w:p>
    <w:p w14:paraId="53804BBD">
      <w:pPr>
        <w:keepNext w:val="0"/>
        <w:keepLines w:val="0"/>
        <w:pageBreakBefore w:val="0"/>
        <w:widowControl w:val="0"/>
        <w:kinsoku/>
        <w:wordWrap/>
        <w:overflowPunct/>
        <w:topLinePunct w:val="0"/>
        <w:autoSpaceDE/>
        <w:autoSpaceDN/>
        <w:bidi w:val="0"/>
        <w:adjustRightInd/>
        <w:snapToGrid w:val="0"/>
        <w:spacing w:line="594" w:lineRule="exact"/>
        <w:ind w:left="0" w:leftChars="0" w:firstLine="480" w:firstLineChars="150"/>
        <w:textAlignment w:val="auto"/>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（三）加强配合协调。</w:t>
      </w:r>
    </w:p>
    <w:p w14:paraId="5A598E1E">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cs="Times New Roman"/>
          <w:sz w:val="32"/>
          <w:szCs w:val="32"/>
        </w:rPr>
      </w:pPr>
      <w:r>
        <w:rPr>
          <w:rFonts w:hint="default" w:ascii="Times New Roman" w:hAnsi="Times New Roman" w:eastAsia="方正仿宋_GBK" w:cs="Times New Roman"/>
          <w:sz w:val="32"/>
          <w:szCs w:val="32"/>
        </w:rPr>
        <w:t>区财政局负责全区创新性农业保险的总体协调工作，负责创新性农业保险保费补贴资金的落实及监督检查等工作。区农业农村委负责保费补贴的核实及拨付工作，并协助承保机构做好政策宣传、业务开展、矛盾协调处理以及督查等工作。各承保机构负责农业保险的推广宣传、投保、查勘定损、理赔等具体工作，对投保标的物的数量和真实性负责，同时加强对保险业务人员的培训和管理。各镇街（办事处）积极配合承保机构做好创新性农业保险宣传、承保、理赔工作，协助承保机构勘查定损、督促承保机构认真落实政策公开，将惠农政策、承保情况、理赔结果、服务标准和监管要求进行公示，做到公开透明，负责协调处理辖区内创新性农业保险矛盾纠纷，做好创新性农业保险验收工作。</w:t>
      </w:r>
    </w:p>
    <w:p w14:paraId="6BF86D25">
      <w:pPr>
        <w:keepNext w:val="0"/>
        <w:keepLines w:val="0"/>
        <w:pageBreakBefore w:val="0"/>
        <w:widowControl w:val="0"/>
        <w:tabs>
          <w:tab w:val="left" w:pos="680"/>
        </w:tabs>
        <w:kinsoku/>
        <w:wordWrap/>
        <w:overflowPunct/>
        <w:topLinePunct w:val="0"/>
        <w:autoSpaceDE/>
        <w:autoSpaceDN/>
        <w:bidi w:val="0"/>
        <w:adjustRightInd/>
        <w:snapToGrid w:val="0"/>
        <w:spacing w:line="594" w:lineRule="exact"/>
        <w:ind w:left="0" w:leftChars="0" w:firstLine="480" w:firstLineChars="15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kern w:val="0"/>
          <w:sz w:val="32"/>
          <w:szCs w:val="32"/>
        </w:rPr>
        <w:t>（四）目标考核与奖励措施。</w:t>
      </w:r>
    </w:p>
    <w:p w14:paraId="285E344B">
      <w:pPr>
        <w:keepNext w:val="0"/>
        <w:keepLines w:val="0"/>
        <w:pageBreakBefore w:val="0"/>
        <w:widowControl w:val="0"/>
        <w:tabs>
          <w:tab w:val="left" w:pos="680"/>
        </w:tabs>
        <w:kinsoku/>
        <w:wordWrap/>
        <w:overflowPunct/>
        <w:topLinePunct w:val="0"/>
        <w:autoSpaceDE/>
        <w:autoSpaceDN/>
        <w:bidi w:val="0"/>
        <w:adjustRightInd/>
        <w:snapToGrid w:val="0"/>
        <w:spacing w:line="594" w:lineRule="exact"/>
        <w:ind w:left="0" w:leftChars="0" w:firstLine="640" w:firstLineChars="200"/>
        <w:textAlignment w:val="auto"/>
        <w:rPr>
          <w:rFonts w:hint="default" w:ascii="Times New Roman" w:hAnsi="Times New Roman" w:cs="Times New Roman"/>
          <w:sz w:val="32"/>
          <w:szCs w:val="32"/>
        </w:rPr>
      </w:pPr>
      <w:r>
        <w:rPr>
          <w:rFonts w:hint="default" w:ascii="Times New Roman" w:hAnsi="Times New Roman" w:eastAsia="方正仿宋_GBK" w:cs="Times New Roman"/>
          <w:sz w:val="32"/>
          <w:szCs w:val="32"/>
        </w:rPr>
        <w:t>对2023年创新性农业保险工作完成较好的镇街给予其它项目倾斜。加强创新性农业保险绩效管理，强化绩效监控，财政部门会同主管部门对创新性承保机构开展绩效评价。</w:t>
      </w:r>
    </w:p>
    <w:p w14:paraId="7E9BF6F6">
      <w:pPr>
        <w:keepNext w:val="0"/>
        <w:keepLines w:val="0"/>
        <w:pageBreakBefore w:val="0"/>
        <w:widowControl w:val="0"/>
        <w:kinsoku/>
        <w:wordWrap/>
        <w:overflowPunct/>
        <w:topLinePunct w:val="0"/>
        <w:autoSpaceDE/>
        <w:autoSpaceDN/>
        <w:bidi w:val="0"/>
        <w:adjustRightInd/>
        <w:spacing w:line="594" w:lineRule="exact"/>
        <w:textAlignment w:val="auto"/>
        <w:rPr>
          <w:rFonts w:hint="default" w:ascii="Times New Roman" w:hAnsi="Times New Roman" w:eastAsia="方正仿宋_GBK" w:cs="Times New Roman"/>
          <w:color w:val="000000"/>
          <w:kern w:val="0"/>
          <w:sz w:val="32"/>
          <w:szCs w:val="32"/>
        </w:rPr>
      </w:pPr>
    </w:p>
    <w:p w14:paraId="2654CFC8">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附件：1.</w:t>
      </w:r>
      <w:r>
        <w:rPr>
          <w:rFonts w:hint="eastAsia" w:ascii="Times New Roman" w:hAnsi="Times New Roman"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rPr>
        <w:t>大足区土地经营权流转履约保证保险实施方案</w:t>
      </w:r>
    </w:p>
    <w:p w14:paraId="085A6AA4">
      <w:pPr>
        <w:keepNext w:val="0"/>
        <w:keepLines w:val="0"/>
        <w:pageBreakBefore w:val="0"/>
        <w:widowControl w:val="0"/>
        <w:numPr>
          <w:ilvl w:val="0"/>
          <w:numId w:val="2"/>
        </w:numPr>
        <w:kinsoku/>
        <w:wordWrap/>
        <w:overflowPunct/>
        <w:topLinePunct w:val="0"/>
        <w:autoSpaceDE/>
        <w:autoSpaceDN/>
        <w:bidi w:val="0"/>
        <w:adjustRightInd/>
        <w:spacing w:line="594" w:lineRule="exact"/>
        <w:ind w:firstLine="1600" w:firstLineChars="5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大足区耕地地力指数保险实施方案</w:t>
      </w:r>
    </w:p>
    <w:p w14:paraId="71512FEE">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p>
    <w:p w14:paraId="2C8A0688">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p>
    <w:p w14:paraId="29DDDF57">
      <w:pPr>
        <w:keepNext w:val="0"/>
        <w:keepLines w:val="0"/>
        <w:pageBreakBefore w:val="0"/>
        <w:widowControl w:val="0"/>
        <w:kinsoku/>
        <w:wordWrap/>
        <w:overflowPunct/>
        <w:topLinePunct w:val="0"/>
        <w:autoSpaceDE/>
        <w:autoSpaceDN/>
        <w:bidi w:val="0"/>
        <w:adjustRightInd/>
        <w:spacing w:line="594" w:lineRule="exact"/>
        <w:ind w:left="0" w:leftChars="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重庆市大足区农业农村委员会      </w:t>
      </w:r>
      <w:r>
        <w:rPr>
          <w:rFonts w:hint="eastAsia" w:ascii="Times New Roman" w:hAnsi="Times New Roman"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rPr>
        <w:t>重庆市大足区财政局</w:t>
      </w:r>
    </w:p>
    <w:p w14:paraId="0F49B14A">
      <w:pPr>
        <w:keepNext w:val="0"/>
        <w:keepLines w:val="0"/>
        <w:pageBreakBefore w:val="0"/>
        <w:widowControl w:val="0"/>
        <w:kinsoku/>
        <w:wordWrap/>
        <w:overflowPunct/>
        <w:topLinePunct w:val="0"/>
        <w:autoSpaceDE/>
        <w:autoSpaceDN/>
        <w:bidi w:val="0"/>
        <w:adjustRightInd/>
        <w:spacing w:line="594" w:lineRule="exact"/>
        <w:ind w:left="0" w:leftChars="0"/>
        <w:jc w:val="center"/>
        <w:textAlignment w:val="auto"/>
        <w:rPr>
          <w:rFonts w:hint="default"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rPr>
        <w:t>2023年5月</w:t>
      </w:r>
      <w:r>
        <w:rPr>
          <w:rFonts w:hint="eastAsia" w:ascii="Times New Roman" w:hAnsi="Times New Roman" w:eastAsia="方正仿宋_GBK" w:cs="Times New Roman"/>
          <w:color w:val="000000"/>
          <w:kern w:val="0"/>
          <w:sz w:val="32"/>
          <w:szCs w:val="32"/>
          <w:lang w:val="en-US" w:eastAsia="zh-CN"/>
        </w:rPr>
        <w:t>23</w:t>
      </w:r>
      <w:r>
        <w:rPr>
          <w:rFonts w:hint="default" w:ascii="Times New Roman" w:hAnsi="Times New Roman" w:eastAsia="方正仿宋_GBK" w:cs="Times New Roman"/>
          <w:color w:val="000000"/>
          <w:kern w:val="0"/>
          <w:sz w:val="32"/>
          <w:szCs w:val="32"/>
        </w:rPr>
        <w:t>日</w:t>
      </w:r>
    </w:p>
    <w:p w14:paraId="49F35EB9">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p>
    <w:p w14:paraId="5F076C72">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eastAsia" w:ascii="Times New Roman" w:hAnsi="Times New Roman" w:eastAsia="方正仿宋_GBK" w:cs="Times New Roman"/>
          <w:color w:val="000000"/>
          <w:kern w:val="0"/>
          <w:sz w:val="32"/>
          <w:szCs w:val="32"/>
          <w:lang w:eastAsia="zh-CN"/>
        </w:rPr>
      </w:pPr>
      <w:r>
        <w:rPr>
          <w:rFonts w:hint="eastAsia" w:ascii="Times New Roman" w:hAnsi="Times New Roman" w:eastAsia="方正仿宋_GBK" w:cs="Times New Roman"/>
          <w:color w:val="000000"/>
          <w:kern w:val="0"/>
          <w:sz w:val="32"/>
          <w:szCs w:val="32"/>
          <w:lang w:eastAsia="zh-CN"/>
        </w:rPr>
        <w:t>（此件主动公开）</w:t>
      </w:r>
    </w:p>
    <w:p w14:paraId="53CE095B">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p>
    <w:p w14:paraId="69ED8A48">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p>
    <w:p w14:paraId="4992852F">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附件1</w:t>
      </w:r>
    </w:p>
    <w:p w14:paraId="795DEF09">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p>
    <w:p w14:paraId="093F5825">
      <w:pPr>
        <w:keepNext w:val="0"/>
        <w:keepLines w:val="0"/>
        <w:pageBreakBefore w:val="0"/>
        <w:widowControl w:val="0"/>
        <w:kinsoku/>
        <w:wordWrap/>
        <w:overflowPunct/>
        <w:topLinePunct w:val="0"/>
        <w:autoSpaceDE/>
        <w:autoSpaceDN/>
        <w:bidi w:val="0"/>
        <w:adjustRightInd/>
        <w:spacing w:line="594" w:lineRule="exact"/>
        <w:ind w:left="0" w:leftChars="0"/>
        <w:jc w:val="center"/>
        <w:textAlignment w:val="auto"/>
        <w:rPr>
          <w:rFonts w:hint="eastAsia" w:ascii="方正小标宋_GBK" w:hAnsi="方正小标宋_GBK" w:eastAsia="方正小标宋_GBK" w:cs="方正小标宋_GBK"/>
          <w:b w:val="0"/>
          <w:bCs w:val="0"/>
          <w:color w:val="000000"/>
          <w:w w:val="98"/>
          <w:kern w:val="0"/>
          <w:sz w:val="44"/>
          <w:szCs w:val="44"/>
        </w:rPr>
      </w:pPr>
      <w:r>
        <w:rPr>
          <w:rFonts w:hint="eastAsia" w:ascii="方正小标宋_GBK" w:hAnsi="方正小标宋_GBK" w:eastAsia="方正小标宋_GBK" w:cs="方正小标宋_GBK"/>
          <w:b w:val="0"/>
          <w:bCs w:val="0"/>
          <w:color w:val="000000"/>
          <w:w w:val="98"/>
          <w:kern w:val="0"/>
          <w:sz w:val="44"/>
          <w:szCs w:val="44"/>
        </w:rPr>
        <w:t>大足区土地经营权流转履约保证保险实施方案</w:t>
      </w:r>
    </w:p>
    <w:p w14:paraId="3F2C55E6">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p>
    <w:p w14:paraId="7E34A667">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为积极探索建立农村土地流转风险保障机制，防范土地流转风险，保障农民合法收益，充分发挥金融保险维护农村社会稳定的功能以保障土地流转当事人合法权益为核心，按照政府扶持引导、市场化运作的原则，由保险机构对土地流转双方的合同行为进行担保，进一步完善风险防范机制，降低因土地流转违约而造成的损失，特制定本实施方案。</w:t>
      </w:r>
    </w:p>
    <w:p w14:paraId="0ED39192">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一、保险内容</w:t>
      </w:r>
    </w:p>
    <w:p w14:paraId="19F9F3FC">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 xml:space="preserve">   </w:t>
      </w:r>
      <w:r>
        <w:rPr>
          <w:rFonts w:hint="eastAsia" w:ascii="Times New Roman" w:hAnsi="Times New Roman" w:eastAsia="方正楷体_GBK" w:cs="Times New Roman"/>
          <w:color w:val="000000"/>
          <w:kern w:val="0"/>
          <w:sz w:val="32"/>
          <w:szCs w:val="32"/>
          <w:lang w:val="en-US" w:eastAsia="zh-CN"/>
        </w:rPr>
        <w:t xml:space="preserve"> </w:t>
      </w:r>
      <w:r>
        <w:rPr>
          <w:rFonts w:hint="default" w:ascii="Times New Roman" w:hAnsi="Times New Roman" w:eastAsia="方正楷体_GBK" w:cs="Times New Roman"/>
          <w:color w:val="000000"/>
          <w:kern w:val="0"/>
          <w:sz w:val="32"/>
          <w:szCs w:val="32"/>
        </w:rPr>
        <w:t>（一）参保项目。</w:t>
      </w:r>
      <w:r>
        <w:rPr>
          <w:rFonts w:hint="default" w:ascii="Times New Roman" w:hAnsi="Times New Roman" w:eastAsia="方正仿宋_GBK" w:cs="Times New Roman"/>
          <w:color w:val="000000"/>
          <w:kern w:val="0"/>
          <w:sz w:val="32"/>
          <w:szCs w:val="32"/>
        </w:rPr>
        <w:t>农村土地经营权流转履约保证保险是指投保人在农村土地经营权流转过程中，向保险公司投保，由保险公司向被保险人承诺，在保险期间如投保人未按照土地经营权流转合同约定履行土地流转费支付义务，由保险公司承担赔偿责任。</w:t>
      </w:r>
    </w:p>
    <w:p w14:paraId="0A55B372">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楷体_GBK" w:cs="Times New Roman"/>
          <w:color w:val="000000"/>
          <w:kern w:val="0"/>
          <w:sz w:val="32"/>
          <w:szCs w:val="32"/>
        </w:rPr>
        <w:t xml:space="preserve"> </w:t>
      </w:r>
      <w:r>
        <w:rPr>
          <w:rFonts w:hint="eastAsia" w:ascii="Times New Roman" w:hAnsi="Times New Roman" w:eastAsia="方正楷体_GBK" w:cs="Times New Roman"/>
          <w:color w:val="000000"/>
          <w:kern w:val="0"/>
          <w:sz w:val="32"/>
          <w:szCs w:val="32"/>
          <w:lang w:val="en-US" w:eastAsia="zh-CN"/>
        </w:rPr>
        <w:t xml:space="preserve">   </w:t>
      </w:r>
      <w:r>
        <w:rPr>
          <w:rFonts w:hint="default" w:ascii="Times New Roman" w:hAnsi="Times New Roman" w:eastAsia="方正楷体_GBK" w:cs="Times New Roman"/>
          <w:color w:val="000000"/>
          <w:kern w:val="0"/>
          <w:sz w:val="32"/>
          <w:szCs w:val="32"/>
        </w:rPr>
        <w:t>（二）参保主体</w:t>
      </w:r>
    </w:p>
    <w:p w14:paraId="157F4A2E">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1.投保人：大足区签订流转合同300亩以上、流转期限2年以上并在区农业农村委进行备案的新型农业经营主体。投保人应具备如下条件：</w:t>
      </w:r>
    </w:p>
    <w:p w14:paraId="16A65620">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①符合大足区土地流转规定，包括且不限于流转土地用途、土地流转费、流转期限等。</w:t>
      </w:r>
    </w:p>
    <w:p w14:paraId="356CA0C4">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②参加土地流转履约保证保险的土地流转期限应不少于两年，且不超过农村土地二轮承包期限（2028年6月30日）。</w:t>
      </w:r>
    </w:p>
    <w:p w14:paraId="760B973F">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③土地流入方经营范围符合政策性农业保险政策的，必须参保政策性农业保险并足额投保。在土地流转期间，流入方须签字承诺,在发生灾害时政策性保险赔付资金优先兑付涉地农户的土地流转费，或优先用于偿付履约保证保险承保人赔付的土地流转费。</w:t>
      </w:r>
    </w:p>
    <w:p w14:paraId="7493C0C6">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④流入方征信记录良好，无不良失信记录。投保人应将符合条件的流转土地全部投保，不得选择性投保。</w:t>
      </w:r>
    </w:p>
    <w:p w14:paraId="1CFAC49A">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2.被保险人：土地经营权流出方，即村（居）集体经济组织。</w:t>
      </w:r>
    </w:p>
    <w:p w14:paraId="1102D924">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 xml:space="preserve">   </w:t>
      </w:r>
      <w:r>
        <w:rPr>
          <w:rFonts w:hint="eastAsia" w:ascii="Times New Roman" w:hAnsi="Times New Roman" w:eastAsia="方正楷体_GBK" w:cs="Times New Roman"/>
          <w:color w:val="000000"/>
          <w:kern w:val="0"/>
          <w:sz w:val="32"/>
          <w:szCs w:val="32"/>
          <w:lang w:val="en-US" w:eastAsia="zh-CN"/>
        </w:rPr>
        <w:t xml:space="preserve"> </w:t>
      </w:r>
      <w:r>
        <w:rPr>
          <w:rFonts w:hint="default" w:ascii="Times New Roman" w:hAnsi="Times New Roman" w:eastAsia="方正楷体_GBK" w:cs="Times New Roman"/>
          <w:color w:val="000000"/>
          <w:kern w:val="0"/>
          <w:sz w:val="32"/>
          <w:szCs w:val="32"/>
        </w:rPr>
        <w:t>（三）保险期限间。</w:t>
      </w:r>
      <w:r>
        <w:rPr>
          <w:rFonts w:hint="default" w:ascii="Times New Roman" w:hAnsi="Times New Roman" w:eastAsia="方正仿宋_GBK" w:cs="Times New Roman"/>
          <w:color w:val="000000"/>
          <w:kern w:val="0"/>
          <w:sz w:val="32"/>
          <w:szCs w:val="32"/>
        </w:rPr>
        <w:t>一年一期。根据流转合同（协议书）约定，待履约年度作为本保险的保险期间。不论流转合同的期限长短，每张保单的保险期间均设定为一年。投保人在每年到期日前向保险公司投保，保险公司收取一年度的保费，提供土地经营权流转费风险保障。当年保单到期后，由保险公司按照相关流程开展续保工作。如出现违约，则该保单不再进行续保。</w:t>
      </w:r>
    </w:p>
    <w:p w14:paraId="5B5580A0">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楷体_GBK" w:cs="Times New Roman"/>
          <w:color w:val="000000"/>
          <w:kern w:val="0"/>
          <w:sz w:val="32"/>
          <w:szCs w:val="32"/>
        </w:rPr>
        <w:t>（四）保险金额、费率、保费缴纳及赔付金额</w:t>
      </w:r>
    </w:p>
    <w:p w14:paraId="05D57E0B">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全区计划投保10万亩</w:t>
      </w:r>
    </w:p>
    <w:p w14:paraId="26171239">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1.保险金额。保险金额=土地流转合同载明的每亩年度流转费（含管理费）×流转面积。（根据投保人与被保险人签订的《重庆市农村土地承包经营权出租合同（协议书）》中约定的每年度流转费进行认定，需提供合法的佐证资料），年度流转费不超过700元/亩。</w:t>
      </w:r>
    </w:p>
    <w:p w14:paraId="06ED247C">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r>
        <w:rPr>
          <w:rFonts w:hint="eastAsia" w:ascii="Times New Roman" w:hAnsi="Times New Roman"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rPr>
        <w:t xml:space="preserve"> 2.保险费率。按照土地流转合同约定年流转费的3%计算。</w:t>
      </w:r>
    </w:p>
    <w:p w14:paraId="0251D295">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3.保费缴纳。土地经营权流转履约保证保险年度投保费用=每亩年度流转费×流转面积×费率。</w:t>
      </w:r>
    </w:p>
    <w:p w14:paraId="4147B10B">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①土地经营权流转履约保证保险纳入政策性农业保险，投保费用享受财政资金补助，年度投保保费按照以下比例进行缴纳：</w:t>
      </w:r>
    </w:p>
    <w:p w14:paraId="4388BA32">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村集体经济组织/农户（被保人）：年度投保保费的5%</w:t>
      </w:r>
    </w:p>
    <w:p w14:paraId="27961713">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土地流入方/承租方（投保人）：年度投保保费的35%</w:t>
      </w:r>
    </w:p>
    <w:p w14:paraId="04A5FB19">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区级财政：年度投保保费的60%</w:t>
      </w:r>
    </w:p>
    <w:p w14:paraId="3ED1CAE5">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②投保人在土地流转合同期限内须连续投保（保险期间需与上年度保单衔接），否则取消保险年度的保费相关财政资金补助待遇。</w:t>
      </w:r>
    </w:p>
    <w:p w14:paraId="62B5500F">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③由投保人统一缴纳非财政补贴部分保费后，乙方应在投保当季末，按批次向区农业农村委出具保单和发票申请财政补贴部分资金。并在保单中约定财政补贴部分保费缴费日期不超过保单生效后下一季度的最后一天。如重庆市政府后续正式印发的文件中对农险财政补贴资金拨付时间有具体规定的，可按重庆市政府文件要求的具体时间约定缴费日期。</w:t>
      </w:r>
    </w:p>
    <w:p w14:paraId="12E3B501">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4.赔付金额。发生投保人违约情况后，保险公司在确认投保人已完全缴纳上一年度土地流转费用，且全额缴纳本年度土地经营权流转履约保证保险金，方可赔付本年度土地流转费用。保险公司只赔付一年土地流转费用，不对流转合同剩余年度土地流转费用承担赔付责任。</w:t>
      </w:r>
    </w:p>
    <w:p w14:paraId="2A508440">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楷体_GBK" w:cs="Times New Roman"/>
          <w:color w:val="000000"/>
          <w:kern w:val="0"/>
          <w:sz w:val="32"/>
          <w:szCs w:val="32"/>
        </w:rPr>
        <w:t>（五）理赔及赔款等待期</w:t>
      </w:r>
    </w:p>
    <w:p w14:paraId="5BDAD432">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保单生效后，投保人违反土地经营权流转合同约定，逾期7天以上未支付流转费的，被保险人须如实告知保险人违约情况。自土地流转费约定支付时间之日起90天，为赔款等待期。赔款等待期内被保险人仍追索无果，视为保险事故发生，被保险人向镇街人民政府（办事处）书面告知后，持相关资料向保险人索赔。</w:t>
      </w:r>
    </w:p>
    <w:p w14:paraId="4475AC2B">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楷体_GBK" w:cs="Times New Roman"/>
          <w:color w:val="000000"/>
          <w:kern w:val="0"/>
          <w:sz w:val="32"/>
          <w:szCs w:val="32"/>
        </w:rPr>
        <w:t>（六）保险合同终止</w:t>
      </w:r>
    </w:p>
    <w:p w14:paraId="1BA8852A">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当投保人出现土地流转费用违约，保险公司向被保险人支付赔偿金后，保险公司和投保人的保险合同终止。</w:t>
      </w:r>
    </w:p>
    <w:p w14:paraId="200C37C9">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 xml:space="preserve">    二、承保流程</w:t>
      </w:r>
    </w:p>
    <w:p w14:paraId="78943D80">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投保人提出投保需求→保险公司对提供的资料进行初步审核→初审通过，保险公司进行项目风险评估，完成尽职调查报告→评审通过，通知投保人缴纳保费到指定账户→保险公司签发保单并出具发票→保险公司经投保人确认后，向区农业农村委提供《大足区农业委员会拨款申请表(农委自用表)》申请财政补贴部分资金。</w:t>
      </w:r>
    </w:p>
    <w:p w14:paraId="21363ADF">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黑体_GBK" w:cs="Times New Roman"/>
          <w:color w:val="000000"/>
          <w:kern w:val="0"/>
          <w:sz w:val="32"/>
          <w:szCs w:val="32"/>
        </w:rPr>
        <w:t xml:space="preserve"> </w:t>
      </w:r>
      <w:r>
        <w:rPr>
          <w:rFonts w:hint="eastAsia" w:ascii="Times New Roman" w:hAnsi="Times New Roman" w:eastAsia="方正黑体_GBK" w:cs="Times New Roman"/>
          <w:color w:val="000000"/>
          <w:kern w:val="0"/>
          <w:sz w:val="32"/>
          <w:szCs w:val="32"/>
          <w:lang w:val="en-US" w:eastAsia="zh-CN"/>
        </w:rPr>
        <w:t xml:space="preserve">   </w:t>
      </w:r>
      <w:r>
        <w:rPr>
          <w:rFonts w:hint="default" w:ascii="Times New Roman" w:hAnsi="Times New Roman" w:eastAsia="方正黑体_GBK" w:cs="Times New Roman"/>
          <w:color w:val="000000"/>
          <w:kern w:val="0"/>
          <w:sz w:val="32"/>
          <w:szCs w:val="32"/>
        </w:rPr>
        <w:t>三、风险控制</w:t>
      </w:r>
    </w:p>
    <w:p w14:paraId="6EF1F4B8">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楷体_GBK" w:cs="Times New Roman"/>
          <w:color w:val="000000"/>
          <w:kern w:val="0"/>
          <w:sz w:val="32"/>
          <w:szCs w:val="32"/>
        </w:rPr>
        <w:t>（一）实行土地流转违约失信黑名单制度</w:t>
      </w:r>
    </w:p>
    <w:p w14:paraId="4B71D345">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区农业农村委协助建立土地流转经营主体专项名录库，将在土地流转过程中存在恶意违约行为的经营主体列入黑名单并予以公开。凡列入黑名单的经营主体，取消其在大足行政辖区内参与土地流转项目竞标和申报相关财政奖补的资格。同时，将经营主体失信信息通报给人民银行等相关数据库，作为银行放贷的参考依据。</w:t>
      </w:r>
    </w:p>
    <w:p w14:paraId="1D7273E6">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楷体_GBK" w:cs="Times New Roman"/>
          <w:color w:val="000000"/>
          <w:kern w:val="0"/>
          <w:sz w:val="32"/>
          <w:szCs w:val="32"/>
        </w:rPr>
        <w:t xml:space="preserve"> </w:t>
      </w:r>
      <w:r>
        <w:rPr>
          <w:rFonts w:hint="eastAsia" w:ascii="Times New Roman" w:hAnsi="Times New Roman" w:eastAsia="方正楷体_GBK" w:cs="Times New Roman"/>
          <w:color w:val="000000"/>
          <w:kern w:val="0"/>
          <w:sz w:val="32"/>
          <w:szCs w:val="32"/>
          <w:lang w:val="en-US" w:eastAsia="zh-CN"/>
        </w:rPr>
        <w:t xml:space="preserve">   </w:t>
      </w:r>
      <w:r>
        <w:rPr>
          <w:rFonts w:hint="default" w:ascii="Times New Roman" w:hAnsi="Times New Roman" w:eastAsia="方正楷体_GBK" w:cs="Times New Roman"/>
          <w:color w:val="000000"/>
          <w:kern w:val="0"/>
          <w:sz w:val="32"/>
          <w:szCs w:val="32"/>
        </w:rPr>
        <w:t>（二）建立土地流转履约保证保险风险资金池补偿机制</w:t>
      </w:r>
    </w:p>
    <w:p w14:paraId="286F6A65">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1．针对保险人赔款金额超过当年实收保费120%的部分，由风险资金池给予超出部分50%的补偿；当保险人的实际赔款金额超过实收保费180%以上，保险人不再承担超过部分的赔付责任，由风险资金池进行赔付。</w:t>
      </w:r>
    </w:p>
    <w:p w14:paraId="695B0224">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2．如当年支付赔款额低于保险人实收保费的10%（不含）时，保险人下一年度保费优惠50%；如当年支付赔款额高于保险人实收保费的10%（含）低于30%（不含）时，保险人下一年度保费优惠30%；如当年支付赔款额高于保险人实收保费的30%（含）低于50%（不含）时，保险人下一年度保费优惠20%。如当年支付赔款额高于保险人实收保费的50%（含）低于70%（不含）时，保险人下一年度保费优惠10%。如当年支付赔款额高于保险人实收保费的70%(含)时，下年度投保费用不享受优惠政策。</w:t>
      </w:r>
    </w:p>
    <w:p w14:paraId="49D48A6F">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3．以上方案中赔款额包括当年已决赔款及未决赔款之和。</w:t>
      </w:r>
    </w:p>
    <w:p w14:paraId="4E42BEFE">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 xml:space="preserve">   </w:t>
      </w:r>
      <w:r>
        <w:rPr>
          <w:rFonts w:hint="eastAsia" w:ascii="Times New Roman" w:hAnsi="Times New Roman" w:eastAsia="方正楷体_GBK" w:cs="Times New Roman"/>
          <w:color w:val="000000"/>
          <w:kern w:val="0"/>
          <w:sz w:val="32"/>
          <w:szCs w:val="32"/>
          <w:lang w:val="en-US" w:eastAsia="zh-CN"/>
        </w:rPr>
        <w:t xml:space="preserve"> </w:t>
      </w:r>
      <w:r>
        <w:rPr>
          <w:rFonts w:hint="default" w:ascii="Times New Roman" w:hAnsi="Times New Roman" w:eastAsia="方正楷体_GBK" w:cs="Times New Roman"/>
          <w:color w:val="000000"/>
          <w:kern w:val="0"/>
          <w:sz w:val="32"/>
          <w:szCs w:val="32"/>
        </w:rPr>
        <w:t>（三）各镇街人民政府（办事处）明确专人负责推广土地流转项目的交易流转和履约保证保险工作。</w:t>
      </w:r>
      <w:r>
        <w:rPr>
          <w:rFonts w:hint="default" w:ascii="Times New Roman" w:hAnsi="Times New Roman" w:eastAsia="方正仿宋_GBK" w:cs="Times New Roman"/>
          <w:color w:val="000000"/>
          <w:kern w:val="0"/>
          <w:sz w:val="32"/>
          <w:szCs w:val="32"/>
        </w:rPr>
        <w:t>各镇（街）负责对辖区内农村土地规范化流转的真实性、流转用途、流转方式、流转价格进行严格把关；区农业农村委负责对每宗拟参保的租赁户的主体资质、产业布局等事项进行审核和跟踪管理。</w:t>
      </w:r>
    </w:p>
    <w:p w14:paraId="50441D15">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楷体_GBK" w:cs="Times New Roman"/>
          <w:color w:val="000000"/>
          <w:kern w:val="0"/>
          <w:sz w:val="32"/>
          <w:szCs w:val="32"/>
        </w:rPr>
        <w:t>（四）实行赔付预警叫停制度</w:t>
      </w:r>
      <w:r>
        <w:rPr>
          <w:rFonts w:hint="default" w:ascii="Times New Roman" w:hAnsi="Times New Roman" w:eastAsia="方正仿宋_GBK" w:cs="Times New Roman"/>
          <w:color w:val="000000"/>
          <w:kern w:val="0"/>
          <w:sz w:val="32"/>
          <w:szCs w:val="32"/>
        </w:rPr>
        <w:t>。当保险人的赔款金额（已决赔款+未决赔款-追偿收入）累计超过保险人实收保费的180%时，经保险人申请，经区农业农村委、区财政局同意，可暂停承办该项业务。已签订的保险合同继续有效，待完善政策制度后恢复业务开展。</w:t>
      </w:r>
    </w:p>
    <w:p w14:paraId="117B0BA6">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楷体_GBK" w:cs="Times New Roman"/>
          <w:color w:val="000000"/>
          <w:kern w:val="0"/>
          <w:sz w:val="32"/>
          <w:szCs w:val="32"/>
        </w:rPr>
        <w:t>（五）引入担保机制及个人无限连带责任机制</w:t>
      </w:r>
    </w:p>
    <w:p w14:paraId="65FBD768">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1．投保人应对土地流转费用的支付以流转土地上的资产作担保，并签订担保书，承诺其一旦未按期支付土地流转费用，自愿以流转土地上的资产（包括但不限于农作物、农业设施设备、农机机具等）承担赔偿责任，保险公司对被保险人进行赔偿后可对投保人进行相应追偿。</w:t>
      </w:r>
    </w:p>
    <w:p w14:paraId="13E05E9D">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2．恶意违约的投保人对保单承担个人无限连带责任，在保险公司支付赔偿金进行追偿的时候，投保人对保险公司代偿的额度负有全部清偿的义务。</w:t>
      </w:r>
    </w:p>
    <w:p w14:paraId="456A4B50">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楷体_GBK" w:cs="Times New Roman"/>
          <w:color w:val="000000"/>
          <w:kern w:val="0"/>
          <w:sz w:val="32"/>
          <w:szCs w:val="32"/>
        </w:rPr>
        <w:t>（六）优先偿还机制</w:t>
      </w:r>
    </w:p>
    <w:p w14:paraId="2E35CC4C">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当投保人违约且保险公司履行赔偿义务后，政府对投保人相关补贴将优先用于偿还保险公司支付的赔款，包括但不限于投保人应获得的各项农业奖励或补贴。</w:t>
      </w:r>
    </w:p>
    <w:p w14:paraId="72383844">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黑体_GBK" w:cs="Times New Roman"/>
          <w:color w:val="000000"/>
          <w:kern w:val="0"/>
          <w:sz w:val="32"/>
          <w:szCs w:val="32"/>
        </w:rPr>
        <w:t xml:space="preserve">  </w:t>
      </w:r>
      <w:r>
        <w:rPr>
          <w:rFonts w:hint="eastAsia" w:ascii="Times New Roman" w:hAnsi="Times New Roman" w:eastAsia="方正黑体_GBK" w:cs="Times New Roman"/>
          <w:color w:val="000000"/>
          <w:kern w:val="0"/>
          <w:sz w:val="32"/>
          <w:szCs w:val="32"/>
          <w:lang w:val="en-US" w:eastAsia="zh-CN"/>
        </w:rPr>
        <w:t xml:space="preserve">  </w:t>
      </w:r>
      <w:r>
        <w:rPr>
          <w:rFonts w:hint="default" w:ascii="Times New Roman" w:hAnsi="Times New Roman" w:eastAsia="方正黑体_GBK" w:cs="Times New Roman"/>
          <w:color w:val="000000"/>
          <w:kern w:val="0"/>
          <w:sz w:val="32"/>
          <w:szCs w:val="32"/>
        </w:rPr>
        <w:t>四、政策支持</w:t>
      </w:r>
    </w:p>
    <w:p w14:paraId="5AFD1716">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由政府出台相应文件，进行广泛宣传。针对参与农村土地流转履约保证保险的主体申请土地经营权抵押融资的，相关涉农金融机构要在融资额度、融资利率、融资期限和审批周期等方面给予优先和优惠。对于违反《重庆市农村土地承包经营权出租合同》约定的投保人的农业项目资金，不直接兑付给投保人，用于支付土地流转费用；同时，各镇街人民政府（办事处）应牵头协助被保险人寻找新的投保人进行再次流转；在保险公司赔付违约土地流转费用后，在追偿过程中，政府相关部门在职责范围内给予必要的支持。</w:t>
      </w:r>
    </w:p>
    <w:p w14:paraId="6ADC4DA6">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p>
    <w:p w14:paraId="45B7B051">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p>
    <w:p w14:paraId="01D3447E">
      <w:pPr>
        <w:keepNext w:val="0"/>
        <w:keepLines w:val="0"/>
        <w:pageBreakBefore w:val="0"/>
        <w:widowControl w:val="0"/>
        <w:kinsoku/>
        <w:wordWrap/>
        <w:overflowPunct/>
        <w:topLinePunct w:val="0"/>
        <w:autoSpaceDE/>
        <w:autoSpaceDN/>
        <w:bidi w:val="0"/>
        <w:adjustRightInd/>
        <w:spacing w:line="594" w:lineRule="exact"/>
        <w:textAlignment w:val="auto"/>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附件2</w:t>
      </w:r>
    </w:p>
    <w:p w14:paraId="170EF96B">
      <w:pPr>
        <w:keepNext w:val="0"/>
        <w:keepLines w:val="0"/>
        <w:pageBreakBefore w:val="0"/>
        <w:widowControl w:val="0"/>
        <w:kinsoku/>
        <w:wordWrap/>
        <w:overflowPunct/>
        <w:topLinePunct w:val="0"/>
        <w:autoSpaceDE/>
        <w:autoSpaceDN/>
        <w:bidi w:val="0"/>
        <w:adjustRightInd/>
        <w:spacing w:line="594" w:lineRule="exact"/>
        <w:ind w:left="0" w:leftChars="0"/>
        <w:jc w:val="both"/>
        <w:textAlignment w:val="auto"/>
        <w:rPr>
          <w:rFonts w:hint="default" w:ascii="Times New Roman" w:hAnsi="Times New Roman" w:eastAsia="方正仿宋_GBK" w:cs="Times New Roman"/>
          <w:color w:val="000000"/>
          <w:kern w:val="0"/>
          <w:sz w:val="32"/>
          <w:szCs w:val="32"/>
        </w:rPr>
      </w:pPr>
    </w:p>
    <w:p w14:paraId="57FF84C5">
      <w:pPr>
        <w:keepNext w:val="0"/>
        <w:keepLines w:val="0"/>
        <w:pageBreakBefore w:val="0"/>
        <w:widowControl w:val="0"/>
        <w:kinsoku/>
        <w:wordWrap/>
        <w:overflowPunct/>
        <w:topLinePunct w:val="0"/>
        <w:autoSpaceDE/>
        <w:autoSpaceDN/>
        <w:bidi w:val="0"/>
        <w:adjustRightInd/>
        <w:spacing w:line="594" w:lineRule="exact"/>
        <w:ind w:left="0" w:leftChars="0"/>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大足区耕地地力指数保险实施方案</w:t>
      </w:r>
    </w:p>
    <w:p w14:paraId="7A3808C5">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p>
    <w:p w14:paraId="1854AABC">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为落实我市农业保险“扩面、增品、提标”的总体要求，推进农业保险高质量发展，进一步扩大农业保险覆盖面、稳定农产品供给和保障农民增收，根据重庆市财政局等5部门关于印发《关于加快农业保险高质量发展工作方案》的通知（渝财规〔2020〕11号）精神，结合我区土地整治举措和耕地地力管控标准要求，现制定耕地地力指数保险实施方案。</w:t>
      </w:r>
    </w:p>
    <w:p w14:paraId="7B85FB44">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方正黑体_GBK" w:hAnsi="方正黑体_GBK" w:eastAsia="方正黑体_GBK" w:cs="方正黑体_GBK"/>
          <w:color w:val="000000"/>
          <w:kern w:val="0"/>
          <w:sz w:val="32"/>
          <w:szCs w:val="32"/>
        </w:rPr>
      </w:pPr>
      <w:r>
        <w:rPr>
          <w:rFonts w:hint="default" w:ascii="方正黑体_GBK" w:hAnsi="方正黑体_GBK" w:eastAsia="方正黑体_GBK" w:cs="方正黑体_GBK"/>
          <w:color w:val="000000"/>
          <w:kern w:val="0"/>
          <w:sz w:val="32"/>
          <w:szCs w:val="32"/>
        </w:rPr>
        <w:t>一、指导思想</w:t>
      </w:r>
    </w:p>
    <w:p w14:paraId="7CC319B0">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以习近平新时代中国特色社会主义思想为指导，全面贯彻党的二十大和二十届二中全会精神，贯彻</w:t>
      </w:r>
      <w:bookmarkStart w:id="0" w:name="_GoBack"/>
      <w:bookmarkEnd w:id="0"/>
      <w:r>
        <w:rPr>
          <w:rFonts w:hint="eastAsia" w:ascii="Times New Roman" w:hAnsi="Times New Roman" w:eastAsia="方正仿宋_GBK" w:cs="Times New Roman"/>
          <w:color w:val="000000"/>
          <w:kern w:val="0"/>
          <w:sz w:val="32"/>
          <w:szCs w:val="32"/>
          <w:lang w:eastAsia="zh-CN"/>
        </w:rPr>
        <w:t>习近平新时代中国特色社会主义思想</w:t>
      </w:r>
      <w:r>
        <w:rPr>
          <w:rFonts w:hint="default" w:ascii="Times New Roman" w:hAnsi="Times New Roman" w:eastAsia="方正仿宋_GBK" w:cs="Times New Roman"/>
          <w:color w:val="000000"/>
          <w:kern w:val="0"/>
          <w:sz w:val="32"/>
          <w:szCs w:val="32"/>
        </w:rPr>
        <w:t>，全面推进乡村振兴，加快推进农业农村现代化，以保护农民利益为宗旨，牢固树立新发展理念，立足深化农业供给侧结构性改革，坚持“政府引导、市场运作、自主自愿、协同推进”原则，完善以政策性农业保险为基础的农业保险保障体系，构筑多层次的农业保险风险分散机制，为中国式现代化夯实农业农村基础。</w:t>
      </w:r>
    </w:p>
    <w:p w14:paraId="32915546">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黑体_GBK" w:cs="Times New Roman"/>
          <w:color w:val="000000"/>
          <w:kern w:val="0"/>
          <w:sz w:val="32"/>
          <w:szCs w:val="32"/>
        </w:rPr>
        <w:t xml:space="preserve">  </w:t>
      </w:r>
      <w:r>
        <w:rPr>
          <w:rFonts w:hint="eastAsia" w:ascii="Times New Roman" w:hAnsi="Times New Roman" w:eastAsia="方正黑体_GBK" w:cs="Times New Roman"/>
          <w:color w:val="000000"/>
          <w:kern w:val="0"/>
          <w:sz w:val="32"/>
          <w:szCs w:val="32"/>
          <w:lang w:val="en-US" w:eastAsia="zh-CN"/>
        </w:rPr>
        <w:t xml:space="preserve"> </w:t>
      </w:r>
      <w:r>
        <w:rPr>
          <w:rFonts w:hint="default" w:ascii="Times New Roman" w:hAnsi="Times New Roman" w:eastAsia="方正黑体_GBK" w:cs="Times New Roman"/>
          <w:color w:val="000000"/>
          <w:kern w:val="0"/>
          <w:sz w:val="32"/>
          <w:szCs w:val="32"/>
        </w:rPr>
        <w:t xml:space="preserve"> </w:t>
      </w:r>
      <w:r>
        <w:rPr>
          <w:rFonts w:hint="default" w:ascii="方正黑体_GBK" w:hAnsi="方正黑体_GBK" w:eastAsia="方正黑体_GBK" w:cs="方正黑体_GBK"/>
          <w:color w:val="000000"/>
          <w:kern w:val="0"/>
          <w:sz w:val="32"/>
          <w:szCs w:val="32"/>
        </w:rPr>
        <w:t>二、保险面积</w:t>
      </w:r>
    </w:p>
    <w:p w14:paraId="18AACCBD">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耕地地力指数保险实施面积20000亩。</w:t>
      </w:r>
    </w:p>
    <w:p w14:paraId="68CD5530">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方正黑体_GBK" w:hAnsi="方正黑体_GBK" w:eastAsia="方正黑体_GBK" w:cs="方正黑体_GBK"/>
          <w:color w:val="000000"/>
          <w:kern w:val="0"/>
          <w:sz w:val="32"/>
          <w:szCs w:val="32"/>
        </w:rPr>
      </w:pPr>
      <w:r>
        <w:rPr>
          <w:rFonts w:hint="default" w:ascii="Times New Roman" w:hAnsi="Times New Roman" w:eastAsia="方正黑体_GBK" w:cs="Times New Roman"/>
          <w:color w:val="000000"/>
          <w:kern w:val="0"/>
          <w:sz w:val="32"/>
          <w:szCs w:val="32"/>
        </w:rPr>
        <w:t xml:space="preserve">  </w:t>
      </w:r>
      <w:r>
        <w:rPr>
          <w:rFonts w:hint="eastAsia" w:ascii="Times New Roman" w:hAnsi="Times New Roman" w:eastAsia="方正黑体_GBK" w:cs="Times New Roman"/>
          <w:color w:val="000000"/>
          <w:kern w:val="0"/>
          <w:sz w:val="32"/>
          <w:szCs w:val="32"/>
          <w:lang w:val="en-US" w:eastAsia="zh-CN"/>
        </w:rPr>
        <w:t xml:space="preserve">  </w:t>
      </w:r>
      <w:r>
        <w:rPr>
          <w:rFonts w:hint="default" w:ascii="方正黑体_GBK" w:hAnsi="方正黑体_GBK" w:eastAsia="方正黑体_GBK" w:cs="方正黑体_GBK"/>
          <w:color w:val="000000"/>
          <w:kern w:val="0"/>
          <w:sz w:val="32"/>
          <w:szCs w:val="32"/>
        </w:rPr>
        <w:t>三、实施内容</w:t>
      </w:r>
    </w:p>
    <w:p w14:paraId="7F4250C1">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 xml:space="preserve"> </w:t>
      </w:r>
      <w:r>
        <w:rPr>
          <w:rFonts w:hint="eastAsia" w:ascii="Times New Roman" w:hAnsi="Times New Roman" w:eastAsia="方正楷体_GBK" w:cs="Times New Roman"/>
          <w:color w:val="000000"/>
          <w:kern w:val="0"/>
          <w:sz w:val="32"/>
          <w:szCs w:val="32"/>
          <w:lang w:val="en-US" w:eastAsia="zh-CN"/>
        </w:rPr>
        <w:t xml:space="preserve">   </w:t>
      </w:r>
      <w:r>
        <w:rPr>
          <w:rFonts w:hint="default" w:ascii="Times New Roman" w:hAnsi="Times New Roman" w:eastAsia="方正楷体_GBK" w:cs="Times New Roman"/>
          <w:color w:val="000000"/>
          <w:kern w:val="0"/>
          <w:sz w:val="32"/>
          <w:szCs w:val="32"/>
        </w:rPr>
        <w:t>（一）保险对象</w:t>
      </w:r>
    </w:p>
    <w:p w14:paraId="00895EF8">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1.投保人:新型农业经营主体</w:t>
      </w:r>
    </w:p>
    <w:p w14:paraId="75C9A697">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2.被保险人:新型农业经营主体</w:t>
      </w:r>
    </w:p>
    <w:p w14:paraId="3958E058">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楷体_GBK" w:cs="Times New Roman"/>
          <w:color w:val="000000"/>
          <w:kern w:val="0"/>
          <w:sz w:val="32"/>
          <w:szCs w:val="32"/>
        </w:rPr>
        <w:t>（二）保险标的、保险金额、保险费</w:t>
      </w:r>
    </w:p>
    <w:p w14:paraId="1A26546B">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1.保险标的：用于农业生产的耕地、林地、果园土地（下称保险耕地）地力提升所发生的费用作为保险标的。</w:t>
      </w:r>
    </w:p>
    <w:p w14:paraId="554E57C5">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2.保险金额：1000元/亩（其中：保险耕地每亩保险金额参照每亩土壤pH值，每亩保险金额400元；有机质含量改善所发生的费用，每亩保险金额600元）。</w:t>
      </w:r>
    </w:p>
    <w:p w14:paraId="354765DC">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3.保险费：费率6%，其中：财政补贴80%，农户自筹20%。</w:t>
      </w:r>
    </w:p>
    <w:p w14:paraId="73AF5166">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楷体_GBK" w:cs="Times New Roman"/>
          <w:color w:val="000000"/>
          <w:kern w:val="0"/>
          <w:sz w:val="32"/>
          <w:szCs w:val="32"/>
        </w:rPr>
        <w:t xml:space="preserve">  </w:t>
      </w:r>
      <w:r>
        <w:rPr>
          <w:rFonts w:hint="eastAsia" w:ascii="Times New Roman" w:hAnsi="Times New Roman" w:eastAsia="方正楷体_GBK" w:cs="Times New Roman"/>
          <w:color w:val="000000"/>
          <w:kern w:val="0"/>
          <w:sz w:val="32"/>
          <w:szCs w:val="32"/>
          <w:lang w:val="en-US" w:eastAsia="zh-CN"/>
        </w:rPr>
        <w:t xml:space="preserve">  </w:t>
      </w:r>
      <w:r>
        <w:rPr>
          <w:rFonts w:hint="default" w:ascii="Times New Roman" w:hAnsi="Times New Roman" w:eastAsia="方正楷体_GBK" w:cs="Times New Roman"/>
          <w:color w:val="000000"/>
          <w:kern w:val="0"/>
          <w:sz w:val="32"/>
          <w:szCs w:val="32"/>
        </w:rPr>
        <w:t>（三）保险期间、保险责任</w:t>
      </w:r>
    </w:p>
    <w:p w14:paraId="0A10E48C">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1.保险期间：一年。</w:t>
      </w:r>
    </w:p>
    <w:p w14:paraId="6CA25792">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2.保险责任：保险期内，经第三方专业土壤检测机构对保险耕地进行评估，若保险到期前1个月内，保险耕地的pH值或有机质含量的改善幅度处于本保险合同的约定范围，视作触发保险责任，由保险公司负责赔付。</w:t>
      </w:r>
    </w:p>
    <w:p w14:paraId="3CBF1970">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耕地改良方向（酸性改良、碱性改良）需在保单特约中注明。</w:t>
      </w:r>
    </w:p>
    <w:p w14:paraId="774EAA12">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楷体_GBK" w:cs="Times New Roman"/>
          <w:color w:val="000000"/>
          <w:kern w:val="0"/>
          <w:sz w:val="32"/>
          <w:szCs w:val="32"/>
        </w:rPr>
        <w:t xml:space="preserve">  </w:t>
      </w:r>
      <w:r>
        <w:rPr>
          <w:rFonts w:hint="eastAsia" w:ascii="Times New Roman" w:hAnsi="Times New Roman" w:eastAsia="方正楷体_GBK" w:cs="Times New Roman"/>
          <w:color w:val="000000"/>
          <w:kern w:val="0"/>
          <w:sz w:val="32"/>
          <w:szCs w:val="32"/>
          <w:lang w:val="en-US" w:eastAsia="zh-CN"/>
        </w:rPr>
        <w:t xml:space="preserve">  </w:t>
      </w:r>
      <w:r>
        <w:rPr>
          <w:rFonts w:hint="default" w:ascii="Times New Roman" w:hAnsi="Times New Roman" w:eastAsia="方正楷体_GBK" w:cs="Times New Roman"/>
          <w:color w:val="000000"/>
          <w:kern w:val="0"/>
          <w:sz w:val="32"/>
          <w:szCs w:val="32"/>
        </w:rPr>
        <w:t>（四）赔偿处理</w:t>
      </w:r>
    </w:p>
    <w:p w14:paraId="4879880F">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保险期间内，在触发保险责任后，保险公司按以下方式计算赔偿金额：赔偿金额=pH值改善赔偿金额+有机质含量增幅赔偿金额。</w:t>
      </w:r>
    </w:p>
    <w:p w14:paraId="212DB4C4">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1.pH值改善赔偿金额：等于pH值改善区间补偿金额×保险面积。</w:t>
      </w:r>
    </w:p>
    <w:p w14:paraId="06B09B93">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pH值改善区间=|理赔时检测数据pH1-投保时检测数据pH0|；</w:t>
      </w:r>
    </w:p>
    <w:p w14:paraId="34F197DC">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如保险耕地出现酸性改良( pH0&lt;6.5&lt; pH1&lt;7.0)、碱性改良( pH0&gt;7.0&gt; pH1&gt;6.5)时,pH值改善区间=| pH1- pH0|。</w:t>
      </w:r>
    </w:p>
    <w:p w14:paraId="36988CBF">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如保险耕地出现酸碱平衡维持( 6.5≤pH0≤7.0, 6.5≤pH1≤7.0) 时，pH值改善区间=0;若pH值改善区间=0,不负责赔偿。</w:t>
      </w:r>
    </w:p>
    <w:p w14:paraId="1C5029F1">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pH值改善区间赔付计算表(元)</w:t>
      </w:r>
    </w:p>
    <w:tbl>
      <w:tblPr>
        <w:tblStyle w:val="8"/>
        <w:tblW w:w="7831" w:type="dxa"/>
        <w:jc w:val="center"/>
        <w:tblLayout w:type="fixed"/>
        <w:tblCellMar>
          <w:top w:w="0" w:type="dxa"/>
          <w:left w:w="108" w:type="dxa"/>
          <w:bottom w:w="0" w:type="dxa"/>
          <w:right w:w="108" w:type="dxa"/>
        </w:tblCellMar>
      </w:tblPr>
      <w:tblGrid>
        <w:gridCol w:w="1276"/>
        <w:gridCol w:w="3529"/>
        <w:gridCol w:w="3026"/>
      </w:tblGrid>
      <w:tr w14:paraId="5C9E5E28">
        <w:tblPrEx>
          <w:tblCellMar>
            <w:top w:w="0" w:type="dxa"/>
            <w:left w:w="108" w:type="dxa"/>
            <w:bottom w:w="0" w:type="dxa"/>
            <w:right w:w="108" w:type="dxa"/>
          </w:tblCellMar>
        </w:tblPrEx>
        <w:trPr>
          <w:trHeight w:val="315"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FE1B9">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序号</w:t>
            </w:r>
          </w:p>
        </w:tc>
        <w:tc>
          <w:tcPr>
            <w:tcW w:w="3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A2277">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改善区间</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910AE">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补偿金额/亩</w:t>
            </w:r>
          </w:p>
        </w:tc>
      </w:tr>
      <w:tr w14:paraId="3C3A7AD5">
        <w:tblPrEx>
          <w:tblCellMar>
            <w:top w:w="0" w:type="dxa"/>
            <w:left w:w="108" w:type="dxa"/>
            <w:bottom w:w="0" w:type="dxa"/>
            <w:right w:w="108" w:type="dxa"/>
          </w:tblCellMar>
        </w:tblPrEx>
        <w:trPr>
          <w:trHeight w:val="330"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70754">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w:t>
            </w:r>
          </w:p>
        </w:tc>
        <w:tc>
          <w:tcPr>
            <w:tcW w:w="3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5CF53">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0</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7A519">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0</w:t>
            </w:r>
          </w:p>
        </w:tc>
      </w:tr>
      <w:tr w14:paraId="52F28DE0">
        <w:tblPrEx>
          <w:tblCellMar>
            <w:top w:w="0" w:type="dxa"/>
            <w:left w:w="108" w:type="dxa"/>
            <w:bottom w:w="0" w:type="dxa"/>
            <w:right w:w="108" w:type="dxa"/>
          </w:tblCellMar>
        </w:tblPrEx>
        <w:trPr>
          <w:trHeight w:val="315"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D3FC0">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w:t>
            </w:r>
          </w:p>
        </w:tc>
        <w:tc>
          <w:tcPr>
            <w:tcW w:w="3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450A8">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0.1（不含）-0.2（含）</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8AA89">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w:t>
            </w:r>
          </w:p>
        </w:tc>
      </w:tr>
      <w:tr w14:paraId="4440CA7F">
        <w:tblPrEx>
          <w:tblCellMar>
            <w:top w:w="0" w:type="dxa"/>
            <w:left w:w="108" w:type="dxa"/>
            <w:bottom w:w="0" w:type="dxa"/>
            <w:right w:w="108" w:type="dxa"/>
          </w:tblCellMar>
        </w:tblPrEx>
        <w:trPr>
          <w:trHeight w:val="285"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7F56F">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w:t>
            </w:r>
          </w:p>
        </w:tc>
        <w:tc>
          <w:tcPr>
            <w:tcW w:w="3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FA1E7">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0.2（不含）-0.3（含）</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5B708">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8</w:t>
            </w:r>
          </w:p>
        </w:tc>
      </w:tr>
      <w:tr w14:paraId="1F63F132">
        <w:tblPrEx>
          <w:tblCellMar>
            <w:top w:w="0" w:type="dxa"/>
            <w:left w:w="108" w:type="dxa"/>
            <w:bottom w:w="0" w:type="dxa"/>
            <w:right w:w="108" w:type="dxa"/>
          </w:tblCellMar>
        </w:tblPrEx>
        <w:trPr>
          <w:trHeight w:val="285"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596B4">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w:t>
            </w:r>
          </w:p>
        </w:tc>
        <w:tc>
          <w:tcPr>
            <w:tcW w:w="3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129A8">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0.4（不含）-0.5（含）</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F1E0">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w:t>
            </w:r>
          </w:p>
        </w:tc>
      </w:tr>
      <w:tr w14:paraId="33DB22D1">
        <w:tblPrEx>
          <w:tblCellMar>
            <w:top w:w="0" w:type="dxa"/>
            <w:left w:w="108" w:type="dxa"/>
            <w:bottom w:w="0" w:type="dxa"/>
            <w:right w:w="108" w:type="dxa"/>
          </w:tblCellMar>
        </w:tblPrEx>
        <w:trPr>
          <w:trHeight w:val="285"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13B62">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5</w:t>
            </w:r>
          </w:p>
        </w:tc>
        <w:tc>
          <w:tcPr>
            <w:tcW w:w="3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BC213">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0.5（不含）-0.6（含）</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8A3AC">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16</w:t>
            </w:r>
          </w:p>
        </w:tc>
      </w:tr>
      <w:tr w14:paraId="4918E529">
        <w:tblPrEx>
          <w:tblCellMar>
            <w:top w:w="0" w:type="dxa"/>
            <w:left w:w="108" w:type="dxa"/>
            <w:bottom w:w="0" w:type="dxa"/>
            <w:right w:w="108" w:type="dxa"/>
          </w:tblCellMar>
        </w:tblPrEx>
        <w:trPr>
          <w:trHeight w:val="285"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03DE6">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6</w:t>
            </w:r>
          </w:p>
        </w:tc>
        <w:tc>
          <w:tcPr>
            <w:tcW w:w="3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961D5">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0.6（不含）-0.7（含）</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2FCCC">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20</w:t>
            </w:r>
          </w:p>
        </w:tc>
      </w:tr>
      <w:tr w14:paraId="589974F5">
        <w:tblPrEx>
          <w:tblCellMar>
            <w:top w:w="0" w:type="dxa"/>
            <w:left w:w="108" w:type="dxa"/>
            <w:bottom w:w="0" w:type="dxa"/>
            <w:right w:w="108" w:type="dxa"/>
          </w:tblCellMar>
        </w:tblPrEx>
        <w:trPr>
          <w:trHeight w:val="285"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7CEDB">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7</w:t>
            </w:r>
          </w:p>
        </w:tc>
        <w:tc>
          <w:tcPr>
            <w:tcW w:w="3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0264A">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0.7（不含）-0.8（含）</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83F0B">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24</w:t>
            </w:r>
          </w:p>
        </w:tc>
      </w:tr>
      <w:tr w14:paraId="5AB049B8">
        <w:tblPrEx>
          <w:tblCellMar>
            <w:top w:w="0" w:type="dxa"/>
            <w:left w:w="108" w:type="dxa"/>
            <w:bottom w:w="0" w:type="dxa"/>
            <w:right w:w="108" w:type="dxa"/>
          </w:tblCellMar>
        </w:tblPrEx>
        <w:trPr>
          <w:trHeight w:val="285"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95DAB">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8</w:t>
            </w:r>
          </w:p>
        </w:tc>
        <w:tc>
          <w:tcPr>
            <w:tcW w:w="3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3BB98">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0.8（不含）-0.9（含）</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7554A">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28</w:t>
            </w:r>
          </w:p>
        </w:tc>
      </w:tr>
      <w:tr w14:paraId="671904A5">
        <w:tblPrEx>
          <w:tblCellMar>
            <w:top w:w="0" w:type="dxa"/>
            <w:left w:w="108" w:type="dxa"/>
            <w:bottom w:w="0" w:type="dxa"/>
            <w:right w:w="108" w:type="dxa"/>
          </w:tblCellMar>
        </w:tblPrEx>
        <w:trPr>
          <w:trHeight w:val="285"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E0EE5">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9</w:t>
            </w:r>
          </w:p>
        </w:tc>
        <w:tc>
          <w:tcPr>
            <w:tcW w:w="3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3EFF5">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0.9（不含）-1.0（含）</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1C2C4">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32</w:t>
            </w:r>
          </w:p>
        </w:tc>
      </w:tr>
      <w:tr w14:paraId="045E1669">
        <w:tblPrEx>
          <w:tblCellMar>
            <w:top w:w="0" w:type="dxa"/>
            <w:left w:w="108" w:type="dxa"/>
            <w:bottom w:w="0" w:type="dxa"/>
            <w:right w:w="108" w:type="dxa"/>
          </w:tblCellMar>
        </w:tblPrEx>
        <w:trPr>
          <w:trHeight w:val="285"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887A6">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10</w:t>
            </w:r>
          </w:p>
        </w:tc>
        <w:tc>
          <w:tcPr>
            <w:tcW w:w="3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09BD">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1.0（不含）-1.1（含）</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C64E3">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47</w:t>
            </w:r>
          </w:p>
        </w:tc>
      </w:tr>
      <w:tr w14:paraId="58580E23">
        <w:tblPrEx>
          <w:tblCellMar>
            <w:top w:w="0" w:type="dxa"/>
            <w:left w:w="108" w:type="dxa"/>
            <w:bottom w:w="0" w:type="dxa"/>
            <w:right w:w="108" w:type="dxa"/>
          </w:tblCellMar>
        </w:tblPrEx>
        <w:trPr>
          <w:trHeight w:val="285"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C70A5">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w:t>
            </w:r>
          </w:p>
        </w:tc>
        <w:tc>
          <w:tcPr>
            <w:tcW w:w="3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93FBC">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1.1（不含）-1.2（含）</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4E3FA">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62</w:t>
            </w:r>
          </w:p>
        </w:tc>
      </w:tr>
      <w:tr w14:paraId="72C292D1">
        <w:tblPrEx>
          <w:tblCellMar>
            <w:top w:w="0" w:type="dxa"/>
            <w:left w:w="108" w:type="dxa"/>
            <w:bottom w:w="0" w:type="dxa"/>
            <w:right w:w="108" w:type="dxa"/>
          </w:tblCellMar>
        </w:tblPrEx>
        <w:trPr>
          <w:trHeight w:val="285"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12331">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w:t>
            </w:r>
          </w:p>
        </w:tc>
        <w:tc>
          <w:tcPr>
            <w:tcW w:w="3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F5CB7">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1.2（不含）-1.3（含）</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2D92E">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77</w:t>
            </w:r>
          </w:p>
        </w:tc>
      </w:tr>
      <w:tr w14:paraId="4C451A82">
        <w:tblPrEx>
          <w:tblCellMar>
            <w:top w:w="0" w:type="dxa"/>
            <w:left w:w="108" w:type="dxa"/>
            <w:bottom w:w="0" w:type="dxa"/>
            <w:right w:w="108" w:type="dxa"/>
          </w:tblCellMar>
        </w:tblPrEx>
        <w:trPr>
          <w:trHeight w:val="285"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79B48">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13</w:t>
            </w:r>
          </w:p>
        </w:tc>
        <w:tc>
          <w:tcPr>
            <w:tcW w:w="3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E95BF">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1.3（不含）-1.4（含）</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7A1FF">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92</w:t>
            </w:r>
          </w:p>
        </w:tc>
      </w:tr>
      <w:tr w14:paraId="75A31061">
        <w:tblPrEx>
          <w:tblCellMar>
            <w:top w:w="0" w:type="dxa"/>
            <w:left w:w="108" w:type="dxa"/>
            <w:bottom w:w="0" w:type="dxa"/>
            <w:right w:w="108" w:type="dxa"/>
          </w:tblCellMar>
        </w:tblPrEx>
        <w:trPr>
          <w:trHeight w:val="285"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8B674">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14</w:t>
            </w:r>
          </w:p>
        </w:tc>
        <w:tc>
          <w:tcPr>
            <w:tcW w:w="3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AB404">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1.4（不含）-1.5（含）</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A1342">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107</w:t>
            </w:r>
          </w:p>
        </w:tc>
      </w:tr>
      <w:tr w14:paraId="361DA730">
        <w:tblPrEx>
          <w:tblCellMar>
            <w:top w:w="0" w:type="dxa"/>
            <w:left w:w="108" w:type="dxa"/>
            <w:bottom w:w="0" w:type="dxa"/>
            <w:right w:w="108" w:type="dxa"/>
          </w:tblCellMar>
        </w:tblPrEx>
        <w:trPr>
          <w:trHeight w:val="285"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7D32F">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15</w:t>
            </w:r>
          </w:p>
        </w:tc>
        <w:tc>
          <w:tcPr>
            <w:tcW w:w="3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D12E4">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1.5（不含）-1.6（含）</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C0B55">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130</w:t>
            </w:r>
          </w:p>
        </w:tc>
      </w:tr>
      <w:tr w14:paraId="6BFE2CB9">
        <w:tblPrEx>
          <w:tblCellMar>
            <w:top w:w="0" w:type="dxa"/>
            <w:left w:w="108" w:type="dxa"/>
            <w:bottom w:w="0" w:type="dxa"/>
            <w:right w:w="108" w:type="dxa"/>
          </w:tblCellMar>
        </w:tblPrEx>
        <w:trPr>
          <w:trHeight w:val="285"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C2DE3">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16</w:t>
            </w:r>
          </w:p>
        </w:tc>
        <w:tc>
          <w:tcPr>
            <w:tcW w:w="3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44C23">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1.6（不含）-1.7（含）</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5A571">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153</w:t>
            </w:r>
          </w:p>
        </w:tc>
      </w:tr>
      <w:tr w14:paraId="79B42EF8">
        <w:tblPrEx>
          <w:tblCellMar>
            <w:top w:w="0" w:type="dxa"/>
            <w:left w:w="108" w:type="dxa"/>
            <w:bottom w:w="0" w:type="dxa"/>
            <w:right w:w="108" w:type="dxa"/>
          </w:tblCellMar>
        </w:tblPrEx>
        <w:trPr>
          <w:trHeight w:val="285"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C4FF2">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17</w:t>
            </w:r>
          </w:p>
        </w:tc>
        <w:tc>
          <w:tcPr>
            <w:tcW w:w="3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B3B6F">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1.7（不含）-1.8（含）</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2A07A">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176</w:t>
            </w:r>
          </w:p>
        </w:tc>
      </w:tr>
      <w:tr w14:paraId="733B3AEA">
        <w:tblPrEx>
          <w:tblCellMar>
            <w:top w:w="0" w:type="dxa"/>
            <w:left w:w="108" w:type="dxa"/>
            <w:bottom w:w="0" w:type="dxa"/>
            <w:right w:w="108" w:type="dxa"/>
          </w:tblCellMar>
        </w:tblPrEx>
        <w:trPr>
          <w:trHeight w:val="285"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585BA">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18</w:t>
            </w:r>
          </w:p>
        </w:tc>
        <w:tc>
          <w:tcPr>
            <w:tcW w:w="3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4B457">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1.8（不含）-1.9（含）</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FD76D">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199</w:t>
            </w:r>
          </w:p>
        </w:tc>
      </w:tr>
      <w:tr w14:paraId="1617F16E">
        <w:tblPrEx>
          <w:tblCellMar>
            <w:top w:w="0" w:type="dxa"/>
            <w:left w:w="108" w:type="dxa"/>
            <w:bottom w:w="0" w:type="dxa"/>
            <w:right w:w="108" w:type="dxa"/>
          </w:tblCellMar>
        </w:tblPrEx>
        <w:trPr>
          <w:trHeight w:val="285"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EED33">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19</w:t>
            </w:r>
          </w:p>
        </w:tc>
        <w:tc>
          <w:tcPr>
            <w:tcW w:w="3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287C3">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1.9（不含）-2.0（含）</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47B4D">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222</w:t>
            </w:r>
          </w:p>
        </w:tc>
      </w:tr>
      <w:tr w14:paraId="7F735E15">
        <w:tblPrEx>
          <w:tblCellMar>
            <w:top w:w="0" w:type="dxa"/>
            <w:left w:w="108" w:type="dxa"/>
            <w:bottom w:w="0" w:type="dxa"/>
            <w:right w:w="108" w:type="dxa"/>
          </w:tblCellMar>
        </w:tblPrEx>
        <w:trPr>
          <w:trHeight w:val="285"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13BC5">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20</w:t>
            </w:r>
          </w:p>
        </w:tc>
        <w:tc>
          <w:tcPr>
            <w:tcW w:w="3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A47B1">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2.0（不含）-2.1（含）</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0F3E4">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252</w:t>
            </w:r>
          </w:p>
        </w:tc>
      </w:tr>
      <w:tr w14:paraId="400AA301">
        <w:tblPrEx>
          <w:tblCellMar>
            <w:top w:w="0" w:type="dxa"/>
            <w:left w:w="108" w:type="dxa"/>
            <w:bottom w:w="0" w:type="dxa"/>
            <w:right w:w="108" w:type="dxa"/>
          </w:tblCellMar>
        </w:tblPrEx>
        <w:trPr>
          <w:trHeight w:val="285"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8241B">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21</w:t>
            </w:r>
          </w:p>
        </w:tc>
        <w:tc>
          <w:tcPr>
            <w:tcW w:w="3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86F6A">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2.1（不含）-2.2（含）</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B452">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282</w:t>
            </w:r>
          </w:p>
        </w:tc>
      </w:tr>
      <w:tr w14:paraId="6F89B9EA">
        <w:tblPrEx>
          <w:tblCellMar>
            <w:top w:w="0" w:type="dxa"/>
            <w:left w:w="108" w:type="dxa"/>
            <w:bottom w:w="0" w:type="dxa"/>
            <w:right w:w="108" w:type="dxa"/>
          </w:tblCellMar>
        </w:tblPrEx>
        <w:trPr>
          <w:trHeight w:val="285"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BB7B0">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22</w:t>
            </w:r>
          </w:p>
        </w:tc>
        <w:tc>
          <w:tcPr>
            <w:tcW w:w="3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9E575">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2.2（不含）-2.3（含）</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F00E5">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312</w:t>
            </w:r>
          </w:p>
        </w:tc>
      </w:tr>
      <w:tr w14:paraId="574742C9">
        <w:tblPrEx>
          <w:tblCellMar>
            <w:top w:w="0" w:type="dxa"/>
            <w:left w:w="108" w:type="dxa"/>
            <w:bottom w:w="0" w:type="dxa"/>
            <w:right w:w="108" w:type="dxa"/>
          </w:tblCellMar>
        </w:tblPrEx>
        <w:trPr>
          <w:trHeight w:val="285"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876CD">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23</w:t>
            </w:r>
          </w:p>
        </w:tc>
        <w:tc>
          <w:tcPr>
            <w:tcW w:w="3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DC2C2">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2.3（不含）-2.4（含）</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C42A8">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342</w:t>
            </w:r>
          </w:p>
        </w:tc>
      </w:tr>
      <w:tr w14:paraId="40DC8EE7">
        <w:tblPrEx>
          <w:tblCellMar>
            <w:top w:w="0" w:type="dxa"/>
            <w:left w:w="108" w:type="dxa"/>
            <w:bottom w:w="0" w:type="dxa"/>
            <w:right w:w="108" w:type="dxa"/>
          </w:tblCellMar>
        </w:tblPrEx>
        <w:trPr>
          <w:trHeight w:val="285" w:hRule="atLeast"/>
          <w:jc w:val="center"/>
        </w:trPr>
        <w:tc>
          <w:tcPr>
            <w:tcW w:w="1276" w:type="dxa"/>
            <w:tcBorders>
              <w:top w:val="single" w:color="000000" w:sz="4" w:space="0"/>
              <w:left w:val="single" w:color="000000" w:sz="4" w:space="0"/>
              <w:bottom w:val="single" w:color="auto" w:sz="4" w:space="0"/>
              <w:right w:val="single" w:color="000000" w:sz="4" w:space="0"/>
            </w:tcBorders>
            <w:shd w:val="clear" w:color="auto" w:fill="auto"/>
            <w:vAlign w:val="center"/>
          </w:tcPr>
          <w:p w14:paraId="0D42C112">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24</w:t>
            </w:r>
          </w:p>
        </w:tc>
        <w:tc>
          <w:tcPr>
            <w:tcW w:w="3529" w:type="dxa"/>
            <w:tcBorders>
              <w:top w:val="single" w:color="000000" w:sz="4" w:space="0"/>
              <w:left w:val="single" w:color="000000" w:sz="4" w:space="0"/>
              <w:bottom w:val="single" w:color="auto" w:sz="4" w:space="0"/>
              <w:right w:val="single" w:color="000000" w:sz="4" w:space="0"/>
            </w:tcBorders>
            <w:shd w:val="clear" w:color="auto" w:fill="auto"/>
            <w:vAlign w:val="center"/>
          </w:tcPr>
          <w:p w14:paraId="69AECD96">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2.4（不含）-2.5（含）</w:t>
            </w:r>
          </w:p>
        </w:tc>
        <w:tc>
          <w:tcPr>
            <w:tcW w:w="3026" w:type="dxa"/>
            <w:tcBorders>
              <w:top w:val="single" w:color="000000" w:sz="4" w:space="0"/>
              <w:left w:val="single" w:color="000000" w:sz="4" w:space="0"/>
              <w:bottom w:val="single" w:color="auto" w:sz="4" w:space="0"/>
              <w:right w:val="single" w:color="000000" w:sz="4" w:space="0"/>
            </w:tcBorders>
            <w:shd w:val="clear" w:color="auto" w:fill="auto"/>
            <w:vAlign w:val="center"/>
          </w:tcPr>
          <w:p w14:paraId="001E94C7">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372</w:t>
            </w:r>
          </w:p>
        </w:tc>
      </w:tr>
      <w:tr w14:paraId="2D797519">
        <w:tblPrEx>
          <w:tblCellMar>
            <w:top w:w="0" w:type="dxa"/>
            <w:left w:w="108" w:type="dxa"/>
            <w:bottom w:w="0" w:type="dxa"/>
            <w:right w:w="108" w:type="dxa"/>
          </w:tblCellMar>
        </w:tblPrEx>
        <w:trPr>
          <w:trHeight w:val="285" w:hRule="atLeast"/>
          <w:jc w:val="center"/>
        </w:trPr>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EEFC24B">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25</w:t>
            </w:r>
          </w:p>
        </w:tc>
        <w:tc>
          <w:tcPr>
            <w:tcW w:w="3529" w:type="dxa"/>
            <w:tcBorders>
              <w:top w:val="single" w:color="auto" w:sz="4" w:space="0"/>
              <w:left w:val="single" w:color="auto" w:sz="4" w:space="0"/>
              <w:bottom w:val="single" w:color="auto" w:sz="4" w:space="0"/>
              <w:right w:val="single" w:color="auto" w:sz="4" w:space="0"/>
            </w:tcBorders>
            <w:shd w:val="clear" w:color="auto" w:fill="auto"/>
            <w:vAlign w:val="center"/>
          </w:tcPr>
          <w:p w14:paraId="05D84B2D">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2.5（不含）-+∞（含）</w:t>
            </w:r>
          </w:p>
        </w:tc>
        <w:tc>
          <w:tcPr>
            <w:tcW w:w="3026" w:type="dxa"/>
            <w:tcBorders>
              <w:top w:val="single" w:color="auto" w:sz="4" w:space="0"/>
              <w:left w:val="single" w:color="auto" w:sz="4" w:space="0"/>
              <w:bottom w:val="single" w:color="auto" w:sz="4" w:space="0"/>
              <w:right w:val="single" w:color="auto" w:sz="4" w:space="0"/>
            </w:tcBorders>
            <w:shd w:val="clear" w:color="auto" w:fill="auto"/>
            <w:vAlign w:val="center"/>
          </w:tcPr>
          <w:p w14:paraId="05996DCB">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400</w:t>
            </w:r>
          </w:p>
        </w:tc>
      </w:tr>
    </w:tbl>
    <w:p w14:paraId="4B2A5E39">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方正仿宋_GBK" w:cs="Times New Roman"/>
          <w:color w:val="000000"/>
          <w:kern w:val="0"/>
          <w:sz w:val="32"/>
          <w:szCs w:val="32"/>
        </w:rPr>
      </w:pPr>
    </w:p>
    <w:p w14:paraId="2767FCAE">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2.耕地有机质含量增幅赔偿金额：有机质含量增幅等级赔付比例×600元×保险面积。</w:t>
      </w:r>
    </w:p>
    <w:p w14:paraId="147CEFFB">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保险耕地有机物含量在承保时进行评级，按照有机物含量按三级分类评价，理赔时对照土地有机质级别分别计算赔偿：</w:t>
      </w:r>
    </w:p>
    <w:p w14:paraId="40393264">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土壤有机物含量三级评级分类表</w:t>
      </w:r>
    </w:p>
    <w:tbl>
      <w:tblPr>
        <w:tblStyle w:val="8"/>
        <w:tblpPr w:leftFromText="180" w:rightFromText="180" w:vertAnchor="text" w:horzAnchor="page" w:tblpX="2548" w:tblpY="23"/>
        <w:tblOverlap w:val="never"/>
        <w:tblW w:w="7621" w:type="dxa"/>
        <w:tblInd w:w="0" w:type="dxa"/>
        <w:tblLayout w:type="fixed"/>
        <w:tblCellMar>
          <w:top w:w="0" w:type="dxa"/>
          <w:left w:w="108" w:type="dxa"/>
          <w:bottom w:w="0" w:type="dxa"/>
          <w:right w:w="108" w:type="dxa"/>
        </w:tblCellMar>
      </w:tblPr>
      <w:tblGrid>
        <w:gridCol w:w="2672"/>
        <w:gridCol w:w="1234"/>
        <w:gridCol w:w="3715"/>
      </w:tblGrid>
      <w:tr w14:paraId="6DB6A44C">
        <w:tblPrEx>
          <w:tblCellMar>
            <w:top w:w="0" w:type="dxa"/>
            <w:left w:w="108" w:type="dxa"/>
            <w:bottom w:w="0" w:type="dxa"/>
            <w:right w:w="108" w:type="dxa"/>
          </w:tblCellMar>
        </w:tblPrEx>
        <w:trPr>
          <w:trHeight w:val="280" w:hRule="atLeast"/>
        </w:trPr>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23E26">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土地有机质含量分级</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B088F">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评价</w:t>
            </w:r>
          </w:p>
        </w:tc>
        <w:tc>
          <w:tcPr>
            <w:tcW w:w="3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91E09">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有机质含量（单位：g/kg）</w:t>
            </w:r>
          </w:p>
        </w:tc>
      </w:tr>
      <w:tr w14:paraId="6CC1685F">
        <w:tblPrEx>
          <w:tblCellMar>
            <w:top w:w="0" w:type="dxa"/>
            <w:left w:w="108" w:type="dxa"/>
            <w:bottom w:w="0" w:type="dxa"/>
            <w:right w:w="108" w:type="dxa"/>
          </w:tblCellMar>
        </w:tblPrEx>
        <w:trPr>
          <w:trHeight w:val="280" w:hRule="atLeast"/>
        </w:trPr>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5EF18">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I级</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0B83D">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良</w:t>
            </w:r>
          </w:p>
        </w:tc>
        <w:tc>
          <w:tcPr>
            <w:tcW w:w="3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C4869">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3（不含）-4+∞</w:t>
            </w:r>
          </w:p>
        </w:tc>
      </w:tr>
      <w:tr w14:paraId="01CEE1EE">
        <w:tblPrEx>
          <w:tblCellMar>
            <w:top w:w="0" w:type="dxa"/>
            <w:left w:w="108" w:type="dxa"/>
            <w:bottom w:w="0" w:type="dxa"/>
            <w:right w:w="108" w:type="dxa"/>
          </w:tblCellMar>
        </w:tblPrEx>
        <w:trPr>
          <w:trHeight w:val="280" w:hRule="atLeast"/>
        </w:trPr>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C8CCB">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II级</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7D358">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中</w:t>
            </w:r>
          </w:p>
        </w:tc>
        <w:tc>
          <w:tcPr>
            <w:tcW w:w="3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AEE7B">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1（不含）-3（含）</w:t>
            </w:r>
          </w:p>
        </w:tc>
      </w:tr>
      <w:tr w14:paraId="5E4BCE11">
        <w:tblPrEx>
          <w:tblCellMar>
            <w:top w:w="0" w:type="dxa"/>
            <w:left w:w="108" w:type="dxa"/>
            <w:bottom w:w="0" w:type="dxa"/>
            <w:right w:w="108" w:type="dxa"/>
          </w:tblCellMar>
        </w:tblPrEx>
        <w:trPr>
          <w:trHeight w:val="280" w:hRule="atLeast"/>
        </w:trPr>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71F62">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III级</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3FFF2">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差</w:t>
            </w:r>
          </w:p>
        </w:tc>
        <w:tc>
          <w:tcPr>
            <w:tcW w:w="3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3D752">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0（不含）-1（含）</w:t>
            </w:r>
          </w:p>
        </w:tc>
      </w:tr>
    </w:tbl>
    <w:p w14:paraId="169FC39F">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p>
    <w:p w14:paraId="34C04F54">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p>
    <w:p w14:paraId="7F986461">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p>
    <w:p w14:paraId="5303AC48">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p>
    <w:p w14:paraId="6A6374A3">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p>
    <w:p w14:paraId="10756FE8">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有机质含量单位为：g/kg，如单位不一致，按比例换算。</w:t>
      </w:r>
    </w:p>
    <w:p w14:paraId="55AA1562">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有机质含量增幅等级=（保险止期的有机质含量-保险起期的有机质含量）/保险起期的有机质含量。</w:t>
      </w:r>
    </w:p>
    <w:p w14:paraId="7A62164E">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I级土壤有机质含量增幅等级赔付比例表</w:t>
      </w:r>
    </w:p>
    <w:tbl>
      <w:tblPr>
        <w:tblStyle w:val="8"/>
        <w:tblW w:w="11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981"/>
        <w:gridCol w:w="1091"/>
        <w:gridCol w:w="1263"/>
        <w:gridCol w:w="1225"/>
        <w:gridCol w:w="1226"/>
        <w:gridCol w:w="1225"/>
        <w:gridCol w:w="1243"/>
        <w:gridCol w:w="1359"/>
        <w:gridCol w:w="1052"/>
      </w:tblGrid>
      <w:tr w14:paraId="7206C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2655BCF4">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增幅</w:t>
            </w:r>
          </w:p>
          <w:p w14:paraId="0B16FD7D">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等级</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14:paraId="61D1481E">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0（不含）-4%（含）</w:t>
            </w:r>
          </w:p>
        </w:tc>
        <w:tc>
          <w:tcPr>
            <w:tcW w:w="1091" w:type="dxa"/>
            <w:tcBorders>
              <w:top w:val="single" w:color="auto" w:sz="4" w:space="0"/>
              <w:left w:val="single" w:color="auto" w:sz="4" w:space="0"/>
              <w:bottom w:val="single" w:color="auto" w:sz="4" w:space="0"/>
              <w:right w:val="single" w:color="auto" w:sz="4" w:space="0"/>
            </w:tcBorders>
            <w:shd w:val="clear" w:color="auto" w:fill="auto"/>
            <w:vAlign w:val="center"/>
          </w:tcPr>
          <w:p w14:paraId="1A892D9D">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4（不含）-8%（含）</w:t>
            </w:r>
          </w:p>
        </w:tc>
        <w:tc>
          <w:tcPr>
            <w:tcW w:w="1263" w:type="dxa"/>
            <w:tcBorders>
              <w:top w:val="single" w:color="auto" w:sz="4" w:space="0"/>
              <w:left w:val="single" w:color="auto" w:sz="4" w:space="0"/>
              <w:bottom w:val="single" w:color="auto" w:sz="4" w:space="0"/>
              <w:right w:val="single" w:color="auto" w:sz="4" w:space="0"/>
            </w:tcBorders>
            <w:shd w:val="clear" w:color="auto" w:fill="auto"/>
            <w:vAlign w:val="center"/>
          </w:tcPr>
          <w:p w14:paraId="2CB7D33E">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8%（不含）-15%（含）</w:t>
            </w: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14:paraId="61583D09">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15%（不含）-20%（含）</w:t>
            </w:r>
          </w:p>
        </w:tc>
        <w:tc>
          <w:tcPr>
            <w:tcW w:w="1226" w:type="dxa"/>
            <w:tcBorders>
              <w:top w:val="single" w:color="auto" w:sz="4" w:space="0"/>
              <w:left w:val="single" w:color="auto" w:sz="4" w:space="0"/>
              <w:bottom w:val="single" w:color="auto" w:sz="4" w:space="0"/>
              <w:right w:val="single" w:color="auto" w:sz="4" w:space="0"/>
            </w:tcBorders>
            <w:shd w:val="clear" w:color="auto" w:fill="auto"/>
            <w:vAlign w:val="center"/>
          </w:tcPr>
          <w:p w14:paraId="218E73EA">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20%（不含）-30%（含）</w:t>
            </w: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14:paraId="4D76912C">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30%（不含）-50%（含）</w:t>
            </w:r>
          </w:p>
        </w:tc>
        <w:tc>
          <w:tcPr>
            <w:tcW w:w="1243" w:type="dxa"/>
            <w:tcBorders>
              <w:top w:val="single" w:color="auto" w:sz="4" w:space="0"/>
              <w:left w:val="single" w:color="auto" w:sz="4" w:space="0"/>
              <w:bottom w:val="single" w:color="auto" w:sz="4" w:space="0"/>
              <w:right w:val="single" w:color="auto" w:sz="4" w:space="0"/>
            </w:tcBorders>
            <w:shd w:val="clear" w:color="auto" w:fill="auto"/>
            <w:vAlign w:val="center"/>
          </w:tcPr>
          <w:p w14:paraId="5ABF714A">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50%（不含）-70%（含）</w:t>
            </w:r>
          </w:p>
        </w:tc>
        <w:tc>
          <w:tcPr>
            <w:tcW w:w="1359" w:type="dxa"/>
            <w:tcBorders>
              <w:top w:val="single" w:color="auto" w:sz="4" w:space="0"/>
              <w:left w:val="single" w:color="auto" w:sz="4" w:space="0"/>
              <w:bottom w:val="single" w:color="auto" w:sz="4" w:space="0"/>
              <w:right w:val="single" w:color="auto" w:sz="4" w:space="0"/>
            </w:tcBorders>
            <w:shd w:val="clear" w:color="auto" w:fill="auto"/>
            <w:vAlign w:val="center"/>
          </w:tcPr>
          <w:p w14:paraId="3262268B">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70%（不含）-100%（含）</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14:paraId="4C4DF48F">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100%（不含）-+∞</w:t>
            </w:r>
          </w:p>
        </w:tc>
      </w:tr>
      <w:tr w14:paraId="01199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14:paraId="413B84DA">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赔付</w:t>
            </w:r>
          </w:p>
          <w:p w14:paraId="7AB59C74">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比例</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14:paraId="213AAFB2">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w:t>
            </w:r>
          </w:p>
        </w:tc>
        <w:tc>
          <w:tcPr>
            <w:tcW w:w="1091" w:type="dxa"/>
            <w:tcBorders>
              <w:top w:val="single" w:color="auto" w:sz="4" w:space="0"/>
              <w:left w:val="single" w:color="auto" w:sz="4" w:space="0"/>
              <w:bottom w:val="single" w:color="auto" w:sz="4" w:space="0"/>
              <w:right w:val="single" w:color="auto" w:sz="4" w:space="0"/>
            </w:tcBorders>
            <w:shd w:val="clear" w:color="auto" w:fill="auto"/>
            <w:vAlign w:val="center"/>
          </w:tcPr>
          <w:p w14:paraId="7A26D8F9">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w:t>
            </w:r>
          </w:p>
        </w:tc>
        <w:tc>
          <w:tcPr>
            <w:tcW w:w="1263" w:type="dxa"/>
            <w:tcBorders>
              <w:top w:val="single" w:color="auto" w:sz="4" w:space="0"/>
              <w:left w:val="single" w:color="auto" w:sz="4" w:space="0"/>
              <w:bottom w:val="single" w:color="auto" w:sz="4" w:space="0"/>
              <w:right w:val="single" w:color="auto" w:sz="4" w:space="0"/>
            </w:tcBorders>
            <w:shd w:val="clear" w:color="auto" w:fill="auto"/>
            <w:vAlign w:val="center"/>
          </w:tcPr>
          <w:p w14:paraId="7851DCF9">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6%</w:t>
            </w: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14:paraId="47C51BB9">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8%</w:t>
            </w:r>
          </w:p>
        </w:tc>
        <w:tc>
          <w:tcPr>
            <w:tcW w:w="1226" w:type="dxa"/>
            <w:tcBorders>
              <w:top w:val="single" w:color="auto" w:sz="4" w:space="0"/>
              <w:left w:val="single" w:color="auto" w:sz="4" w:space="0"/>
              <w:bottom w:val="single" w:color="auto" w:sz="4" w:space="0"/>
              <w:right w:val="single" w:color="auto" w:sz="4" w:space="0"/>
            </w:tcBorders>
            <w:shd w:val="clear" w:color="auto" w:fill="auto"/>
            <w:vAlign w:val="center"/>
          </w:tcPr>
          <w:p w14:paraId="16F143C2">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10%</w:t>
            </w:r>
          </w:p>
        </w:tc>
        <w:tc>
          <w:tcPr>
            <w:tcW w:w="1225" w:type="dxa"/>
            <w:tcBorders>
              <w:top w:val="single" w:color="auto" w:sz="4" w:space="0"/>
              <w:left w:val="single" w:color="auto" w:sz="4" w:space="0"/>
              <w:bottom w:val="single" w:color="auto" w:sz="4" w:space="0"/>
              <w:right w:val="single" w:color="auto" w:sz="4" w:space="0"/>
            </w:tcBorders>
            <w:shd w:val="clear" w:color="auto" w:fill="auto"/>
            <w:vAlign w:val="center"/>
          </w:tcPr>
          <w:p w14:paraId="3F9DD00E">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20%</w:t>
            </w:r>
          </w:p>
        </w:tc>
        <w:tc>
          <w:tcPr>
            <w:tcW w:w="1243" w:type="dxa"/>
            <w:tcBorders>
              <w:top w:val="single" w:color="auto" w:sz="4" w:space="0"/>
              <w:left w:val="single" w:color="auto" w:sz="4" w:space="0"/>
              <w:bottom w:val="single" w:color="auto" w:sz="4" w:space="0"/>
              <w:right w:val="single" w:color="auto" w:sz="4" w:space="0"/>
            </w:tcBorders>
            <w:shd w:val="clear" w:color="auto" w:fill="auto"/>
            <w:vAlign w:val="center"/>
          </w:tcPr>
          <w:p w14:paraId="25A7CD30">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40%</w:t>
            </w:r>
          </w:p>
        </w:tc>
        <w:tc>
          <w:tcPr>
            <w:tcW w:w="1359" w:type="dxa"/>
            <w:tcBorders>
              <w:top w:val="single" w:color="auto" w:sz="4" w:space="0"/>
              <w:left w:val="single" w:color="auto" w:sz="4" w:space="0"/>
              <w:bottom w:val="single" w:color="auto" w:sz="4" w:space="0"/>
              <w:right w:val="single" w:color="auto" w:sz="4" w:space="0"/>
            </w:tcBorders>
            <w:shd w:val="clear" w:color="auto" w:fill="auto"/>
            <w:vAlign w:val="center"/>
          </w:tcPr>
          <w:p w14:paraId="3AB16971">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80%</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14:paraId="69423011">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100%</w:t>
            </w:r>
          </w:p>
        </w:tc>
      </w:tr>
    </w:tbl>
    <w:p w14:paraId="53674B6A">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II级土壤有机质含量增幅等级赔付比例表</w:t>
      </w:r>
    </w:p>
    <w:tbl>
      <w:tblPr>
        <w:tblStyle w:val="8"/>
        <w:tblW w:w="11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19"/>
        <w:gridCol w:w="1041"/>
        <w:gridCol w:w="1267"/>
        <w:gridCol w:w="1228"/>
        <w:gridCol w:w="1229"/>
        <w:gridCol w:w="1228"/>
        <w:gridCol w:w="1247"/>
        <w:gridCol w:w="1255"/>
        <w:gridCol w:w="1306"/>
      </w:tblGrid>
      <w:tr w14:paraId="556D4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4B6700E4">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增幅</w:t>
            </w:r>
          </w:p>
          <w:p w14:paraId="431BBA38">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等级</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14:paraId="51DC6380">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0（不含）</w:t>
            </w:r>
          </w:p>
          <w:p w14:paraId="014E6C9C">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-5%（含）</w:t>
            </w:r>
          </w:p>
        </w:tc>
        <w:tc>
          <w:tcPr>
            <w:tcW w:w="1041" w:type="dxa"/>
            <w:tcBorders>
              <w:top w:val="single" w:color="auto" w:sz="4" w:space="0"/>
              <w:left w:val="single" w:color="auto" w:sz="4" w:space="0"/>
              <w:bottom w:val="single" w:color="auto" w:sz="4" w:space="0"/>
              <w:right w:val="single" w:color="auto" w:sz="4" w:space="0"/>
            </w:tcBorders>
            <w:shd w:val="clear" w:color="auto" w:fill="auto"/>
            <w:vAlign w:val="center"/>
          </w:tcPr>
          <w:p w14:paraId="06133377">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5%（不含）-10%（含）</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14:paraId="3F06EADD">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10%（不含）-20%（含）</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14:paraId="21613F43">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20%（不含）-30%（含）</w:t>
            </w:r>
          </w:p>
        </w:tc>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14:paraId="5F2A4AB2">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30%（不含）-40%（含）</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14:paraId="3F87FDBC">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40%（不含）-60%（含）</w:t>
            </w:r>
          </w:p>
        </w:tc>
        <w:tc>
          <w:tcPr>
            <w:tcW w:w="1247" w:type="dxa"/>
            <w:tcBorders>
              <w:top w:val="single" w:color="auto" w:sz="4" w:space="0"/>
              <w:left w:val="single" w:color="auto" w:sz="4" w:space="0"/>
              <w:bottom w:val="single" w:color="auto" w:sz="4" w:space="0"/>
              <w:right w:val="single" w:color="auto" w:sz="4" w:space="0"/>
            </w:tcBorders>
            <w:shd w:val="clear" w:color="auto" w:fill="auto"/>
            <w:vAlign w:val="center"/>
          </w:tcPr>
          <w:p w14:paraId="107ABA78">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60%（不含）-80%（含）</w:t>
            </w:r>
          </w:p>
        </w:tc>
        <w:tc>
          <w:tcPr>
            <w:tcW w:w="1255" w:type="dxa"/>
            <w:tcBorders>
              <w:top w:val="single" w:color="auto" w:sz="4" w:space="0"/>
              <w:left w:val="single" w:color="auto" w:sz="4" w:space="0"/>
              <w:bottom w:val="single" w:color="auto" w:sz="4" w:space="0"/>
              <w:right w:val="single" w:color="auto" w:sz="4" w:space="0"/>
            </w:tcBorders>
            <w:shd w:val="clear" w:color="auto" w:fill="auto"/>
            <w:vAlign w:val="center"/>
          </w:tcPr>
          <w:p w14:paraId="297C752C">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80%（不含）-100%（含）</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14:paraId="0555745E">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100%（不含）-+∞</w:t>
            </w:r>
          </w:p>
        </w:tc>
      </w:tr>
      <w:tr w14:paraId="46D63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5C7D74D9">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赔付</w:t>
            </w:r>
          </w:p>
          <w:p w14:paraId="09013F2A">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比例</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14:paraId="7485B4A1">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w:t>
            </w:r>
          </w:p>
        </w:tc>
        <w:tc>
          <w:tcPr>
            <w:tcW w:w="1041" w:type="dxa"/>
            <w:tcBorders>
              <w:top w:val="single" w:color="auto" w:sz="4" w:space="0"/>
              <w:left w:val="single" w:color="auto" w:sz="4" w:space="0"/>
              <w:bottom w:val="single" w:color="auto" w:sz="4" w:space="0"/>
              <w:right w:val="single" w:color="auto" w:sz="4" w:space="0"/>
            </w:tcBorders>
            <w:shd w:val="clear" w:color="auto" w:fill="auto"/>
            <w:vAlign w:val="center"/>
          </w:tcPr>
          <w:p w14:paraId="1DCAD528">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14:paraId="4FF323BA">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6%</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14:paraId="27624238">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8%</w:t>
            </w:r>
          </w:p>
        </w:tc>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14:paraId="031404DE">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10%</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14:paraId="15CB8434">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20%</w:t>
            </w:r>
          </w:p>
        </w:tc>
        <w:tc>
          <w:tcPr>
            <w:tcW w:w="1247" w:type="dxa"/>
            <w:tcBorders>
              <w:top w:val="single" w:color="auto" w:sz="4" w:space="0"/>
              <w:left w:val="single" w:color="auto" w:sz="4" w:space="0"/>
              <w:bottom w:val="single" w:color="auto" w:sz="4" w:space="0"/>
              <w:right w:val="single" w:color="auto" w:sz="4" w:space="0"/>
            </w:tcBorders>
            <w:shd w:val="clear" w:color="auto" w:fill="auto"/>
            <w:vAlign w:val="center"/>
          </w:tcPr>
          <w:p w14:paraId="00468E7C">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40%</w:t>
            </w:r>
          </w:p>
        </w:tc>
        <w:tc>
          <w:tcPr>
            <w:tcW w:w="1255" w:type="dxa"/>
            <w:tcBorders>
              <w:top w:val="single" w:color="auto" w:sz="4" w:space="0"/>
              <w:left w:val="single" w:color="auto" w:sz="4" w:space="0"/>
              <w:bottom w:val="single" w:color="auto" w:sz="4" w:space="0"/>
              <w:right w:val="single" w:color="auto" w:sz="4" w:space="0"/>
            </w:tcBorders>
            <w:shd w:val="clear" w:color="auto" w:fill="auto"/>
            <w:vAlign w:val="center"/>
          </w:tcPr>
          <w:p w14:paraId="58F3DE21">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80%</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14:paraId="49B93DAC">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100%</w:t>
            </w:r>
          </w:p>
        </w:tc>
      </w:tr>
    </w:tbl>
    <w:p w14:paraId="7B01A177">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III级土壤有机质含量增幅等级赔付比例表</w:t>
      </w:r>
    </w:p>
    <w:tbl>
      <w:tblPr>
        <w:tblStyle w:val="8"/>
        <w:tblW w:w="11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089"/>
        <w:gridCol w:w="1214"/>
        <w:gridCol w:w="1266"/>
        <w:gridCol w:w="1235"/>
        <w:gridCol w:w="1224"/>
        <w:gridCol w:w="1245"/>
        <w:gridCol w:w="1255"/>
        <w:gridCol w:w="1227"/>
        <w:gridCol w:w="1260"/>
      </w:tblGrid>
      <w:tr w14:paraId="1C677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14:paraId="4512DB34">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增幅</w:t>
            </w:r>
          </w:p>
          <w:p w14:paraId="65A1FF40">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等级</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14:paraId="18789E41">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0（不含）-8%（含）</w:t>
            </w: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14:paraId="53E3FEC1">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8%（不含）-15%（含）</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14:paraId="76B4293B">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15%（不含）-25%（含）</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7A206CAA">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25%(不含）-35%（含）</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75479605">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35%（不含）-50%（含）</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14:paraId="5022F44F">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50%（不含）-70%（含）</w:t>
            </w:r>
          </w:p>
        </w:tc>
        <w:tc>
          <w:tcPr>
            <w:tcW w:w="1255" w:type="dxa"/>
            <w:tcBorders>
              <w:top w:val="single" w:color="auto" w:sz="4" w:space="0"/>
              <w:left w:val="single" w:color="auto" w:sz="4" w:space="0"/>
              <w:bottom w:val="single" w:color="auto" w:sz="4" w:space="0"/>
              <w:right w:val="single" w:color="auto" w:sz="4" w:space="0"/>
            </w:tcBorders>
            <w:shd w:val="clear" w:color="auto" w:fill="auto"/>
            <w:vAlign w:val="center"/>
          </w:tcPr>
          <w:p w14:paraId="7BEF8F58">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70%（不含）-90%（含）</w:t>
            </w:r>
          </w:p>
        </w:tc>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14:paraId="265E332E">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90%（不含）-100%（含）</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343817E5">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100%（不含）- +∞</w:t>
            </w:r>
          </w:p>
        </w:tc>
      </w:tr>
      <w:tr w14:paraId="43281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69" w:type="dxa"/>
            <w:tcBorders>
              <w:top w:val="single" w:color="auto" w:sz="4" w:space="0"/>
              <w:left w:val="single" w:color="auto" w:sz="4" w:space="0"/>
              <w:bottom w:val="single" w:color="auto" w:sz="4" w:space="0"/>
              <w:right w:val="single" w:color="auto" w:sz="4" w:space="0"/>
            </w:tcBorders>
            <w:shd w:val="clear" w:color="auto" w:fill="auto"/>
            <w:vAlign w:val="center"/>
          </w:tcPr>
          <w:p w14:paraId="688696B1">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赔付</w:t>
            </w:r>
          </w:p>
          <w:p w14:paraId="4FE08F8D">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比例</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14:paraId="74F70C50">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w:t>
            </w: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14:paraId="5523A2D1">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14:paraId="10B1F814">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6%</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2512B928">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8%</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14:paraId="5E814219">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10%</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14:paraId="19CEDBA5">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20%</w:t>
            </w:r>
          </w:p>
        </w:tc>
        <w:tc>
          <w:tcPr>
            <w:tcW w:w="1255" w:type="dxa"/>
            <w:tcBorders>
              <w:top w:val="single" w:color="auto" w:sz="4" w:space="0"/>
              <w:left w:val="single" w:color="auto" w:sz="4" w:space="0"/>
              <w:bottom w:val="single" w:color="auto" w:sz="4" w:space="0"/>
              <w:right w:val="single" w:color="auto" w:sz="4" w:space="0"/>
            </w:tcBorders>
            <w:shd w:val="clear" w:color="auto" w:fill="auto"/>
            <w:vAlign w:val="center"/>
          </w:tcPr>
          <w:p w14:paraId="36BEE9C0">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40%</w:t>
            </w:r>
          </w:p>
        </w:tc>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14:paraId="70AE7072">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80%</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549C1916">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100%</w:t>
            </w:r>
          </w:p>
        </w:tc>
      </w:tr>
    </w:tbl>
    <w:p w14:paraId="3D693559">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四、组织实施</w:t>
      </w:r>
    </w:p>
    <w:p w14:paraId="71E43B2F">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楷体_GBK" w:cs="Times New Roman"/>
          <w:color w:val="000000"/>
          <w:kern w:val="0"/>
          <w:sz w:val="32"/>
          <w:szCs w:val="32"/>
        </w:rPr>
        <w:t>（一）承保流程</w:t>
      </w:r>
    </w:p>
    <w:p w14:paraId="7DDE43C8">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1.核实投保对象和数量。保险经办机构会同各镇（街）农业部门，镇（街）村保险协保员进村入户，核实投保数量，填写投保名单，保险经办机构全程参与指导保险资料的收集、整理、汇总工作。保险经办机构协同区农业主管部门对保险资料认真审核，查漏补缺，及时修正，审核确认，并对投保数量抽查核实。保险经办机构无正当理由，不得拒保。</w:t>
      </w:r>
    </w:p>
    <w:p w14:paraId="2B80B45B">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2.承保验标。保险机构与投保人或被保险人共同指定第三方专业监测机构按约定的方式对保险土地地力指标数值固定（包括土地酸碱度指标/有机物含量评级含量），并出具正式的《土壤检测报告》，归入投保资料，投保资料包括投保单、土地权属资料、土壤检测报告、标的查验记录表、验标照片等。</w:t>
      </w:r>
    </w:p>
    <w:p w14:paraId="76DD93C1">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保费收缴和规范出单。保险承保机构严格按照自缴保费见费出单制度，在足额收取投保种农户自担部分保费后，直接上交到承保公司指定的账户。承保公司凭缴款凭证或银行转账的存根，以及承保清单,出具正式保险单，发至各参保农户手中。保险单应注明投保的保单号、种、养场详细位置、保险责任、保险金额、市县财政保费补贴比例和数额、报案电话等信息。</w:t>
      </w:r>
    </w:p>
    <w:p w14:paraId="515740A5">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楷体_GBK" w:cs="Times New Roman"/>
          <w:color w:val="000000"/>
          <w:kern w:val="0"/>
          <w:sz w:val="32"/>
          <w:szCs w:val="32"/>
        </w:rPr>
        <w:t>（二）查勘定损及赔偿处理</w:t>
      </w:r>
    </w:p>
    <w:p w14:paraId="0FB7503F">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1.现场查勘定损</w:t>
      </w:r>
    </w:p>
    <w:p w14:paraId="69FB74B7">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经保险机构与投保人或被保险人共同指定的第三方专业监测机构按约定的方式对对投保耕地地力进行评价，若保险到期后耕地pH值或者有机质含量指数较保险生效日的数据有提升的，按保单约定的赔偿标准计算赔付金额。</w:t>
      </w:r>
    </w:p>
    <w:p w14:paraId="203A3F03">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2.赔偿处理</w:t>
      </w:r>
    </w:p>
    <w:p w14:paraId="6EA21105">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保险经办机构根据与被保险人共同确定的第三方专业评估机构对投保土地地力进行评价结果，按条款要求与被保险人确定理赔金额，保险经办机构直接将赔款支付到被保险人账户。</w:t>
      </w:r>
    </w:p>
    <w:p w14:paraId="74AB62B4">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楷体_GBK" w:cs="Times New Roman"/>
          <w:color w:val="000000"/>
          <w:kern w:val="0"/>
          <w:sz w:val="32"/>
          <w:szCs w:val="32"/>
        </w:rPr>
        <w:t>（三）第三方专业监测机构</w:t>
      </w:r>
    </w:p>
    <w:p w14:paraId="32C1DBA8">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本项目耕地质量土壤有机值及PH值得变化情况，由保险经办机构与被保险人共同确定的第三方专业土壤检测机构（重庆索奥检测技术有限公司），在大足区农业农村委的监督指导下以及投保人、被保险人、保险公司几方协商达成一致的情况下开展耕地地力监测工作。</w:t>
      </w:r>
    </w:p>
    <w:p w14:paraId="1F498FF3">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p>
    <w:p w14:paraId="7248A181">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p>
    <w:p w14:paraId="6921EBCE">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p>
    <w:p w14:paraId="6A8F1343">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p>
    <w:p w14:paraId="13D9EC02">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p>
    <w:p w14:paraId="5B07F84B">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p>
    <w:p w14:paraId="5AF6E67A">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p>
    <w:p w14:paraId="5EFA6442">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p>
    <w:p w14:paraId="58ADFE8B">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p>
    <w:p w14:paraId="31EC0D7B">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p>
    <w:p w14:paraId="44A15F28">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p>
    <w:p w14:paraId="5939E169">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p>
    <w:p w14:paraId="7512E311">
      <w:pPr>
        <w:keepNext w:val="0"/>
        <w:keepLines w:val="0"/>
        <w:pageBreakBefore w:val="0"/>
        <w:widowControl w:val="0"/>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32"/>
          <w:szCs w:val="32"/>
        </w:rPr>
      </w:pPr>
    </w:p>
    <w:p w14:paraId="02456652">
      <w:pPr>
        <w:pStyle w:val="2"/>
        <w:jc w:val="both"/>
        <w:rPr>
          <w:rFonts w:hint="default"/>
        </w:rPr>
      </w:pPr>
    </w:p>
    <w:p w14:paraId="3226D968">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pacing w:line="594" w:lineRule="exact"/>
        <w:ind w:left="0" w:leftChars="0"/>
        <w:textAlignment w:val="auto"/>
        <w:rPr>
          <w:rFonts w:hint="default" w:ascii="Times New Roman" w:hAnsi="Times New Roman" w:eastAsia="方正仿宋_GBK" w:cs="Times New Roman"/>
          <w:color w:val="000000"/>
          <w:kern w:val="0"/>
          <w:sz w:val="28"/>
          <w:szCs w:val="28"/>
          <w:lang w:val="en-US" w:eastAsia="zh-CN"/>
        </w:rPr>
      </w:pPr>
      <w:r>
        <w:rPr>
          <w:rFonts w:hint="default" w:ascii="Times New Roman" w:hAnsi="Times New Roman" w:eastAsia="方正仿宋_GBK" w:cs="Times New Roman"/>
          <w:color w:val="000000"/>
          <w:kern w:val="0"/>
          <w:sz w:val="28"/>
          <w:szCs w:val="28"/>
          <w:lang w:eastAsia="zh-CN"/>
        </w:rPr>
        <w:t>重庆市大足区农业农村委员会办公室</w:t>
      </w:r>
      <w:r>
        <w:rPr>
          <w:rFonts w:hint="default" w:ascii="Times New Roman" w:hAnsi="Times New Roman" w:eastAsia="方正仿宋_GBK"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 xml:space="preserve">          </w:t>
      </w:r>
      <w:r>
        <w:rPr>
          <w:rFonts w:hint="default" w:ascii="Times New Roman" w:hAnsi="Times New Roman" w:eastAsia="方正仿宋_GBK" w:cs="Times New Roman"/>
          <w:color w:val="000000"/>
          <w:kern w:val="0"/>
          <w:sz w:val="28"/>
          <w:szCs w:val="28"/>
          <w:lang w:val="en-US" w:eastAsia="zh-CN"/>
        </w:rPr>
        <w:t xml:space="preserve">  2023年5月</w:t>
      </w:r>
      <w:r>
        <w:rPr>
          <w:rFonts w:hint="eastAsia" w:ascii="Times New Roman" w:hAnsi="Times New Roman" w:eastAsia="方正仿宋_GBK" w:cs="Times New Roman"/>
          <w:color w:val="000000"/>
          <w:kern w:val="0"/>
          <w:sz w:val="28"/>
          <w:szCs w:val="28"/>
          <w:lang w:val="en-US" w:eastAsia="zh-CN"/>
        </w:rPr>
        <w:t>23</w:t>
      </w:r>
      <w:r>
        <w:rPr>
          <w:rFonts w:hint="default" w:ascii="Times New Roman" w:hAnsi="Times New Roman" w:eastAsia="方正仿宋_GBK" w:cs="Times New Roman"/>
          <w:color w:val="000000"/>
          <w:kern w:val="0"/>
          <w:sz w:val="28"/>
          <w:szCs w:val="28"/>
          <w:lang w:val="en-US" w:eastAsia="zh-CN"/>
        </w:rPr>
        <w:t>日印发</w:t>
      </w:r>
    </w:p>
    <w:sectPr>
      <w:footerReference r:id="rId3" w:type="default"/>
      <w:pgSz w:w="12240" w:h="15840"/>
      <w:pgMar w:top="2098" w:right="1531" w:bottom="1984" w:left="1531" w:header="720" w:footer="72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15310">
    <w:pPr>
      <w:pStyle w:val="6"/>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D21B1F0">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50287C"/>
    <w:multiLevelType w:val="singleLevel"/>
    <w:tmpl w:val="F650287C"/>
    <w:lvl w:ilvl="0" w:tentative="0">
      <w:start w:val="2"/>
      <w:numFmt w:val="decimal"/>
      <w:suff w:val="space"/>
      <w:lvlText w:val="%1."/>
      <w:lvlJc w:val="left"/>
    </w:lvl>
  </w:abstractNum>
  <w:abstractNum w:abstractNumId="1">
    <w:nsid w:val="64734841"/>
    <w:multiLevelType w:val="singleLevel"/>
    <w:tmpl w:val="64734841"/>
    <w:lvl w:ilvl="0" w:tentative="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ZDRlMTI0ZmZkNWVkNDk2ZTg4NWYwOTQyMjQxMmY4NGEifQ=="/>
  </w:docVars>
  <w:rsids>
    <w:rsidRoot w:val="15615BB2"/>
    <w:rsid w:val="00206B41"/>
    <w:rsid w:val="0020762E"/>
    <w:rsid w:val="00244DA6"/>
    <w:rsid w:val="00494E9E"/>
    <w:rsid w:val="00876BAF"/>
    <w:rsid w:val="00983FBA"/>
    <w:rsid w:val="00B848B0"/>
    <w:rsid w:val="00BB01FB"/>
    <w:rsid w:val="00C509FB"/>
    <w:rsid w:val="00CA43EC"/>
    <w:rsid w:val="00DC453A"/>
    <w:rsid w:val="00E00672"/>
    <w:rsid w:val="00E85801"/>
    <w:rsid w:val="00FA28F5"/>
    <w:rsid w:val="02A7585F"/>
    <w:rsid w:val="04FC6D62"/>
    <w:rsid w:val="0756514F"/>
    <w:rsid w:val="0B1219D6"/>
    <w:rsid w:val="0CBE3297"/>
    <w:rsid w:val="0EE56545"/>
    <w:rsid w:val="0F271049"/>
    <w:rsid w:val="11A340AE"/>
    <w:rsid w:val="15615BB2"/>
    <w:rsid w:val="1C152478"/>
    <w:rsid w:val="1D0C0F40"/>
    <w:rsid w:val="204E3379"/>
    <w:rsid w:val="219537A4"/>
    <w:rsid w:val="29A724C0"/>
    <w:rsid w:val="2DC44BB6"/>
    <w:rsid w:val="353225D9"/>
    <w:rsid w:val="36F53B70"/>
    <w:rsid w:val="3AD53B53"/>
    <w:rsid w:val="3D9F46B3"/>
    <w:rsid w:val="43171AD7"/>
    <w:rsid w:val="45A7244B"/>
    <w:rsid w:val="46A64C56"/>
    <w:rsid w:val="46DC07DD"/>
    <w:rsid w:val="48A93271"/>
    <w:rsid w:val="4B016750"/>
    <w:rsid w:val="50216C59"/>
    <w:rsid w:val="54AA1A04"/>
    <w:rsid w:val="54CE357C"/>
    <w:rsid w:val="55C9258E"/>
    <w:rsid w:val="56D77628"/>
    <w:rsid w:val="59D14FBA"/>
    <w:rsid w:val="59EA2061"/>
    <w:rsid w:val="5E1E4C4A"/>
    <w:rsid w:val="5EC32AB5"/>
    <w:rsid w:val="5EDF2315"/>
    <w:rsid w:val="6199230D"/>
    <w:rsid w:val="62DC55C0"/>
    <w:rsid w:val="64C75F49"/>
    <w:rsid w:val="6A0C6A9A"/>
    <w:rsid w:val="6B23043F"/>
    <w:rsid w:val="708F6BDE"/>
    <w:rsid w:val="71112909"/>
    <w:rsid w:val="75A62B50"/>
    <w:rsid w:val="7ABD6B09"/>
    <w:rsid w:val="7CAA0BB1"/>
    <w:rsid w:val="7D1D4449"/>
    <w:rsid w:val="7DDF2F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9"/>
    <w:pPr>
      <w:snapToGrid w:val="0"/>
      <w:spacing w:beforeLines="100" w:afterLines="100" w:line="520" w:lineRule="exact"/>
      <w:jc w:val="center"/>
      <w:textAlignment w:val="center"/>
      <w:outlineLvl w:val="0"/>
    </w:pPr>
    <w:rPr>
      <w:rFonts w:ascii="宋体" w:hAnsi="宋体" w:eastAsia="方正小标宋_GBK" w:cs="宋体"/>
      <w:b/>
      <w:kern w:val="0"/>
      <w:sz w:val="36"/>
      <w:szCs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TOC 标题1"/>
    <w:basedOn w:val="3"/>
    <w:next w:val="1"/>
    <w:qFormat/>
    <w:uiPriority w:val="0"/>
    <w:pPr>
      <w:spacing w:before="480" w:after="0" w:line="276" w:lineRule="auto"/>
      <w:outlineLvl w:val="9"/>
    </w:pPr>
    <w:rPr>
      <w:rFonts w:ascii="仿宋" w:hAnsi="仿宋" w:eastAsia="仿宋"/>
      <w:color w:val="000000"/>
      <w:sz w:val="32"/>
      <w:szCs w:val="32"/>
    </w:rPr>
  </w:style>
  <w:style w:type="paragraph" w:styleId="4">
    <w:name w:val="annotation text"/>
    <w:basedOn w:val="1"/>
    <w:link w:val="12"/>
    <w:qFormat/>
    <w:uiPriority w:val="0"/>
    <w:pPr>
      <w:jc w:val="left"/>
    </w:pPr>
    <w:rPr>
      <w:rFonts w:ascii="Times New Roman" w:hAnsi="Times New Roman" w:eastAsia="方正仿宋_GBK" w:cs="Times New Roman"/>
      <w:sz w:val="32"/>
      <w:szCs w:val="20"/>
    </w:rPr>
  </w:style>
  <w:style w:type="paragraph" w:styleId="5">
    <w:name w:val="Body Text Indent"/>
    <w:basedOn w:val="1"/>
    <w:link w:val="11"/>
    <w:qFormat/>
    <w:uiPriority w:val="0"/>
    <w:pPr>
      <w:spacing w:after="120"/>
      <w:ind w:left="420" w:leftChars="200"/>
    </w:pPr>
    <w:rPr>
      <w:rFonts w:ascii="Calibri" w:hAnsi="Calibri" w:eastAsia="宋体" w:cs="Times New Roman"/>
    </w:rPr>
  </w:style>
  <w:style w:type="paragraph" w:styleId="6">
    <w:name w:val="footer"/>
    <w:basedOn w:val="1"/>
    <w:link w:val="14"/>
    <w:qFormat/>
    <w:uiPriority w:val="0"/>
    <w:pPr>
      <w:tabs>
        <w:tab w:val="center" w:pos="4153"/>
        <w:tab w:val="right" w:pos="8306"/>
      </w:tabs>
      <w:snapToGrid w:val="0"/>
      <w:jc w:val="left"/>
    </w:pPr>
    <w:rPr>
      <w:sz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rPr>
      <w:rFonts w:hint="default" w:ascii="Times New Roman" w:hAnsi="Times New Roman" w:cs="Times New Roman"/>
    </w:rPr>
  </w:style>
  <w:style w:type="character" w:customStyle="1" w:styleId="11">
    <w:name w:val="正文文本缩进 Char"/>
    <w:basedOn w:val="9"/>
    <w:link w:val="5"/>
    <w:qFormat/>
    <w:uiPriority w:val="0"/>
    <w:rPr>
      <w:rFonts w:hint="default" w:ascii="Calibri" w:hAnsi="Calibri" w:cs="Calibri"/>
      <w:kern w:val="2"/>
      <w:sz w:val="21"/>
      <w:szCs w:val="24"/>
    </w:rPr>
  </w:style>
  <w:style w:type="character" w:customStyle="1" w:styleId="12">
    <w:name w:val="批注文字 Char"/>
    <w:basedOn w:val="9"/>
    <w:link w:val="4"/>
    <w:qFormat/>
    <w:uiPriority w:val="0"/>
    <w:rPr>
      <w:rFonts w:hint="eastAsia" w:ascii="方正仿宋_GBK" w:hAnsi="方正仿宋_GBK" w:eastAsia="方正仿宋_GBK" w:cs="方正仿宋_GBK"/>
      <w:kern w:val="2"/>
      <w:sz w:val="32"/>
    </w:rPr>
  </w:style>
  <w:style w:type="paragraph" w:customStyle="1" w:styleId="13">
    <w:name w:val="Default"/>
    <w:basedOn w:val="1"/>
    <w:qFormat/>
    <w:uiPriority w:val="0"/>
    <w:pPr>
      <w:autoSpaceDE w:val="0"/>
      <w:autoSpaceDN w:val="0"/>
      <w:adjustRightInd w:val="0"/>
      <w:jc w:val="left"/>
    </w:pPr>
    <w:rPr>
      <w:rFonts w:hint="eastAsia" w:ascii="仿宋_GB2312" w:hAnsi="Calibri" w:eastAsia="仿宋_GB2312" w:cs="Times New Roman"/>
      <w:color w:val="000000"/>
      <w:kern w:val="0"/>
      <w:sz w:val="24"/>
    </w:rPr>
  </w:style>
  <w:style w:type="character" w:customStyle="1" w:styleId="14">
    <w:name w:val="页脚 Char"/>
    <w:basedOn w:val="9"/>
    <w:link w:val="6"/>
    <w:qFormat/>
    <w:uiPriority w:val="0"/>
    <w:rPr>
      <w:kern w:val="2"/>
      <w:sz w:val="18"/>
      <w:szCs w:val="18"/>
    </w:rPr>
  </w:style>
  <w:style w:type="character" w:customStyle="1" w:styleId="15">
    <w:name w:val="font21"/>
    <w:basedOn w:val="9"/>
    <w:qFormat/>
    <w:uiPriority w:val="0"/>
    <w:rPr>
      <w:rFonts w:hint="eastAsia" w:ascii="宋体" w:hAnsi="宋体" w:eastAsia="宋体" w:cs="宋体"/>
      <w:color w:val="000000"/>
      <w:sz w:val="24"/>
      <w:szCs w:val="24"/>
      <w:u w:val="none"/>
    </w:rPr>
  </w:style>
  <w:style w:type="character" w:customStyle="1" w:styleId="16">
    <w:name w:val="font01"/>
    <w:basedOn w:val="9"/>
    <w:qFormat/>
    <w:uiPriority w:val="0"/>
    <w:rPr>
      <w:rFonts w:hint="eastAsia" w:ascii="宋体" w:hAnsi="宋体" w:eastAsia="宋体" w:cs="宋体"/>
      <w:color w:val="000000"/>
      <w:sz w:val="22"/>
      <w:szCs w:val="22"/>
      <w:u w:val="none"/>
    </w:rPr>
  </w:style>
  <w:style w:type="character" w:customStyle="1" w:styleId="17">
    <w:name w:val="页眉 Char"/>
    <w:basedOn w:val="9"/>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6939</Words>
  <Characters>7520</Characters>
  <Lines>56</Lines>
  <Paragraphs>15</Paragraphs>
  <TotalTime>3</TotalTime>
  <ScaleCrop>false</ScaleCrop>
  <LinksUpToDate>false</LinksUpToDate>
  <CharactersWithSpaces>7742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2023-05-28T11:34:00Z</dcterms:created>
  <dc:creator>acer</dc:creator>
  <cp:lastModifiedBy>温星星</cp:lastModifiedBy>
  <cp:lastPrinted>2023-05-30T01:39:00Z</cp:lastPrinted>
  <dcterms:modified xsi:type="dcterms:W3CDTF">2024-09-11T00:40:57Z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B2DA8CB7CF494A71A01CAF4193E59A82_12</vt:lpwstr>
  </property>
</Properties>
</file>