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Style w:val="10"/>
          <w:rFonts w:hint="eastAsia" w:ascii="方正小标宋_GBK" w:hAnsi="方正小标宋_GBK" w:eastAsia="方正小标宋_GBK" w:cs="方正小标宋_GBK"/>
          <w:b w:val="0"/>
          <w:kern w:val="2"/>
          <w:sz w:val="21"/>
          <w:szCs w:val="21"/>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Style w:val="10"/>
          <w:rFonts w:hint="eastAsia" w:ascii="方正小标宋_GBK" w:hAnsi="方正小标宋_GBK" w:eastAsia="方正小标宋_GBK" w:cs="方正小标宋_GBK"/>
          <w:b w:val="0"/>
          <w:kern w:val="2"/>
          <w:sz w:val="21"/>
          <w:szCs w:val="21"/>
          <w:shd w:val="clear" w:color="auto" w:fill="FFFFFF"/>
          <w:lang w:val="en-US" w:eastAsia="zh-CN" w:bidi="ar-SA"/>
        </w:rPr>
      </w:pPr>
    </w:p>
    <w:p>
      <w:pPr>
        <w:spacing w:line="700" w:lineRule="exact"/>
        <w:jc w:val="center"/>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重庆市农业农村委员会关于</w:t>
      </w:r>
    </w:p>
    <w:p>
      <w:pPr>
        <w:spacing w:line="700" w:lineRule="exact"/>
        <w:jc w:val="center"/>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印发重庆市新型农业经营主体辅导员</w:t>
      </w:r>
    </w:p>
    <w:p>
      <w:pPr>
        <w:spacing w:line="700" w:lineRule="exact"/>
        <w:jc w:val="center"/>
        <w:rPr>
          <w:rFonts w:hint="default" w:ascii="Times New Roman" w:hAnsi="Times New Roman" w:eastAsia="方正小标宋_GBK" w:cs="方正小标宋_GBK"/>
          <w:sz w:val="44"/>
          <w:szCs w:val="44"/>
          <w:lang w:val="en-US" w:eastAsia="zh-CN"/>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管理细则的通知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2560" w:firstLineChars="800"/>
        <w:jc w:val="both"/>
        <w:textAlignment w:val="auto"/>
        <w:rPr>
          <w:rFonts w:hint="eastAsia" w:ascii="Times New Roman" w:hAnsi="Times New Roman" w:eastAsia="方正仿宋_GBK" w:cs="Times New Roman"/>
          <w:color w:val="000000"/>
          <w:kern w:val="32"/>
          <w:sz w:val="32"/>
          <w:szCs w:val="32"/>
          <w:lang w:val="en-US" w:eastAsia="zh-CN"/>
        </w:rPr>
      </w:pPr>
      <w:r>
        <w:rPr>
          <w:rFonts w:hint="eastAsia" w:ascii="Times New Roman" w:hAnsi="Times New Roman" w:eastAsia="方正仿宋_GBK" w:cs="Times New Roman"/>
          <w:color w:val="000000"/>
          <w:kern w:val="32"/>
          <w:sz w:val="32"/>
          <w:szCs w:val="32"/>
          <w:lang w:val="en-US" w:eastAsia="zh-CN"/>
        </w:rPr>
        <w:t>渝农规〔2022〕12号</w:t>
      </w:r>
    </w:p>
    <w:p>
      <w:pPr>
        <w:pageBreakBefore w:val="0"/>
        <w:kinsoku/>
        <w:overflowPunct/>
        <w:topLinePunct w:val="0"/>
        <w:bidi w:val="0"/>
        <w:spacing w:line="600" w:lineRule="exact"/>
        <w:ind w:right="0" w:rightChars="0" w:firstLine="640" w:firstLineChars="200"/>
        <w:textAlignment w:val="auto"/>
        <w:rPr>
          <w:rStyle w:val="10"/>
          <w:rFonts w:hint="eastAsia" w:ascii="方正仿宋_GBK" w:hAnsi="方正仿宋_GBK" w:eastAsia="方正仿宋_GBK" w:cs="方正仿宋_GBK"/>
          <w:b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各区县（自治县）农业农村委，西部科学城重庆高新区改革发展局，万盛经开区农林局：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保障新型农业经营主体辅导员规范履行职责，促进各区县农业农村部门更好地指导监督、激励约束新型农业经营主体辅导员服务工作，按照《中华人民共和国农民专业合作社法》《重庆市实施〈中华人民共和国农民专业合作社法〉办法》有关规定、农业农村部办公厅《关于印发〈新型农业经营主体辅导员工作规程〉的通知》要求，我们制定了《重庆市新型农业经营主体辅导员管理细则》。现印发给你们，请抓好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重庆市农业农村委员会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2022年1</w:t>
      </w:r>
      <w:r>
        <w:rPr>
          <w:rFonts w:hint="eastAsia" w:ascii="方正仿宋_GBK" w:hAnsi="方正仿宋_GBK" w:eastAsia="方正仿宋_GBK" w:cs="方正仿宋_GBK"/>
          <w:kern w:val="0"/>
          <w:sz w:val="32"/>
          <w:szCs w:val="32"/>
          <w:shd w:val="clear" w:color="auto" w:fill="FFFFFF"/>
          <w:lang w:val="en-US" w:eastAsia="zh-CN" w:bidi="ar-SA"/>
        </w:rPr>
        <w:t>2</w:t>
      </w:r>
      <w:r>
        <w:rPr>
          <w:rFonts w:hint="default" w:ascii="方正仿宋_GBK" w:hAnsi="方正仿宋_GBK" w:eastAsia="方正仿宋_GBK" w:cs="方正仿宋_GBK"/>
          <w:kern w:val="0"/>
          <w:sz w:val="32"/>
          <w:szCs w:val="32"/>
          <w:shd w:val="clear" w:color="auto" w:fill="FFFFFF"/>
          <w:lang w:val="en-US" w:eastAsia="zh-CN" w:bidi="ar-SA"/>
        </w:rPr>
        <w:t>月</w:t>
      </w:r>
      <w:r>
        <w:rPr>
          <w:rFonts w:hint="eastAsia" w:ascii="方正仿宋_GBK" w:hAnsi="方正仿宋_GBK" w:eastAsia="方正仿宋_GBK" w:cs="方正仿宋_GBK"/>
          <w:kern w:val="0"/>
          <w:sz w:val="32"/>
          <w:szCs w:val="32"/>
          <w:shd w:val="clear" w:color="auto" w:fill="FFFFFF"/>
          <w:lang w:val="en-US" w:eastAsia="zh-CN" w:bidi="ar-SA"/>
        </w:rPr>
        <w:t>1</w:t>
      </w:r>
      <w:r>
        <w:rPr>
          <w:rFonts w:hint="default" w:ascii="方正仿宋_GBK" w:hAnsi="方正仿宋_GBK" w:eastAsia="方正仿宋_GBK" w:cs="方正仿宋_GBK"/>
          <w:kern w:val="0"/>
          <w:sz w:val="32"/>
          <w:szCs w:val="32"/>
          <w:shd w:val="clear" w:color="auto" w:fill="FFFFFF"/>
          <w:lang w:val="en-US" w:eastAsia="zh-CN" w:bidi="ar-SA"/>
        </w:rPr>
        <w:t>6日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小标宋_GBK" w:hAnsi="方正小标宋_GBK" w:eastAsia="方正小标宋_GBK" w:cs="方正小标宋_GBK"/>
          <w:b w:val="0"/>
          <w:kern w:val="0"/>
          <w:sz w:val="44"/>
          <w:szCs w:val="44"/>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spacing w:line="600" w:lineRule="exact"/>
        <w:jc w:val="center"/>
        <w:rPr>
          <w:rFonts w:eastAsia="方正小标宋_GBK"/>
          <w:color w:val="000000"/>
          <w:spacing w:val="10"/>
          <w:sz w:val="44"/>
          <w:szCs w:val="44"/>
        </w:rPr>
      </w:pPr>
    </w:p>
    <w:p>
      <w:pPr>
        <w:spacing w:line="600" w:lineRule="exact"/>
        <w:jc w:val="center"/>
        <w:rPr>
          <w:rFonts w:eastAsia="方正小标宋_GBK"/>
          <w:color w:val="000000"/>
          <w:spacing w:val="10"/>
          <w:sz w:val="44"/>
          <w:szCs w:val="44"/>
        </w:rPr>
      </w:pPr>
      <w:r>
        <w:rPr>
          <w:rFonts w:eastAsia="方正小标宋_GBK"/>
          <w:color w:val="000000"/>
          <w:spacing w:val="10"/>
          <w:sz w:val="44"/>
          <w:szCs w:val="44"/>
        </w:rPr>
        <w:t>重庆市新型农业经营主体</w:t>
      </w:r>
    </w:p>
    <w:p>
      <w:pPr>
        <w:spacing w:line="600" w:lineRule="exact"/>
        <w:jc w:val="center"/>
        <w:rPr>
          <w:rFonts w:eastAsia="方正小标宋_GBK"/>
          <w:color w:val="000000"/>
          <w:spacing w:val="10"/>
          <w:sz w:val="44"/>
          <w:szCs w:val="44"/>
        </w:rPr>
      </w:pPr>
      <w:r>
        <w:rPr>
          <w:rFonts w:eastAsia="方正小标宋_GBK"/>
          <w:color w:val="000000"/>
          <w:spacing w:val="10"/>
          <w:sz w:val="44"/>
          <w:szCs w:val="44"/>
        </w:rPr>
        <w:t>辅导员管理细则</w:t>
      </w:r>
    </w:p>
    <w:p>
      <w:pPr>
        <w:pStyle w:val="2"/>
      </w:pP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Times New Roman" w:hAnsi="Times New Roman" w:eastAsia="方正仿宋_GBK" w:cstheme="minorBidi"/>
          <w:kern w:val="0"/>
          <w:sz w:val="32"/>
          <w:szCs w:val="32"/>
          <w:shd w:val="clear" w:color="auto" w:fill="FFFFFF"/>
          <w:lang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为深入贯彻落实《中华人民共和国农民专业合作社法》《重庆市实施〈中华人民共和国农民专业合作社法〉办法》及农业农村部办公厅《关于印发〈新型农业经营主体辅导员工作规程〉的通知》等要求，做好全市新型农业经营主体辅导员服务工作，制定本细则。</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Times New Roman" w:hAnsi="Times New Roman" w:eastAsia="方正仿宋_GBK" w:cstheme="minorBidi"/>
          <w:kern w:val="0"/>
          <w:sz w:val="32"/>
          <w:szCs w:val="32"/>
          <w:shd w:val="clear" w:color="auto" w:fill="FFFFFF"/>
          <w:lang w:eastAsia="zh-CN" w:bidi="ar-SA"/>
        </w:rPr>
        <w:t xml:space="preserve"> 本细则适用于全市新型农业经营主体辅导员的遴选、培养和管理等工作。</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新型农业经营主体辅导员管理工作，以指导新型农业经营主体规范发展和质量提升为主要任务，坚持政府引导和市场主导相结合，坚持“引导不强迫、支持不包办、服务不干预”原则。</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Times New Roman" w:hAnsi="Times New Roman" w:eastAsia="方正仿宋_GBK" w:cstheme="minorBidi"/>
          <w:kern w:val="0"/>
          <w:sz w:val="32"/>
          <w:szCs w:val="32"/>
          <w:shd w:val="clear" w:color="auto" w:fill="FFFFFF"/>
          <w:lang w:eastAsia="zh-CN" w:bidi="ar-SA"/>
        </w:rPr>
        <w:t xml:space="preserve"> 本细则所称新型农业经营主体辅导员（以下简称辅导员），是指区县级及以上农业农村部门指定或者聘任，面向农民合作社、家庭农场等新型农业经营主体，从事组织建设、规范运营、财务会计、市场营销、绿色发展、技术支持等辅导服务工作的人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Times New Roman" w:hAnsi="Times New Roman" w:eastAsia="方正仿宋_GBK" w:cstheme="minorBidi"/>
          <w:kern w:val="0"/>
          <w:sz w:val="32"/>
          <w:szCs w:val="32"/>
          <w:shd w:val="clear" w:color="auto" w:fill="FFFFFF"/>
          <w:lang w:eastAsia="zh-CN" w:bidi="ar-SA"/>
        </w:rPr>
        <w:t xml:space="preserve"> 辅导员遴选坚持公开、公正、公平、择优的原则，突出政治过硬、作风过硬、技术过硬、实绩过硬的标准；能够准确理解和宣传农业农村政策及新型农业经营主体相关法律法规；熟悉各类新型农业经营主体设立运行规则，具备履行岗位职责所需的理论知识、专业能力和实践经验。</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Times New Roman" w:hAnsi="Times New Roman" w:eastAsia="方正仿宋_GBK" w:cstheme="minorBidi"/>
          <w:kern w:val="0"/>
          <w:sz w:val="32"/>
          <w:szCs w:val="32"/>
          <w:shd w:val="clear" w:color="auto" w:fill="FFFFFF"/>
          <w:lang w:eastAsia="zh-CN" w:bidi="ar-SA"/>
        </w:rPr>
        <w:t xml:space="preserve"> 市农业农村委建立全市辅导员名录库，实行动态管理。区县农业农村部门负责上报辅导员名单，将辅导员的基本信息、业务专长、产业领域、绩效评价记录等上报至全市辅导员名录库。</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theme="minorBidi"/>
          <w:kern w:val="0"/>
          <w:sz w:val="32"/>
          <w:szCs w:val="32"/>
          <w:shd w:val="clear" w:color="auto" w:fill="FFFFFF"/>
          <w:lang w:eastAsia="zh-CN" w:bidi="ar-SA"/>
        </w:rPr>
        <w:t xml:space="preserve"> 辅导员遴选工作由各级农业农村部门统一组织，每三年开展一次。</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Times New Roman" w:hAnsi="Times New Roman" w:eastAsia="方正仿宋_GBK" w:cstheme="minorBidi"/>
          <w:kern w:val="0"/>
          <w:sz w:val="32"/>
          <w:szCs w:val="32"/>
          <w:shd w:val="clear" w:color="auto" w:fill="FFFFFF"/>
          <w:lang w:eastAsia="zh-CN" w:bidi="ar-SA"/>
        </w:rPr>
        <w:t xml:space="preserve"> 辅导员遴选范围，应以基层农村经营管理队伍为基础，同时，要利用社会资源，拓展辅导员选聘渠道，丰富辅导服务内容，增强辅导服务的靶向性和实效性。</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Times New Roman" w:hAnsi="Times New Roman" w:eastAsia="方正仿宋_GBK" w:cstheme="minorBidi"/>
          <w:kern w:val="0"/>
          <w:sz w:val="32"/>
          <w:szCs w:val="32"/>
          <w:shd w:val="clear" w:color="auto" w:fill="FFFFFF"/>
          <w:lang w:eastAsia="zh-CN" w:bidi="ar-SA"/>
        </w:rPr>
        <w:t xml:space="preserve"> 辅导员应具备以下条件：</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（一）政治立场坚定。坚持以习近平新时代中国特色社会主义思想为指导，坚决贯彻落实党的路线方针政策，懂农业、爱农村、爱农民，具有强烈的事业心和责任感。</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专业素质过硬。能够准确理解和宣传农业农村政策及新型农业经营主体相关法律法规；熟悉各类新型农业经营主体设立运行规则，具备履行岗位职责所需的理论知识、专业能力和实践经验。在以下一个或几个方面具备扎实的专业技术才能：财务会计类、市场营销类、质量标准类、绿色发展类、信贷保险类。</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（三）实践经验丰富。在财务会计、市场营销、农产品质量安全认证、品牌建设、休闲农业、农业绿色发展以及金融保险等相关领域工作3年以上。</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（四）身体状况良好。能胜任一线工作，原则上年龄在60周岁（含）以下，特殊情况可以放宽至65岁（含）。</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（五）遵纪守法履职。模范遵守国家的法律法规，品行端正、作风优良，没有严重违法违规和重大安全事故责任行为。</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获得科研推广成果、劳动技能竞赛奖项、工作成效认定等人员优先考虑推荐。</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Times New Roman" w:hAnsi="Times New Roman" w:eastAsia="方正仿宋_GBK" w:cstheme="minorBidi"/>
          <w:kern w:val="0"/>
          <w:sz w:val="32"/>
          <w:szCs w:val="32"/>
          <w:shd w:val="clear" w:color="auto" w:fill="FFFFFF"/>
          <w:lang w:eastAsia="zh-CN" w:bidi="ar-SA"/>
        </w:rPr>
        <w:t xml:space="preserve"> 辅导员可以从下列人员中选聘：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（一）农业农村等部门从事新型农业经营主体培育和业务指导工作的人员；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（二）优秀农民合作社带头人、家庭农场主、社会化服务组织和企业经营管理人员；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（三）农业乡土专家、种养能手、农技员；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（四）从事农业农村研究的专家和学者；</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（五）能够为新型农业经营主体提供服务的社团组织工作人员和志愿者等其他人员。</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第十条 </w:t>
      </w:r>
      <w:r>
        <w:rPr>
          <w:rFonts w:hint="eastAsia" w:ascii="Times New Roman" w:hAnsi="Times New Roman" w:eastAsia="方正仿宋_GBK" w:cstheme="minorBidi"/>
          <w:kern w:val="0"/>
          <w:sz w:val="32"/>
          <w:szCs w:val="32"/>
          <w:shd w:val="clear" w:color="auto" w:fill="FFFFFF"/>
          <w:lang w:eastAsia="zh-CN" w:bidi="ar-SA"/>
        </w:rPr>
        <w:t>区县农业农村部门负责本辖区内新型农业经营主体辅导员的培养，统一收录辅导员信息。辅导员一届任期一般为三年。</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Times New Roman" w:hAnsi="Times New Roman" w:eastAsia="方正仿宋_GBK" w:cstheme="minorBidi"/>
          <w:kern w:val="0"/>
          <w:sz w:val="32"/>
          <w:szCs w:val="32"/>
          <w:shd w:val="clear" w:color="auto" w:fill="FFFFFF"/>
          <w:lang w:eastAsia="zh-CN" w:bidi="ar-SA"/>
        </w:rPr>
        <w:t xml:space="preserve">  设置辅导员时应充分考虑专业构成情况。财务会计类、市场营销类、质量标准类、绿色发展类、信贷保险类等五个大类辅导员占比应基本平衡。</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各区县应根据经营主体数量、产业结构、地域分布等因素，合理确定辅导员数量。每个区县应确保区县级至少有十名辅导员，每个涉农乡镇至少有一名辅导员。应建立辅导员定向联系制度，原则上应实现辖区内新型农业经营主体辅导员全覆盖。</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Times New Roman" w:hAnsi="Times New Roman" w:eastAsia="方正仿宋_GBK" w:cstheme="minorBidi"/>
          <w:kern w:val="0"/>
          <w:sz w:val="32"/>
          <w:szCs w:val="32"/>
          <w:shd w:val="clear" w:color="auto" w:fill="FFFFFF"/>
          <w:lang w:eastAsia="zh-CN" w:bidi="ar-SA"/>
        </w:rPr>
        <w:t xml:space="preserve"> 区县辅导员的遴选工作按如下程序开展：</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（一）工作部署。区县农业农村部门制定工作方案，部署辅导员遴选工作。</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（二）组织推荐。乡（镇）组织村级和有关方面推荐，广泛征求意见，产生辅导员推荐人选，汇总上报区县农业农村部门。</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（三）区县聘请。区县农业农村部门择优产生本区县辅导员推荐人选，经公示5个工作日无异议后，确定本区县辅导员人选，颁发聘用证书，并将辅导员信息上报送市农业农村委。</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Times New Roman" w:hAnsi="Times New Roman" w:eastAsia="方正仿宋_GBK" w:cstheme="minorBidi"/>
          <w:kern w:val="0"/>
          <w:sz w:val="32"/>
          <w:szCs w:val="32"/>
          <w:shd w:val="clear" w:color="auto" w:fill="FFFFFF"/>
          <w:lang w:eastAsia="zh-CN" w:bidi="ar-SA"/>
        </w:rPr>
        <w:t xml:space="preserve"> 新型农业经营主体辅导员可以专职或者兼职开展辅导服务工作，区县应根据实际，指导辅导员按照聘任岗位要求承担相应的工作职责。</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Times New Roman" w:hAnsi="Times New Roman" w:eastAsia="方正仿宋_GBK" w:cstheme="minorBidi"/>
          <w:kern w:val="0"/>
          <w:sz w:val="32"/>
          <w:szCs w:val="32"/>
          <w:shd w:val="clear" w:color="auto" w:fill="FFFFFF"/>
          <w:lang w:eastAsia="zh-CN" w:bidi="ar-SA"/>
        </w:rPr>
        <w:t xml:space="preserve"> 辅导员应重点围绕促进新型农业经营主体规范发展、质量提升提供一种或者多种服务，主要有十个方面：</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（一）宣传新型农业经营主体相关法律、法规和政策，提供注册登记、年报公示、合并分立、歇业备案等业务辅导和咨询服务；</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（二）指导新型农业经营主体根据生产发展需要，合理确定经营服务规模，科学规划年度任务和中长期发展目标；</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（三）指导新型农业经营主体加强规范建设，建立健全组织机构，完善民主管理、财务会计、收益分配等内部管理制度；</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（四）指导新型农业经营主体应用现代化管理工具，开展财务会计核算、生产销售等电算化管理，提高经营效能；</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（五）指导各类新型农业经营主体依法自愿加强联合合作，促进融合发展；</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六）指导新型农业经营主体加强农产品质量安全监管，实行标准化生产，规范生产记录档案，落实农产品产地编码制度和承诺达标合格证制度，建立农产品质量安全追溯和自律性检验检测制度，申报绿色食品、有机食品和地理标志等认证认定；</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（七）指导新型农业经营主体注册商标，开展品牌化经营，组织推介新型农业经营主体参加产品（服务）展示展销宣传活动，拓展网上销售渠道；</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（八）指导农民合作社根据发展需要，采取出资新设、收购或者入股等形式办公司，延长产业链条；</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（九）指导新型农业经营主体利用生产经营数据形成融资增信，利用农业保单实现贷款担保，帮助新型农业经营主体提升贷款可得率。</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（十）总结宣传新型农业经营主体典型案例和经验做法；</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区县农业农村部门应督促指导辅导员采取定期走访、上门指导、结对帮扶等方式开展辅导服务工作。辅导员每季度对新型农业经营主体的上门指导服务不得少于三次，并形成辅导服务工作记录。</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应当建立新型农业经营主体辅导员岗位培训制度，制定年度培训计划。根据工作职责要求，对辅导员进行分类分级培训；对当年新聘任的辅导员，应当进行任前培训；对全体辅导员应当进行提高工作能力、更新业务知识的在任培训。</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可以通过购买服务等方式，支持辅导员为新型农业经营主体的筹备组建、注册登记、民主管理、生产技术、财务管理、市场营销等提供免费指导。鼓励区县创建新型农业经营主体服务中心，发挥其在政策咨询、运营指导、财税代理等方面的优势。</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区县农业农村部门应建立新型农业经营主体辅导员绩效评价制度，量化评价指标和标准，对辅导员服务绩效目标实现程度进行综合衡量评价，规范和加强辅导员绩效管理，建立健全辅导员激励和约束机制。</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Times New Roman" w:hAnsi="Times New Roman" w:eastAsia="方正仿宋_GBK" w:cstheme="minorBidi"/>
          <w:kern w:val="0"/>
          <w:sz w:val="32"/>
          <w:szCs w:val="32"/>
          <w:shd w:val="clear" w:color="auto" w:fill="FFFFFF"/>
          <w:lang w:eastAsia="zh-CN" w:bidi="ar-SA"/>
        </w:rPr>
        <w:t xml:space="preserve"> 绩效评价的主要内容应当包括：</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（一）数量指标：辅导员联系服务的新型农业经营主体数量，联系沟通频次等；</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（二）质量指标：辅导员联系服务的新型农业经营主体在相关制度建设、机制创新、主体竞争力提升等方面的效果；</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（三）满意度指标：新型农业经营主体对辅导员工作的评价、辅导员与农业农村部门的配合程度、政策宣传和信息报送等情况。</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区县农业农村部门应根据辅导员全年辅导服务工作情况进行评价，原则上一年开展一次。</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区县农业农村部门应建立健全新型农业经营主体辅导员动态管理机制，跟踪了解辅导员个人履职情况，根据新型农业经营主体需求，补充选聘辅导员，及时更新新型农业经营主体辅导员名录库。</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对绩效评价结果不合格而在聘期届满不再续聘的，调出辅导员名录库。辅导员因年龄、健康、转从事其他行业等原因，可以自行提出终止聘用。</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w:t>
      </w:r>
      <w:r>
        <w:rPr>
          <w:rFonts w:hint="eastAsia" w:ascii="方正黑体_GBK" w:hAnsi="方正黑体_GBK" w:eastAsia="方正黑体_GBK" w:cs="方正黑体_GBK"/>
          <w:kern w:val="0"/>
          <w:sz w:val="32"/>
          <w:szCs w:val="32"/>
          <w:shd w:val="clear" w:color="auto" w:fill="FFFFFF"/>
          <w:lang w:val="en-US" w:eastAsia="zh-CN" w:bidi="ar-SA"/>
        </w:rPr>
        <w:t>二十二条</w:t>
      </w:r>
      <w:r>
        <w:rPr>
          <w:rFonts w:hint="eastAsia" w:ascii="Times New Roman" w:hAnsi="Times New Roman" w:eastAsia="方正仿宋_GBK" w:cstheme="minorBidi"/>
          <w:kern w:val="0"/>
          <w:sz w:val="32"/>
          <w:szCs w:val="32"/>
          <w:shd w:val="clear" w:color="auto" w:fill="FFFFFF"/>
          <w:lang w:eastAsia="zh-CN" w:bidi="ar-SA"/>
        </w:rPr>
        <w:t xml:space="preserve"> 辅导员任期结束后，区县农业农村部门负责组织开展本辖区内辅导员履职情况总结，并进行综合评价，符合条件的可继续聘用。</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Times New Roman" w:hAnsi="Times New Roman" w:eastAsia="方正仿宋_GBK" w:cstheme="minorBidi"/>
          <w:kern w:val="0"/>
          <w:sz w:val="32"/>
          <w:szCs w:val="32"/>
          <w:shd w:val="clear" w:color="auto" w:fill="FFFFFF"/>
          <w:lang w:eastAsia="zh-CN" w:bidi="ar-SA"/>
        </w:rPr>
        <w:t xml:space="preserve"> 区县农业农村部门可以根据有关规定建立新型农业经营主体辅导员补助、奖励制度，组织开展辅导员评优评先活动。对工作表现突出、有显著成绩和贡献、主体认可度高的辅导员予以表扬或者奖励。鼓励区县财政为辅导员制度建设提供经费支持。</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第二十四条</w:t>
      </w:r>
      <w:r>
        <w:rPr>
          <w:rFonts w:hint="eastAsia" w:ascii="Times New Roman" w:hAnsi="Times New Roman" w:eastAsia="方正仿宋_GBK" w:cstheme="minorBidi"/>
          <w:kern w:val="0"/>
          <w:sz w:val="32"/>
          <w:szCs w:val="32"/>
          <w:shd w:val="clear" w:color="auto" w:fill="FFFFFF"/>
          <w:lang w:eastAsia="zh-CN" w:bidi="ar-SA"/>
        </w:rPr>
        <w:t xml:space="preserve"> 新型农业经营主体辅导员应当遵守工作纪律，恪守职业道德，不得有下列行为：</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（一）触犯国家法律法规、危害国家利益、违反职业道德的；</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（二）违反法定程序、超越权限行使职权；</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（三）利用职权向新型农业经营主体非法索取财物；</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（四）假借辅导服务之名，为自己或者他人谋取不正当利益；</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（五）玩忽职守，不履行工作职责；</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（六）泄露国家秘密、工作秘密或者辅导服务对象的商业秘密；</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（七）从事损害新型农业经营主体经济利益的其他活动。</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（八）违反有关管理规定。</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第二十五条 </w:t>
      </w:r>
      <w:r>
        <w:rPr>
          <w:rFonts w:hint="eastAsia" w:ascii="Times New Roman" w:hAnsi="Times New Roman" w:eastAsia="方正仿宋_GBK" w:cstheme="minorBidi"/>
          <w:kern w:val="0"/>
          <w:sz w:val="32"/>
          <w:szCs w:val="32"/>
          <w:shd w:val="clear" w:color="auto" w:fill="FFFFFF"/>
          <w:lang w:eastAsia="zh-CN" w:bidi="ar-SA"/>
        </w:rPr>
        <w:t>新型农业经营主体辅导员违反本细则第二十四条规定的，由聘任部门解除其新型农业经营主体辅导员聘任，从辅导员名录库中予以移除。</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第二十六条 </w:t>
      </w:r>
      <w:r>
        <w:rPr>
          <w:rFonts w:hint="eastAsia" w:ascii="Times New Roman" w:hAnsi="Times New Roman" w:eastAsia="方正仿宋_GBK" w:cstheme="minorBidi"/>
          <w:kern w:val="0"/>
          <w:sz w:val="32"/>
          <w:szCs w:val="32"/>
          <w:shd w:val="clear" w:color="auto" w:fill="FFFFFF"/>
          <w:lang w:eastAsia="zh-CN" w:bidi="ar-SA"/>
        </w:rPr>
        <w:t>各级农业农村部门应定期总结辅导员培养使用情况，充分运用各类媒体和平台，广泛开展辅导员的宣传推介，大力营造识才、爱才、敬才、用才的良好氛围。</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第二十七条</w:t>
      </w:r>
      <w:r>
        <w:rPr>
          <w:rFonts w:hint="eastAsia" w:ascii="Times New Roman" w:hAnsi="Times New Roman" w:eastAsia="方正仿宋_GBK" w:cstheme="minorBidi"/>
          <w:kern w:val="0"/>
          <w:sz w:val="32"/>
          <w:szCs w:val="32"/>
          <w:shd w:val="clear" w:color="auto" w:fill="FFFFFF"/>
          <w:lang w:eastAsia="zh-CN" w:bidi="ar-SA"/>
        </w:rPr>
        <w:t xml:space="preserve"> 本细则由市农业农村委负责解释。</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第二十八条 </w:t>
      </w:r>
      <w:r>
        <w:rPr>
          <w:rFonts w:hint="eastAsia" w:ascii="Times New Roman" w:hAnsi="Times New Roman" w:eastAsia="方正仿宋_GBK" w:cstheme="minorBidi"/>
          <w:kern w:val="0"/>
          <w:sz w:val="32"/>
          <w:szCs w:val="32"/>
          <w:shd w:val="clear" w:color="auto" w:fill="FFFFFF"/>
          <w:lang w:eastAsia="zh-CN" w:bidi="ar-SA"/>
        </w:rPr>
        <w:t>本细则自2023年1月20日起施行。</w:t>
      </w:r>
    </w:p>
    <w:p>
      <w:pPr>
        <w:keepNext w:val="0"/>
        <w:keepLines w:val="0"/>
        <w:pageBreakBefore w:val="0"/>
        <w:tabs>
          <w:tab w:val="left" w:pos="3735"/>
        </w:tabs>
        <w:kinsoku/>
        <w:wordWrap/>
        <w:overflowPunct/>
        <w:topLinePunct w:val="0"/>
        <w:bidi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140335</wp:posOffset>
              </wp:positionV>
              <wp:extent cx="510476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4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1.05pt;height:0pt;width:401.95pt;z-index:251660288;mso-width-relative:page;mso-height-relative:page;" filled="f" stroked="t" coordsize="21600,21600" o:gfxdata="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LKXl0gAAAAcB&#10;AAAPAAAAAAAAAAEAIAAAACIAAABkcnMvZG93bnJldi54bWxQSwECFAAUAAAACACHTuJAGryhqu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农业农村委员会</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368935</wp:posOffset>
              </wp:positionV>
              <wp:extent cx="51587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58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29.05pt;height:0pt;width:406.2pt;z-index:251659264;mso-width-relative:page;mso-height-relative:page;" filled="f" stroked="t" coordsize="21600,21600" o:gfxdata="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qfdX1QAAAAgBAAAPAAAAAAAAAAEAIAAAACIAAABkcnMvZG93bnJldi54bWxQSwECFAAU&#10;AAAACACHTuJA7VWUM/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农业农村委员会</w:t>
    </w:r>
    <w:r>
      <w:rPr>
        <w:rFonts w:hint="eastAsia" w:ascii="宋体" w:hAnsi="宋体" w:eastAsia="宋体" w:cs="宋体"/>
        <w:b/>
        <w:bCs/>
        <w:color w:val="005192"/>
        <w:sz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c3ZDZlYmFhN2ZmYWRjZTA0Y2MzYTRmZTFmZmIifQ=="/>
  </w:docVars>
  <w:rsids>
    <w:rsidRoot w:val="00172A27"/>
    <w:rsid w:val="019E71BD"/>
    <w:rsid w:val="01E93D58"/>
    <w:rsid w:val="04B679C3"/>
    <w:rsid w:val="05A625A8"/>
    <w:rsid w:val="05F07036"/>
    <w:rsid w:val="06E00104"/>
    <w:rsid w:val="080F63D8"/>
    <w:rsid w:val="09017556"/>
    <w:rsid w:val="09341458"/>
    <w:rsid w:val="098254C2"/>
    <w:rsid w:val="0A766EDE"/>
    <w:rsid w:val="0AD64BE8"/>
    <w:rsid w:val="0B0912D7"/>
    <w:rsid w:val="0E025194"/>
    <w:rsid w:val="0EEF0855"/>
    <w:rsid w:val="0FEE516E"/>
    <w:rsid w:val="11DB7C71"/>
    <w:rsid w:val="152D2DCA"/>
    <w:rsid w:val="17FC3533"/>
    <w:rsid w:val="187168EA"/>
    <w:rsid w:val="196673CA"/>
    <w:rsid w:val="1CF734C9"/>
    <w:rsid w:val="1DEC284C"/>
    <w:rsid w:val="1E6523AC"/>
    <w:rsid w:val="22440422"/>
    <w:rsid w:val="22BB4BBB"/>
    <w:rsid w:val="25EB1AF4"/>
    <w:rsid w:val="29BB1C3D"/>
    <w:rsid w:val="2DD05FE1"/>
    <w:rsid w:val="2EAE3447"/>
    <w:rsid w:val="31A15F24"/>
    <w:rsid w:val="36FB1DF0"/>
    <w:rsid w:val="395347B5"/>
    <w:rsid w:val="39A232A0"/>
    <w:rsid w:val="39E745AA"/>
    <w:rsid w:val="3B5A6BBB"/>
    <w:rsid w:val="3C236125"/>
    <w:rsid w:val="3CA154E3"/>
    <w:rsid w:val="3EDA13A6"/>
    <w:rsid w:val="3FF56C14"/>
    <w:rsid w:val="417B75E9"/>
    <w:rsid w:val="42430A63"/>
    <w:rsid w:val="42F058B7"/>
    <w:rsid w:val="436109F6"/>
    <w:rsid w:val="441A38D4"/>
    <w:rsid w:val="4504239D"/>
    <w:rsid w:val="45B7036F"/>
    <w:rsid w:val="45C51FFB"/>
    <w:rsid w:val="4BC77339"/>
    <w:rsid w:val="4C9236C5"/>
    <w:rsid w:val="4CA54934"/>
    <w:rsid w:val="4E250A85"/>
    <w:rsid w:val="4FFD4925"/>
    <w:rsid w:val="505C172E"/>
    <w:rsid w:val="506405EA"/>
    <w:rsid w:val="52F46F0B"/>
    <w:rsid w:val="532B6A10"/>
    <w:rsid w:val="539E4E99"/>
    <w:rsid w:val="53D7E826"/>
    <w:rsid w:val="53D8014D"/>
    <w:rsid w:val="550C209A"/>
    <w:rsid w:val="55E064E0"/>
    <w:rsid w:val="572C6D10"/>
    <w:rsid w:val="57B66DC1"/>
    <w:rsid w:val="5D6A46F2"/>
    <w:rsid w:val="5DC34279"/>
    <w:rsid w:val="5F546472"/>
    <w:rsid w:val="5FCD688E"/>
    <w:rsid w:val="5FF9BDAA"/>
    <w:rsid w:val="608816D1"/>
    <w:rsid w:val="60EF4E7F"/>
    <w:rsid w:val="648B0A32"/>
    <w:rsid w:val="658F6764"/>
    <w:rsid w:val="661F2C0A"/>
    <w:rsid w:val="665233C1"/>
    <w:rsid w:val="69AC0D42"/>
    <w:rsid w:val="6AD9688B"/>
    <w:rsid w:val="6B68303F"/>
    <w:rsid w:val="6D0E3F22"/>
    <w:rsid w:val="73D311BE"/>
    <w:rsid w:val="744E4660"/>
    <w:rsid w:val="753355A2"/>
    <w:rsid w:val="759F1C61"/>
    <w:rsid w:val="769F2DE8"/>
    <w:rsid w:val="76FDEB7C"/>
    <w:rsid w:val="789E3E62"/>
    <w:rsid w:val="79C65162"/>
    <w:rsid w:val="79EE7E31"/>
    <w:rsid w:val="7ABC0B93"/>
    <w:rsid w:val="7C9011D9"/>
    <w:rsid w:val="7DC651C5"/>
    <w:rsid w:val="7FCC2834"/>
    <w:rsid w:val="92DD1CEF"/>
    <w:rsid w:val="BD9D1569"/>
    <w:rsid w:val="EBDDA9D0"/>
    <w:rsid w:val="F05B4F69"/>
    <w:rsid w:val="F7F902F6"/>
    <w:rsid w:val="F97D9566"/>
    <w:rsid w:val="FBD9755F"/>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公文:正文(缩进)"/>
    <w:qFormat/>
    <w:uiPriority w:val="0"/>
    <w:pPr>
      <w:spacing w:line="560" w:lineRule="exact"/>
      <w:ind w:firstLine="880" w:firstLineChars="200"/>
    </w:pPr>
    <w:rPr>
      <w:rFonts w:ascii="Times New Roman" w:hAnsi="Times New Roman" w:eastAsia="方正仿宋_GBK" w:cs="Times New Roman"/>
      <w:sz w:val="32"/>
      <w:szCs w:val="22"/>
    </w:rPr>
  </w:style>
  <w:style w:type="character" w:customStyle="1" w:styleId="13">
    <w:name w:val="公文:2级标题 Char"/>
    <w:link w:val="14"/>
    <w:qFormat/>
    <w:uiPriority w:val="0"/>
    <w:rPr>
      <w:rFonts w:ascii="Times New Roman" w:hAnsi="Times New Roman" w:eastAsia="方正楷体_GBK" w:cs="Times New Roman"/>
      <w:sz w:val="32"/>
    </w:rPr>
  </w:style>
  <w:style w:type="paragraph" w:customStyle="1" w:styleId="14">
    <w:name w:val="公文:2级标题"/>
    <w:link w:val="13"/>
    <w:qFormat/>
    <w:uiPriority w:val="0"/>
    <w:pPr>
      <w:numPr>
        <w:ilvl w:val="0"/>
        <w:numId w:val="0"/>
      </w:numPr>
      <w:wordWrap w:val="0"/>
      <w:spacing w:line="560" w:lineRule="exact"/>
      <w:ind w:firstLine="632" w:firstLineChars="200"/>
      <w:outlineLvl w:val="1"/>
    </w:pPr>
    <w:rPr>
      <w:rFonts w:ascii="Times New Roman" w:hAnsi="Times New Roman" w:eastAsia="方正楷体_GBK"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2794</Words>
  <Characters>2823</Characters>
  <Lines>1</Lines>
  <Paragraphs>1</Paragraphs>
  <TotalTime>4</TotalTime>
  <ScaleCrop>false</ScaleCrop>
  <LinksUpToDate>false</LinksUpToDate>
  <CharactersWithSpaces>2855</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HeatherLiu</cp:lastModifiedBy>
  <cp:lastPrinted>2022-06-07T16:09:00Z</cp:lastPrinted>
  <dcterms:modified xsi:type="dcterms:W3CDTF">2022-12-26T08:23:58Z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319FD7D51D62421AA4D3E28C18825ABC</vt:lpwstr>
  </property>
</Properties>
</file>